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ver-letter"/>
    <w:p>
      <w:pPr>
        <w:pStyle w:val="Heading1"/>
      </w:pPr>
      <w:r>
        <w:t xml:space="preserve">Cover Letter</w:t>
      </w:r>
    </w:p>
    <w:p>
      <w:pPr>
        <w:pStyle w:val="FirstParagraph"/>
      </w:pPr>
      <w:r>
        <w:rPr>
          <w:bCs/>
          <w:b/>
        </w:rPr>
        <w:t xml:space="preserve">Date:</w:t>
      </w:r>
      <w:r>
        <w:t xml:space="preserve"> </w:t>
      </w:r>
      <w:r>
        <w:t xml:space="preserve">November 30, 2025</w:t>
      </w:r>
    </w:p>
    <w:p>
      <w:pPr>
        <w:pStyle w:val="BodyText"/>
      </w:pPr>
      <w:r>
        <w:rPr>
          <w:bCs/>
          <w:b/>
        </w:rPr>
        <w:t xml:space="preserve">To:</w:t>
      </w:r>
      <w:r>
        <w:t xml:space="preserve"> </w:t>
      </w:r>
      <w:r>
        <w:t xml:space="preserve">Editor-in-Chief</w:t>
      </w:r>
      <w:r>
        <w:t xml:space="preserve"> </w:t>
      </w:r>
      <w:r>
        <w:rPr>
          <w:iCs/>
          <w:i/>
        </w:rPr>
        <w:t xml:space="preserve">Plastic and Reconstructive Surgery</w:t>
      </w:r>
    </w:p>
    <w:p>
      <w:pPr>
        <w:pStyle w:val="BodyText"/>
      </w:pPr>
      <w:r>
        <w:rPr>
          <w:bCs/>
          <w:b/>
        </w:rPr>
        <w:t xml:space="preserve">Re:</w:t>
      </w:r>
      <w:r>
        <w:t xml:space="preserve"> </w:t>
      </w:r>
      <w:r>
        <w:t xml:space="preserve">Revised Manuscript Submission</w:t>
      </w:r>
      <w:r>
        <w:t xml:space="preserve"> </w:t>
      </w:r>
      <w:r>
        <w:rPr>
          <w:bCs/>
          <w:b/>
        </w:rPr>
        <w:t xml:space="preserve">Title:</w:t>
      </w:r>
      <w:r>
        <w:t xml:space="preserve"> </w:t>
      </w:r>
      <w:r>
        <w:t xml:space="preserve">From Months to Minutes: Evaluating an AI-Driven Approach to Systematic Reviews in Plastic Surgery</w:t>
      </w:r>
    </w:p>
    <w:p>
      <w:r>
        <w:pict>
          <v:rect style="width:0;height:1.5pt" o:hralign="center" o:hrstd="t" o:hr="t"/>
        </w:pict>
      </w:r>
    </w:p>
    <w:p>
      <w:pPr>
        <w:pStyle w:val="FirstParagraph"/>
      </w:pPr>
      <w:r>
        <w:t xml:space="preserve">Dear Editor,</w:t>
      </w:r>
    </w:p>
    <w:p>
      <w:pPr>
        <w:pStyle w:val="BodyText"/>
      </w:pPr>
      <w:r>
        <w:t xml:space="preserve">We are pleased to submit our revised manuscript</w:t>
      </w:r>
      <w:r>
        <w:t xml:space="preserve"> </w:t>
      </w:r>
      <w:r>
        <w:t xml:space="preserve">“</w:t>
      </w:r>
      <w:r>
        <w:t xml:space="preserve">From Months to Minutes: Evaluating an AI-Driven Approach to Systematic Reviews in Plastic Surgery</w:t>
      </w:r>
      <w:r>
        <w:t xml:space="preserve">”</w:t>
      </w:r>
      <w:r>
        <w:t xml:space="preserve"> </w:t>
      </w:r>
      <w:r>
        <w:t xml:space="preserve">for consideration in</w:t>
      </w:r>
      <w:r>
        <w:t xml:space="preserve"> </w:t>
      </w:r>
      <w:r>
        <w:rPr>
          <w:iCs/>
          <w:i/>
        </w:rPr>
        <w:t xml:space="preserve">Plastic and Reconstructive Surgery</w:t>
      </w:r>
      <w:r>
        <w:t xml:space="preserve">.</w:t>
      </w:r>
    </w:p>
    <w:bookmarkStart w:id="20" w:name="summary-of-significance"/>
    <w:p>
      <w:pPr>
        <w:pStyle w:val="Heading2"/>
      </w:pPr>
      <w:r>
        <w:t xml:space="preserve">Summary of Significance</w:t>
      </w:r>
    </w:p>
    <w:p>
      <w:pPr>
        <w:pStyle w:val="FirstParagraph"/>
      </w:pPr>
      <w:r>
        <w:t xml:space="preserve">This study addresses a critical bottleneck in plastic surgery evidence synthesis: the 40-80 hours of manual screening required per systematic review. We validate an integrated search-screening workflow that achieves</w:t>
      </w:r>
      <w:r>
        <w:t xml:space="preserve"> </w:t>
      </w:r>
      <w:r>
        <w:rPr>
          <w:bCs/>
          <w:b/>
        </w:rPr>
        <w:t xml:space="preserve">99.2% sensitivity</w:t>
      </w:r>
      <w:r>
        <w:t xml:space="preserve"> </w:t>
      </w:r>
      <w:r>
        <w:t xml:space="preserve">(99% recall with 100% accuracy on eligible papers) while reducing processing time by</w:t>
      </w:r>
      <w:r>
        <w:t xml:space="preserve"> </w:t>
      </w:r>
      <w:r>
        <w:rPr>
          <w:bCs/>
          <w:b/>
        </w:rPr>
        <w:t xml:space="preserve">99.7%</w:t>
      </w:r>
      <w:r>
        <w:t xml:space="preserve"> </w:t>
      </w:r>
      <w:r>
        <w:t xml:space="preserve">and costs by</w:t>
      </w:r>
      <w:r>
        <w:t xml:space="preserve"> </w:t>
      </w:r>
      <w:r>
        <w:rPr>
          <w:bCs/>
          <w:b/>
        </w:rPr>
        <w:t xml:space="preserve">99.9%</w:t>
      </w:r>
      <w:r>
        <w:t xml:space="preserve"> </w:t>
      </w:r>
      <w:r>
        <w:t xml:space="preserve">compared to traditional dual-reviewer methods.</w:t>
      </w:r>
    </w:p>
    <w:bookmarkEnd w:id="20"/>
    <w:bookmarkStart w:id="21" w:name="key-contributions"/>
    <w:p>
      <w:pPr>
        <w:pStyle w:val="Heading2"/>
      </w:pPr>
      <w:r>
        <w:t xml:space="preserve">Key Contributions</w:t>
      </w:r>
    </w:p>
    <w:p>
      <w:pPr>
        <w:numPr>
          <w:ilvl w:val="0"/>
          <w:numId w:val="1001"/>
        </w:numPr>
      </w:pPr>
      <w:r>
        <w:rPr>
          <w:bCs/>
          <w:b/>
        </w:rPr>
        <w:t xml:space="preserve">Human-AI Collaboration Model:</w:t>
      </w:r>
      <w:r>
        <w:t xml:space="preserve"> </w:t>
      </w:r>
      <w:r>
        <w:t xml:space="preserve">We demonstrate that expert-configured AI screening, where domain specialists provide precise inclusion/exclusion criteria and AI executes these rules at scale, achieves systematic review-grade performance across diverse plastic surgery topics (microsurgery, reconstructive surgery, aesthetic surgery, outcomes research).</w:t>
      </w:r>
    </w:p>
    <w:p>
      <w:pPr>
        <w:numPr>
          <w:ilvl w:val="0"/>
          <w:numId w:val="1001"/>
        </w:numPr>
      </w:pPr>
      <w:r>
        <w:rPr>
          <w:bCs/>
          <w:b/>
        </w:rPr>
        <w:t xml:space="preserve">Integrated Architecture:</w:t>
      </w:r>
      <w:r>
        <w:t xml:space="preserve"> </w:t>
      </w:r>
      <w:r>
        <w:t xml:space="preserve">Unlike existing tools that treat search and screening as disconnected phases, our unified pipeline maintains complete audit trails from database query to inclusion decision, enabling reproducible evidence synthesis.</w:t>
      </w:r>
    </w:p>
    <w:p>
      <w:pPr>
        <w:numPr>
          <w:ilvl w:val="0"/>
          <w:numId w:val="1001"/>
        </w:numPr>
      </w:pPr>
      <w:r>
        <w:rPr>
          <w:bCs/>
          <w:b/>
        </w:rPr>
        <w:t xml:space="preserve">Clinical Accessibility:</w:t>
      </w:r>
      <w:r>
        <w:t xml:space="preserve"> </w:t>
      </w:r>
      <w:r>
        <w:t xml:space="preserve">The workflow transforms systematic review feasibility for fellowship programs, private practice groups, and resource-limited institutions—any plastic surgeon with systematic review training can leverage this tool to conduct reviews that previously required multi-person teams.</w:t>
      </w:r>
    </w:p>
    <w:p>
      <w:pPr>
        <w:numPr>
          <w:ilvl w:val="0"/>
          <w:numId w:val="1001"/>
        </w:numPr>
      </w:pPr>
      <w:r>
        <w:rPr>
          <w:bCs/>
          <w:b/>
        </w:rPr>
        <w:t xml:space="preserve">Living Review Capability:</w:t>
      </w:r>
      <w:r>
        <w:t xml:space="preserve"> </w:t>
      </w:r>
      <w:r>
        <w:t xml:space="preserve">The infrastructure enables monthly update cycles in 5-10 minutes by reusing expert-configured criteria, transforming 5.5-year update cycles into continuous evidence monitoring.</w:t>
      </w:r>
    </w:p>
    <w:bookmarkEnd w:id="21"/>
    <w:bookmarkStart w:id="22" w:name="response-to-reviewers"/>
    <w:p>
      <w:pPr>
        <w:pStyle w:val="Heading2"/>
      </w:pPr>
      <w:r>
        <w:t xml:space="preserve">Response to Reviewers</w:t>
      </w:r>
    </w:p>
    <w:p>
      <w:pPr>
        <w:pStyle w:val="FirstParagraph"/>
      </w:pPr>
      <w:r>
        <w:t xml:space="preserve">We have carefully addressed all reviewer comments with substantial revisions including:</w:t>
      </w:r>
    </w:p>
    <w:p>
      <w:pPr>
        <w:numPr>
          <w:ilvl w:val="0"/>
          <w:numId w:val="1002"/>
        </w:numPr>
        <w:pStyle w:val="Compact"/>
      </w:pPr>
      <w:r>
        <w:rPr>
          <w:bCs/>
          <w:b/>
        </w:rPr>
        <w:t xml:space="preserve">Enhanced transparency:</w:t>
      </w:r>
      <w:r>
        <w:t xml:space="preserve"> </w:t>
      </w:r>
      <w:r>
        <w:t xml:space="preserve">Complete prompt examples, detailed methodology for literature search replication, and explicit explanations of all outcome metrics for clinical readers</w:t>
      </w:r>
    </w:p>
    <w:p>
      <w:pPr>
        <w:numPr>
          <w:ilvl w:val="0"/>
          <w:numId w:val="1002"/>
        </w:numPr>
        <w:pStyle w:val="Compact"/>
      </w:pPr>
      <w:r>
        <w:rPr>
          <w:bCs/>
          <w:b/>
        </w:rPr>
        <w:t xml:space="preserve">Comparison with existing tools:</w:t>
      </w:r>
      <w:r>
        <w:t xml:space="preserve"> </w:t>
      </w:r>
      <w:r>
        <w:t xml:space="preserve">New Discussion section contrasting our approach with ASReview, RobotReviewer, and Rayyan</w:t>
      </w:r>
    </w:p>
    <w:p>
      <w:pPr>
        <w:numPr>
          <w:ilvl w:val="0"/>
          <w:numId w:val="1002"/>
        </w:numPr>
        <w:pStyle w:val="Compact"/>
      </w:pPr>
      <w:r>
        <w:rPr>
          <w:bCs/>
          <w:b/>
        </w:rPr>
        <w:t xml:space="preserve">Clarified AI role:</w:t>
      </w:r>
      <w:r>
        <w:t xml:space="preserve"> </w:t>
      </w:r>
      <w:r>
        <w:t xml:space="preserve">Extensive new sections emphasizing that AI assists domain experts rather than replacing them, with evidence that performance depends entirely on expert configuration quality</w:t>
      </w:r>
    </w:p>
    <w:p>
      <w:pPr>
        <w:numPr>
          <w:ilvl w:val="0"/>
          <w:numId w:val="1002"/>
        </w:numPr>
        <w:pStyle w:val="Compact"/>
      </w:pPr>
      <w:r>
        <w:rPr>
          <w:bCs/>
          <w:b/>
        </w:rPr>
        <w:t xml:space="preserve">Strengthened reproducibility:</w:t>
      </w:r>
      <w:r>
        <w:t xml:space="preserve"> </w:t>
      </w:r>
      <w:r>
        <w:t xml:space="preserve">All screening configurations, validation results, and analysis scripts available via GitHub under MIT license</w:t>
      </w:r>
    </w:p>
    <w:bookmarkEnd w:id="22"/>
    <w:bookmarkStart w:id="23" w:name="statement-of-originality"/>
    <w:p>
      <w:pPr>
        <w:pStyle w:val="Heading2"/>
      </w:pPr>
      <w:r>
        <w:t xml:space="preserve">Statement of Originality</w:t>
      </w:r>
    </w:p>
    <w:p>
      <w:pPr>
        <w:pStyle w:val="FirstParagraph"/>
      </w:pPr>
      <w:r>
        <w:t xml:space="preserve">This manuscript presents original research that has not been published previously and is not under consideration elsewhere. All authors have approved the manuscript and agree with its submission to</w:t>
      </w:r>
      <w:r>
        <w:t xml:space="preserve"> </w:t>
      </w:r>
      <w:r>
        <w:rPr>
          <w:iCs/>
          <w:i/>
        </w:rPr>
        <w:t xml:space="preserve">Plastic and Reconstructive Surgery</w:t>
      </w:r>
      <w:r>
        <w:t xml:space="preserve">.</w:t>
      </w:r>
    </w:p>
    <w:bookmarkEnd w:id="23"/>
    <w:bookmarkStart w:id="24" w:name="potential-reviewers"/>
    <w:p>
      <w:pPr>
        <w:pStyle w:val="Heading2"/>
      </w:pPr>
      <w:r>
        <w:t xml:space="preserve">Potential Reviewers</w:t>
      </w:r>
    </w:p>
    <w:p>
      <w:pPr>
        <w:pStyle w:val="FirstParagraph"/>
      </w:pPr>
      <w:r>
        <w:t xml:space="preserve">We suggest the following reviewers with expertise in systematic review methodology and AI applications in surgery:</w:t>
      </w:r>
    </w:p>
    <w:p>
      <w:pPr>
        <w:numPr>
          <w:ilvl w:val="0"/>
          <w:numId w:val="1003"/>
        </w:numPr>
        <w:pStyle w:val="Compact"/>
      </w:pPr>
      <w:r>
        <w:rPr>
          <w:bCs/>
          <w:b/>
        </w:rPr>
        <w:t xml:space="preserve">[Reviewer 1 Name, Institution]</w:t>
      </w:r>
      <w:r>
        <w:t xml:space="preserve"> </w:t>
      </w:r>
      <w:r>
        <w:t xml:space="preserve">- Expertise in systematic review automation</w:t>
      </w:r>
    </w:p>
    <w:p>
      <w:pPr>
        <w:numPr>
          <w:ilvl w:val="0"/>
          <w:numId w:val="1003"/>
        </w:numPr>
        <w:pStyle w:val="Compact"/>
      </w:pPr>
      <w:r>
        <w:rPr>
          <w:bCs/>
          <w:b/>
        </w:rPr>
        <w:t xml:space="preserve">[Reviewer 2 Name, Institution]</w:t>
      </w:r>
      <w:r>
        <w:t xml:space="preserve"> </w:t>
      </w:r>
      <w:r>
        <w:t xml:space="preserve">- Expertise in plastic surgery evidence synthesis</w:t>
      </w:r>
    </w:p>
    <w:p>
      <w:pPr>
        <w:numPr>
          <w:ilvl w:val="0"/>
          <w:numId w:val="1003"/>
        </w:numPr>
        <w:pStyle w:val="Compact"/>
      </w:pPr>
      <w:r>
        <w:rPr>
          <w:bCs/>
          <w:b/>
        </w:rPr>
        <w:t xml:space="preserve">[Reviewer 3 Name, Institution]</w:t>
      </w:r>
      <w:r>
        <w:t xml:space="preserve"> </w:t>
      </w:r>
      <w:r>
        <w:t xml:space="preserve">- Expertise in AI/ML applications in clinical research</w:t>
      </w:r>
    </w:p>
    <w:bookmarkEnd w:id="24"/>
    <w:bookmarkStart w:id="25" w:name="conflicts-of-interest"/>
    <w:p>
      <w:pPr>
        <w:pStyle w:val="Heading2"/>
      </w:pPr>
      <w:r>
        <w:t xml:space="preserve">Conflicts of Interest</w:t>
      </w:r>
    </w:p>
    <w:p>
      <w:pPr>
        <w:pStyle w:val="FirstParagraph"/>
      </w:pPr>
      <w:r>
        <w:t xml:space="preserve">The authors declare no conflicts of interest related to this work.</w:t>
      </w:r>
    </w:p>
    <w:bookmarkEnd w:id="25"/>
    <w:bookmarkStart w:id="26" w:name="funding"/>
    <w:p>
      <w:pPr>
        <w:pStyle w:val="Heading2"/>
      </w:pPr>
      <w:r>
        <w:t xml:space="preserve">Funding</w:t>
      </w:r>
    </w:p>
    <w:p>
      <w:pPr>
        <w:pStyle w:val="FirstParagraph"/>
      </w:pPr>
      <w:r>
        <w:t xml:space="preserve">[Include funding statement if applicable]</w:t>
      </w:r>
    </w:p>
    <w:p>
      <w:r>
        <w:pict>
          <v:rect style="width:0;height:1.5pt" o:hralign="center" o:hrstd="t" o:hr="t"/>
        </w:pict>
      </w:r>
    </w:p>
    <w:p>
      <w:pPr>
        <w:pStyle w:val="FirstParagraph"/>
      </w:pPr>
      <w:r>
        <w:t xml:space="preserve">We believe this work represents a significant advance in making rigorous evidence synthesis accessible to plastic surgery practitioners and will be of substantial interest to your readership. We thank the reviewers for their constructive feedback, which has substantially strengthened the manuscript.</w:t>
      </w:r>
    </w:p>
    <w:p>
      <w:pPr>
        <w:pStyle w:val="BodyText"/>
      </w:pPr>
      <w:r>
        <w:t xml:space="preserve">We look forward to hearing from you regarding our submission.</w:t>
      </w:r>
    </w:p>
    <w:p>
      <w:pPr>
        <w:pStyle w:val="BodyText"/>
      </w:pPr>
      <w:r>
        <w:t xml:space="preserve">Respectfully submitted,</w:t>
      </w:r>
    </w:p>
    <w:p>
      <w:pPr>
        <w:pStyle w:val="BodyText"/>
      </w:pPr>
      <w:r>
        <w:rPr>
          <w:bCs/>
          <w:b/>
        </w:rPr>
        <w:t xml:space="preserve">[Corresponding Author Name]</w:t>
      </w:r>
      <w:r>
        <w:t xml:space="preserve"> </w:t>
      </w:r>
      <w:r>
        <w:t xml:space="preserve">[Title, Department]</w:t>
      </w:r>
      <w:r>
        <w:t xml:space="preserve"> </w:t>
      </w:r>
      <w:r>
        <w:t xml:space="preserve">[Institution]</w:t>
      </w:r>
      <w:r>
        <w:t xml:space="preserve"> </w:t>
      </w:r>
      <w:r>
        <w:t xml:space="preserve">[Address]</w:t>
      </w:r>
      <w:r>
        <w:t xml:space="preserve"> </w:t>
      </w:r>
      <w:r>
        <w:t xml:space="preserve">[Email]</w:t>
      </w:r>
      <w:r>
        <w:t xml:space="preserve"> </w:t>
      </w:r>
      <w:r>
        <w:t xml:space="preserve">[Phone]</w:t>
      </w:r>
    </w:p>
    <w:p>
      <w:r>
        <w:pict>
          <v:rect style="width:0;height:1.5pt" o:hralign="center" o:hrstd="t" o:hr="t"/>
        </w:pict>
      </w:r>
    </w:p>
    <w:p>
      <w:pPr>
        <w:pStyle w:val="FirstParagraph"/>
      </w:pPr>
      <w:r>
        <w:rPr>
          <w:bCs/>
          <w:b/>
        </w:rPr>
        <w:t xml:space="preserve">Enclosures:</w:t>
      </w:r>
      <w:r>
        <w:t xml:space="preserve"> </w:t>
      </w:r>
      <w:r>
        <w:t xml:space="preserve">- Revised manuscript (manuscript_unified.docx)</w:t>
      </w:r>
      <w:r>
        <w:t xml:space="preserve"> </w:t>
      </w:r>
      <w:r>
        <w:t xml:space="preserve">- Response to Reviewers (Response_to_Reviewers_Revision2.md)</w:t>
      </w:r>
      <w:r>
        <w:t xml:space="preserve"> </w:t>
      </w:r>
      <w:r>
        <w:t xml:space="preserve">- Figures 1-4 (TIFF format, 300 DPI, CMYK)</w:t>
      </w:r>
      <w:r>
        <w:t xml:space="preserve"> </w:t>
      </w:r>
      <w:r>
        <w:t xml:space="preserve">- Tables 1-4 (Word format)</w:t>
      </w:r>
      <w:r>
        <w:t xml:space="preserve"> </w:t>
      </w:r>
      <w:r>
        <w:t xml:space="preserve">- Supplementary Materials (supplementary_materials.docx)</w:t>
      </w:r>
      <w:r>
        <w:t xml:space="preserve"> </w:t>
      </w:r>
      <w:r>
        <w:t xml:space="preserve">- Supplementary Figures S1-S3 (TIFF format)</w:t>
      </w:r>
      <w:r>
        <w:t xml:space="preserve"> </w:t>
      </w:r>
      <w:r>
        <w:t xml:space="preserve">- Supplementary Data Files (via GitHub repository)</w:t>
      </w:r>
    </w:p>
    <w:bookmarkEnd w:id="26"/>
    <w:bookmarkEnd w:id="27"/>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PAGE</w:instrText>
    </w:r>
    <w: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0" w:line="48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hAnsi="Times New Roman"/>
      <w:b/>
      <w:bCs/>
      <w:cap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hAnsi="Times New Roman"/>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120" w:line="480" w:lineRule="auto"/>
      <w:outlineLvl w:val="2"/>
    </w:pPr>
    <w:rPr>
      <w:rFonts w:ascii="Times New Roman" w:hAnsi="Times New Roman"/>
      <w:b w:val="0"/>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val="000000"/>
      <w:sz w:val="28"/>
      <w:szCs w:val="28"/>
    </w:rPr>
  </w:style>
  <w:style w:customStyle="1" w:styleId="Heading2Char" w:type="character">
    <w:name w:val="Heading 2 Char"/>
    <w:basedOn w:val="DefaultParagraphFont"/>
    <w:link w:val="Heading2"/>
    <w:uiPriority w:val="9"/>
    <w:rsid w:val="00FC693F"/>
    <w:rPr>
      <w:rFonts/>
      <w:b/>
      <w:bCs/>
      <w:color w:val="000000"/>
      <w:sz w:val="26"/>
      <w:szCs w:val="26"/>
    </w:rPr>
  </w:style>
  <w:style w:customStyle="1" w:styleId="Heading3Char" w:type="character">
    <w:name w:val="Heading 3 Char"/>
    <w:basedOn w:val="DefaultParagraphFont"/>
    <w:link w:val="Heading3"/>
    <w:uiPriority w:val="9"/>
    <w:rsid w:val="00FC693F"/>
    <w:rPr>
      <w:rFonts/>
      <w:b/>
      <w:bCs/>
      <w:color w:val="000000"/>
    </w:rPr>
  </w:style>
  <w:style w:styleId="Title" w:type="paragraph">
    <w:name w:val="Title"/>
    <w:basedOn w:val="Normal"/>
    <w:next w:val="Normal"/>
    <w:link w:val="TitleChar"/>
    <w:uiPriority w:val="10"/>
    <w:qFormat/>
    <w:rsid w:val="00FC693F"/>
    <w:pPr>
      <w:spacing w:after="240" w:before="0" w:line="480" w:lineRule="auto"/>
      <w:contextualSpacing/>
      <w:jc w:val="center"/>
    </w:pPr>
    <w:rPr>
      <w:rFonts w:ascii="Times New Roman" w:hAnsi="Times New Roman"/>
      <w:b/>
      <w:color w:val="000000"/>
      <w:spacing w:val="5"/>
      <w:kern w:val="28"/>
      <w:sz w:val="28"/>
      <w:szCs w:val="52"/>
    </w:rPr>
  </w:style>
  <w:style w:customStyle="1" w:styleId="TitleChar" w:type="character">
    <w:name w:val="Title Char"/>
    <w:basedOn w:val="DefaultParagraphFont"/>
    <w:link w:val="Title"/>
    <w:uiPriority w:val="10"/>
    <w:rsid w:val="00FC693F"/>
    <w:rPr>
      <w:rFonts/>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line="480" w:lineRule="auto"/>
      <w:jc w:val="cente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480" w:lineRule="auto"/>
      <w:ind w:firstLine="7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b/>
      <w:bCs/>
      <w:i/>
      <w:iCs/>
      <w:color w:val="000000"/>
    </w:rPr>
  </w:style>
  <w:style w:customStyle="1" w:styleId="Heading5Char" w:type="character">
    <w:name w:val="Heading 5 Char"/>
    <w:basedOn w:val="DefaultParagraphFont"/>
    <w:link w:val="Heading5"/>
    <w:uiPriority w:val="9"/>
    <w:semiHidden/>
    <w:rsid w:val="00FC693F"/>
    <w:rPr>
      <w:rFonts/>
      <w:color w:val="000000"/>
    </w:rPr>
  </w:style>
  <w:style w:customStyle="1" w:styleId="Heading6Char" w:type="character">
    <w:name w:val="Heading 6 Char"/>
    <w:basedOn w:val="DefaultParagraphFont"/>
    <w:link w:val="Heading6"/>
    <w:uiPriority w:val="9"/>
    <w:semiHidden/>
    <w:rsid w:val="00FC693F"/>
    <w:rPr>
      <w:rFonts/>
      <w:i/>
      <w:iCs/>
      <w:color w:val="000000"/>
    </w:rPr>
  </w:style>
  <w:style w:customStyle="1" w:styleId="Heading7Char" w:type="character">
    <w:name w:val="Heading 7 Char"/>
    <w:basedOn w:val="DefaultParagraphFont"/>
    <w:link w:val="Heading7"/>
    <w:uiPriority w:val="9"/>
    <w:semiHidden/>
    <w:rsid w:val="00FC693F"/>
    <w:rPr>
      <w:rFonts/>
      <w:i/>
      <w:iCs/>
      <w:color w:val="000000"/>
    </w:rPr>
  </w:style>
  <w:style w:customStyle="1" w:styleId="Heading8Char" w:type="character">
    <w:name w:val="Heading 8 Char"/>
    <w:basedOn w:val="DefaultParagraphFont"/>
    <w:link w:val="Heading8"/>
    <w:uiPriority w:val="9"/>
    <w:semiHidden/>
    <w:rsid w:val="00FC693F"/>
    <w:rPr>
      <w:rFonts/>
      <w:color w:val="000000"/>
      <w:sz w:val="20"/>
      <w:szCs w:val="20"/>
    </w:rPr>
  </w:style>
  <w:style w:customStyle="1" w:styleId="Heading9Char" w:type="character">
    <w:name w:val="Heading 9 Char"/>
    <w:basedOn w:val="DefaultParagraphFont"/>
    <w:link w:val="Heading9"/>
    <w:uiPriority w:val="9"/>
    <w:semiHidden/>
    <w:rsid w:val="00FC693F"/>
    <w:rPr>
      <w:rFonts/>
      <w:i/>
      <w:iCs/>
      <w:color w:val="000000"/>
      <w:sz w:val="20"/>
      <w:szCs w:val="20"/>
    </w:rPr>
  </w:style>
  <w:style w:styleId="Caption" w:type="paragraph">
    <w:name w:val="caption"/>
    <w:basedOn w:val="Normal"/>
    <w:next w:val="Normal"/>
    <w:uiPriority w:val="35"/>
    <w:semiHidden/>
    <w:unhideWhenUsed/>
    <w:qFormat/>
    <w:rsid w:val="00FC693F"/>
    <w:pPr>
      <w:spacing w:after="120" w:before="120" w:line="480" w:lineRule="auto"/>
    </w:pPr>
    <w:rPr>
      <w:rFonts w:ascii="Times New Roman" w:hAnsi="Times New Roman"/>
      <w:b/>
      <w:bCs/>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C0504D"/>
      <w:u w:val="single"/>
    </w:rPr>
  </w:style>
  <w:style w:styleId="IntenseReference" w:type="character">
    <w:name w:val="Intense Reference"/>
    <w:basedOn w:val="DefaultParagraphFont"/>
    <w:uiPriority w:val="32"/>
    <w:qFormat/>
    <w:rsid w:val="00FC693F"/>
    <w:rPr>
      <w:b/>
      <w:bCs/>
      <w:smallCaps/>
      <w:color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line="480" w:lineRule="auto"/>
      <w:outlineLvl w:val="9"/>
    </w:pPr>
    <w:rPr>
      <w:rFonts w:ascii="Times New Roman" w:hAnsi="Times New Roman"/>
      <w:b/>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943634"/>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76923C"/>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la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5F497A"/>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la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31849B"/>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la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E36C0A"/>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la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themeFill="tex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F81BD" w:themeFill="accen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C0504D" w:themeFill="accent2" w:val="clear"/>
      </w:tcPr>
    </w:tblStylePr>
    <w:tblStylePr w:type="lastRow">
      <w:pPr>
        <w:spacing w:after="0" w:before="0" w:line="240" w:lineRule="auto"/>
      </w:pPr>
      <w:rPr>
        <w:b/>
        <w:bCs/>
      </w:rPr>
      <w:tblPr/>
      <w:tcPr>
        <w:tcBorders>
          <w:top w:color="C0504D" w:space="0" w:sz="6" w:val="double"/>
          <w:left w:color="C0504D" w:space="0" w:sz="8" w:val="single"/>
          <w:bottom w:color="C0504D" w:space="0" w:sz="8" w:val="single"/>
          <w:right w:color="C0504D" w:space="0" w:sz="8" w:val="single"/>
        </w:tcBorders>
      </w:tcPr>
    </w:tblStylePr>
    <w:tblStylePr w:type="firstCol">
      <w:rPr>
        <w:b/>
        <w:bCs/>
      </w:rPr>
    </w:tblStylePr>
    <w:tblStylePr w:type="lastCol">
      <w:rPr>
        <w:b/>
        <w:bCs/>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9BBB59" w:themeFill="accent3" w:val="clear"/>
      </w:tcPr>
    </w:tblStylePr>
    <w:tblStylePr w:type="lastRow">
      <w:pPr>
        <w:spacing w:after="0" w:before="0" w:line="240" w:lineRule="auto"/>
      </w:pPr>
      <w:rPr>
        <w:b/>
        <w:bCs/>
      </w:rPr>
      <w:tblPr/>
      <w:tcPr>
        <w:tcBorders>
          <w:top w:color="9BBB59" w:space="0" w:sz="6" w:val="double"/>
          <w:left w:color="9BBB59" w:space="0" w:sz="8" w:val="single"/>
          <w:bottom w:color="9BBB59" w:space="0" w:sz="8" w:val="single"/>
          <w:right w:color="9BBB59" w:space="0" w:sz="8" w:val="single"/>
        </w:tcBorders>
      </w:tcPr>
    </w:tblStylePr>
    <w:tblStylePr w:type="firstCol">
      <w:rPr>
        <w:b/>
        <w:bCs/>
      </w:rPr>
    </w:tblStylePr>
    <w:tblStylePr w:type="lastCol">
      <w:rPr>
        <w:b/>
        <w:bCs/>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8064A2" w:themeFill="accent4" w:val="clear"/>
      </w:tcPr>
    </w:tblStylePr>
    <w:tblStylePr w:type="lastRow">
      <w:pPr>
        <w:spacing w:after="0" w:before="0" w:line="240" w:lineRule="auto"/>
      </w:pPr>
      <w:rPr>
        <w:b/>
        <w:bCs/>
      </w:rPr>
      <w:tblPr/>
      <w:tcPr>
        <w:tcBorders>
          <w:top w:color="8064A2" w:space="0" w:sz="6" w:val="double"/>
          <w:left w:color="8064A2" w:space="0" w:sz="8" w:val="single"/>
          <w:bottom w:color="8064A2" w:space="0" w:sz="8" w:val="single"/>
          <w:right w:color="8064A2" w:space="0" w:sz="8" w:val="single"/>
        </w:tcBorders>
      </w:tcPr>
    </w:tblStylePr>
    <w:tblStylePr w:type="firstCol">
      <w:rPr>
        <w:b/>
        <w:bCs/>
      </w:rPr>
    </w:tblStylePr>
    <w:tblStylePr w:type="lastCol">
      <w:rPr>
        <w:b/>
        <w:bCs/>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BACC6" w:themeFill="accent5"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F79646" w:themeFill="accent6" w:val="clear"/>
      </w:tcPr>
    </w:tblStylePr>
    <w:tblStylePr w:type="lastRow">
      <w:pPr>
        <w:spacing w:after="0" w:before="0" w:line="240" w:lineRule="auto"/>
      </w:pPr>
      <w:rPr>
        <w:b/>
        <w:bCs/>
      </w:rPr>
      <w:tblPr/>
      <w:tcPr>
        <w:tcBorders>
          <w:top w:color="F79646" w:space="0" w:sz="6" w:val="double"/>
          <w:left w:color="F79646" w:space="0" w:sz="8" w:val="single"/>
          <w:bottom w:color="F79646" w:space="0" w:sz="8" w:val="single"/>
          <w:right w:color="F79646" w:space="0" w:sz="8" w:val="single"/>
        </w:tcBorders>
      </w:tcPr>
    </w:tblStylePr>
    <w:tblStylePr w:type="firstCol">
      <w:rPr>
        <w:b/>
        <w:bCs/>
      </w:rPr>
    </w:tblStylePr>
    <w:tblStylePr w:type="lastCol">
      <w:rPr>
        <w:b/>
        <w:bCs/>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themeFill="tex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themeFill="tex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D3DFEE" w:themeFill="accen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D3DFEE" w:themeFill="accen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lastRow">
      <w:pPr>
        <w:spacing w:after="0" w:before="0" w:line="240" w:lineRule="auto"/>
      </w:pPr>
      <w:rPr>
        <w:rFonts/>
        <w:b/>
        <w:bCs/>
      </w:rPr>
      <w:tbl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firstCol">
      <w:rPr>
        <w:rFonts/>
        <w:b/>
        <w:bCs/>
      </w:rPr>
    </w:tblStylePr>
    <w:tblStylePr w:type="lastCol">
      <w:rPr>
        <w:rFonts/>
        <w:b/>
        <w:bCs/>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themeFill="accent2" w:themeFillTint="3F"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themeFill="accent2" w:themeFillTint="3F"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lastRow">
      <w:pPr>
        <w:spacing w:after="0" w:before="0" w:line="240" w:lineRule="auto"/>
      </w:pPr>
      <w:rPr>
        <w:rFonts/>
        <w:b/>
        <w:bCs/>
      </w:rPr>
      <w:tbl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firstCol">
      <w:rPr>
        <w:rFonts/>
        <w:b/>
        <w:bCs/>
      </w:rPr>
    </w:tblStylePr>
    <w:tblStylePr w:type="lastCol">
      <w:rPr>
        <w:rFonts/>
        <w:b/>
        <w:bCs/>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themeFill="accent3" w:themeFillTint="3F"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themeFill="accent3" w:themeFillTint="3F"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val="single"/>
          <w:left w:color="8064A2" w:space="0" w:sz="8" w:val="single"/>
          <w:bottom w:color="8064A2" w:space="0" w:sz="18" w:val="single"/>
          <w:right w:color="8064A2" w:space="0" w:sz="8" w:val="single"/>
          <w:insideH w:val="nil"/>
          <w:insideV w:color="8064A2" w:space="0" w:sz="8" w:val="single"/>
        </w:tcBorders>
      </w:tcPr>
    </w:tblStylePr>
    <w:tblStylePr w:type="lastRow">
      <w:pPr>
        <w:spacing w:after="0" w:before="0" w:line="240" w:lineRule="auto"/>
      </w:pPr>
      <w:rPr>
        <w:rFonts/>
        <w:b/>
        <w:bCs/>
      </w:rPr>
      <w:tblPr/>
      <w:tcPr>
        <w:tcBorders>
          <w:top w:color="8064A2" w:space="0" w:sz="6" w:val="double"/>
          <w:left w:color="8064A2" w:space="0" w:sz="8" w:val="single"/>
          <w:bottom w:color="8064A2" w:space="0" w:sz="8" w:val="single"/>
          <w:right w:color="8064A2" w:space="0" w:sz="8" w:val="single"/>
          <w:insideH w:val="nil"/>
          <w:insideV w:color="8064A2" w:space="0" w:sz="8" w:val="single"/>
        </w:tcBorders>
      </w:tcPr>
    </w:tblStylePr>
    <w:tblStylePr w:type="firstCol">
      <w:rPr>
        <w:rFonts/>
        <w:b/>
        <w:bCs/>
      </w:rPr>
    </w:tblStylePr>
    <w:tblStylePr w:type="lastCol">
      <w:rPr>
        <w:rFonts/>
        <w:b/>
        <w:bCs/>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themeFill="accent4" w:themeFillTint="3F"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themeFill="accent4" w:themeFillTint="3F"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val="single"/>
          <w:left w:color="4BACC6" w:space="0" w:sz="8" w:val="single"/>
          <w:bottom w:color="4BACC6" w:space="0" w:sz="18" w:val="single"/>
          <w:right w:color="4BACC6" w:space="0" w:sz="8" w:val="single"/>
          <w:insideH w:val="nil"/>
          <w:insideV w:color="4BACC6" w:space="0" w:sz="8" w:val="single"/>
        </w:tcBorders>
      </w:tcPr>
    </w:tblStylePr>
    <w:tblStylePr w:type="lastRow">
      <w:pPr>
        <w:spacing w:after="0" w:before="0" w:line="240" w:lineRule="auto"/>
      </w:pPr>
      <w:rPr>
        <w:rFonts/>
        <w:b/>
        <w:bCs/>
      </w:rPr>
      <w:tblPr/>
      <w:tcPr>
        <w:tcBorders>
          <w:top w:color="4BACC6" w:space="0" w:sz="6" w:val="double"/>
          <w:left w:color="4BACC6" w:space="0" w:sz="8" w:val="single"/>
          <w:bottom w:color="4BACC6" w:space="0" w:sz="8" w:val="single"/>
          <w:right w:color="4BACC6" w:space="0" w:sz="8" w:val="single"/>
          <w:insideH w:val="nil"/>
          <w:insideV w:color="4BACC6" w:space="0" w:sz="8" w:val="single"/>
        </w:tcBorders>
      </w:tcPr>
    </w:tblStylePr>
    <w:tblStylePr w:type="firstCol">
      <w:rPr>
        <w:rFonts/>
        <w:b/>
        <w:bCs/>
      </w:rPr>
    </w:tblStylePr>
    <w:tblStylePr w:type="lastCol">
      <w:rPr>
        <w:rFonts/>
        <w:b/>
        <w:bCs/>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themeFill="accent5" w:themeFillTint="3F"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themeFill="accent5" w:themeFillTint="3F"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val="single"/>
          <w:left w:color="F79646" w:space="0" w:sz="8" w:val="single"/>
          <w:bottom w:color="F79646" w:space="0" w:sz="18" w:val="single"/>
          <w:right w:color="F79646" w:space="0" w:sz="8" w:val="single"/>
          <w:insideH w:val="nil"/>
          <w:insideV w:color="F79646" w:space="0" w:sz="8" w:val="single"/>
        </w:tcBorders>
      </w:tcPr>
    </w:tblStylePr>
    <w:tblStylePr w:type="lastRow">
      <w:pPr>
        <w:spacing w:after="0" w:before="0" w:line="240" w:lineRule="auto"/>
      </w:pPr>
      <w:rPr>
        <w:rFonts/>
        <w:b/>
        <w:bCs/>
      </w:rPr>
      <w:tblPr/>
      <w:tcPr>
        <w:tcBorders>
          <w:top w:color="F79646" w:space="0" w:sz="6" w:val="double"/>
          <w:left w:color="F79646" w:space="0" w:sz="8" w:val="single"/>
          <w:bottom w:color="F79646" w:space="0" w:sz="8" w:val="single"/>
          <w:right w:color="F79646" w:space="0" w:sz="8" w:val="single"/>
          <w:insideH w:val="nil"/>
          <w:insideV w:color="F79646" w:space="0" w:sz="8" w:val="single"/>
        </w:tcBorders>
      </w:tcPr>
    </w:tblStylePr>
    <w:tblStylePr w:type="firstCol">
      <w:rPr>
        <w:rFonts/>
        <w:b/>
        <w:bCs/>
      </w:rPr>
    </w:tblStylePr>
    <w:tblStylePr w:type="lastCol">
      <w:rPr>
        <w:rFonts/>
        <w:b/>
        <w:bCs/>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themeFill="accent6" w:themeFillTint="3F"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themeFill="accent6" w:themeFillTint="3F"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BA0CD" w:space="0" w:sz="8" w:val="single"/>
          <w:left w:color="7BA0CD" w:space="0" w:sz="8" w:val="single"/>
          <w:bottom w:color="7BA0CD" w:space="0" w:sz="8" w:val="single"/>
          <w:right w:color="7BA0CD" w:space="0" w:sz="8"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val="double"/>
          <w:left w:color="7BA0CD" w:space="0" w:sz="8" w:val="single"/>
          <w:bottom w:color="7BA0CD" w:space="0" w:sz="8" w:val="single"/>
          <w:right w:color="7BA0CD" w:space="0" w:sz="8"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CF7B79" w:space="0" w:sz="8" w:val="single"/>
          <w:left w:color="CF7B79" w:space="0" w:sz="8" w:val="single"/>
          <w:bottom w:color="CF7B79" w:space="0" w:sz="8" w:val="single"/>
          <w:right w:color="CF7B79" w:space="0" w:sz="8"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val="double"/>
          <w:left w:color="CF7B79" w:space="0" w:sz="8" w:val="single"/>
          <w:bottom w:color="CF7B79" w:space="0" w:sz="8" w:val="single"/>
          <w:right w:color="CF7B79" w:space="0" w:sz="8"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B3CC82" w:space="0" w:sz="8" w:val="single"/>
          <w:left w:color="B3CC82" w:space="0" w:sz="8" w:val="single"/>
          <w:bottom w:color="B3CC82" w:space="0" w:sz="8" w:val="single"/>
          <w:right w:color="B3CC82" w:space="0" w:sz="8"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val="double"/>
          <w:left w:color="B3CC82" w:space="0" w:sz="8" w:val="single"/>
          <w:bottom w:color="B3CC82" w:space="0" w:sz="8" w:val="single"/>
          <w:right w:color="B3CC82" w:space="0" w:sz="8"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9F8AB9" w:space="0" w:sz="8" w:val="single"/>
          <w:left w:color="9F8AB9" w:space="0" w:sz="8" w:val="single"/>
          <w:bottom w:color="9F8AB9" w:space="0" w:sz="8" w:val="single"/>
          <w:right w:color="9F8AB9" w:space="0" w:sz="8"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val="double"/>
          <w:left w:color="9F8AB9" w:space="0" w:sz="8" w:val="single"/>
          <w:bottom w:color="9F8AB9" w:space="0" w:sz="8" w:val="single"/>
          <w:right w:color="9F8AB9" w:space="0" w:sz="8"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8C0D4" w:space="0" w:sz="8" w:val="single"/>
          <w:left w:color="78C0D4" w:space="0" w:sz="8" w:val="single"/>
          <w:bottom w:color="78C0D4" w:space="0" w:sz="8" w:val="single"/>
          <w:right w:color="78C0D4" w:space="0" w:sz="8"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val="double"/>
          <w:left w:color="78C0D4" w:space="0" w:sz="8" w:val="single"/>
          <w:bottom w:color="78C0D4" w:space="0" w:sz="8" w:val="single"/>
          <w:right w:color="78C0D4" w:space="0" w:sz="8"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F9B074" w:space="0" w:sz="8" w:val="single"/>
          <w:left w:color="F9B074" w:space="0" w:sz="8" w:val="single"/>
          <w:bottom w:color="F9B074" w:space="0" w:sz="8" w:val="single"/>
          <w:right w:color="F9B074" w:space="0" w:sz="8"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val="double"/>
          <w:left w:color="F9B074" w:space="0" w:sz="8" w:val="single"/>
          <w:bottom w:color="F9B074" w:space="0" w:sz="8" w:val="single"/>
          <w:right w:color="F9B074" w:space="0" w:sz="8"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rPr>
        <w:rFonts/>
      </w:rPr>
      <w:tblPr/>
      <w:tcPr>
        <w:tcBorders>
          <w:top w:val="nil"/>
          <w:bottom w:color="C0504D" w:space="0" w:sz="8" w:val="single"/>
        </w:tcBorders>
      </w:tcPr>
    </w:tblStylePr>
    <w:tblStylePr w:type="lastRow">
      <w:rPr>
        <w:b/>
        <w:bCs/>
        <w:color w:val="1F497D"/>
      </w:rPr>
      <w:tblPr/>
      <w:tcPr>
        <w:tcBorders>
          <w:top w:color="C0504D" w:space="0" w:sz="8" w:val="single"/>
          <w:bottom w:color="C0504D" w:space="0" w:sz="8" w:val="single"/>
        </w:tcBorders>
      </w:tcPr>
    </w:tblStylePr>
    <w:tblStylePr w:type="firstCol">
      <w:rPr>
        <w:b/>
        <w:bCs/>
      </w:rPr>
    </w:tblStylePr>
    <w:tblStylePr w:type="lastCol">
      <w:rPr>
        <w:b/>
        <w:bCs/>
      </w:rPr>
      <w:tblPr/>
      <w:tcPr>
        <w:tcBorders>
          <w:top w:color="C0504D" w:space="0" w:sz="8" w:val="single"/>
          <w:bottom w:color="C0504D" w:space="0" w:sz="8"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rPr>
        <w:rFonts/>
      </w:rPr>
      <w:tblPr/>
      <w:tcPr>
        <w:tcBorders>
          <w:top w:val="nil"/>
          <w:bottom w:color="9BBB59" w:space="0" w:sz="8" w:val="single"/>
        </w:tcBorders>
      </w:tcPr>
    </w:tblStylePr>
    <w:tblStylePr w:type="lastRow">
      <w:rPr>
        <w:b/>
        <w:bCs/>
        <w:color w:val="1F497D"/>
      </w:rPr>
      <w:tblPr/>
      <w:tcPr>
        <w:tcBorders>
          <w:top w:color="9BBB59" w:space="0" w:sz="8" w:val="single"/>
          <w:bottom w:color="9BBB59" w:space="0" w:sz="8" w:val="single"/>
        </w:tcBorders>
      </w:tcPr>
    </w:tblStylePr>
    <w:tblStylePr w:type="firstCol">
      <w:rPr>
        <w:b/>
        <w:bCs/>
      </w:rPr>
    </w:tblStylePr>
    <w:tblStylePr w:type="lastCol">
      <w:rPr>
        <w:b/>
        <w:bCs/>
      </w:rPr>
      <w:tblPr/>
      <w:tcPr>
        <w:tcBorders>
          <w:top w:color="9BBB59" w:space="0" w:sz="8" w:val="single"/>
          <w:bottom w:color="9BBB59" w:space="0" w:sz="8"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rPr>
        <w:rFonts/>
      </w:rPr>
      <w:tblPr/>
      <w:tcPr>
        <w:tcBorders>
          <w:top w:val="nil"/>
          <w:bottom w:color="8064A2" w:space="0" w:sz="8" w:val="single"/>
        </w:tcBorders>
      </w:tcPr>
    </w:tblStylePr>
    <w:tblStylePr w:type="lastRow">
      <w:rPr>
        <w:b/>
        <w:bCs/>
        <w:color w:val="1F497D"/>
      </w:rPr>
      <w:tblPr/>
      <w:tcPr>
        <w:tcBorders>
          <w:top w:color="8064A2" w:space="0" w:sz="8" w:val="single"/>
          <w:bottom w:color="8064A2" w:space="0" w:sz="8" w:val="single"/>
        </w:tcBorders>
      </w:tcPr>
    </w:tblStylePr>
    <w:tblStylePr w:type="firstCol">
      <w:rPr>
        <w:b/>
        <w:bCs/>
      </w:rPr>
    </w:tblStylePr>
    <w:tblStylePr w:type="lastCol">
      <w:rPr>
        <w:b/>
        <w:bCs/>
      </w:rPr>
      <w:tblPr/>
      <w:tcPr>
        <w:tcBorders>
          <w:top w:color="8064A2" w:space="0" w:sz="8" w:val="single"/>
          <w:bottom w:color="8064A2" w:space="0" w:sz="8"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rPr>
        <w:rFonts/>
      </w:rPr>
      <w:tblPr/>
      <w:tcPr>
        <w:tcBorders>
          <w:top w:val="nil"/>
          <w:bottom w:color="4BACC6" w:space="0" w:sz="8" w:val="single"/>
        </w:tcBorders>
      </w:tcPr>
    </w:tblStylePr>
    <w:tblStylePr w:type="lastRow">
      <w:rPr>
        <w:b/>
        <w:bCs/>
        <w:color w:val="1F497D"/>
      </w:rPr>
      <w:tblPr/>
      <w:tcPr>
        <w:tcBorders>
          <w:top w:color="4BACC6" w:space="0" w:sz="8" w:val="single"/>
          <w:bottom w:color="4BACC6" w:space="0" w:sz="8" w:val="single"/>
        </w:tcBorders>
      </w:tcPr>
    </w:tblStylePr>
    <w:tblStylePr w:type="firstCol">
      <w:rPr>
        <w:b/>
        <w:bCs/>
      </w:rPr>
    </w:tblStylePr>
    <w:tblStylePr w:type="lastCol">
      <w:rPr>
        <w:b/>
        <w:bCs/>
      </w:rPr>
      <w:tblPr/>
      <w:tcPr>
        <w:tcBorders>
          <w:top w:color="4BACC6" w:space="0" w:sz="8" w:val="single"/>
          <w:bottom w:color="4BACC6" w:space="0" w:sz="8"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rPr>
        <w:rFonts/>
      </w:rPr>
      <w:tblPr/>
      <w:tcPr>
        <w:tcBorders>
          <w:top w:val="nil"/>
          <w:bottom w:color="F79646" w:space="0" w:sz="8" w:val="single"/>
        </w:tcBorders>
      </w:tcPr>
    </w:tblStylePr>
    <w:tblStylePr w:type="lastRow">
      <w:rPr>
        <w:b/>
        <w:bCs/>
        <w:color w:val="1F497D"/>
      </w:rPr>
      <w:tblPr/>
      <w:tcPr>
        <w:tcBorders>
          <w:top w:color="F79646" w:space="0" w:sz="8" w:val="single"/>
          <w:bottom w:color="F79646" w:space="0" w:sz="8" w:val="single"/>
        </w:tcBorders>
      </w:tcPr>
    </w:tblStylePr>
    <w:tblStylePr w:type="firstCol">
      <w:rPr>
        <w:b/>
        <w:bCs/>
      </w:rPr>
    </w:tblStylePr>
    <w:tblStylePr w:type="lastCol">
      <w:rPr>
        <w:b/>
        <w:bCs/>
      </w:rPr>
      <w:tblPr/>
      <w:tcPr>
        <w:tcBorders>
          <w:top w:color="F79646" w:space="0" w:sz="8" w:val="single"/>
          <w:bottom w:color="F79646" w:space="0" w:sz="8"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val="single"/>
          <w:right w:val="nil"/>
          <w:insideH w:val="nil"/>
          <w:insideV w:val="nil"/>
        </w:tcBorders>
        <w:shd w:color="auto" w:fill="FFFFFF" w:themeFill="background1" w:val="clear"/>
      </w:tcPr>
    </w:tblStylePr>
    <w:tblStylePr w:type="lastRow">
      <w:tblPr/>
      <w:tcPr>
        <w:tcBorders>
          <w:top w:color="C0504D"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val="single"/>
          <w:insideH w:val="nil"/>
          <w:insideV w:val="nil"/>
        </w:tcBorders>
        <w:shd w:color="auto" w:fill="FFFFFF" w:themeFill="background1" w:val="clear"/>
      </w:tcPr>
    </w:tblStylePr>
    <w:tblStylePr w:type="lastCol">
      <w:tblPr/>
      <w:tcPr>
        <w:tcBorders>
          <w:top w:val="nil"/>
          <w:left w:color="C0504D"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val="single"/>
          <w:right w:val="nil"/>
          <w:insideH w:val="nil"/>
          <w:insideV w:val="nil"/>
        </w:tcBorders>
        <w:shd w:color="auto" w:fill="FFFFFF" w:themeFill="background1" w:val="clear"/>
      </w:tcPr>
    </w:tblStylePr>
    <w:tblStylePr w:type="lastRow">
      <w:tblPr/>
      <w:tcPr>
        <w:tcBorders>
          <w:top w:color="9BBB59"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val="single"/>
          <w:insideH w:val="nil"/>
          <w:insideV w:val="nil"/>
        </w:tcBorders>
        <w:shd w:color="auto" w:fill="FFFFFF" w:themeFill="background1" w:val="clear"/>
      </w:tcPr>
    </w:tblStylePr>
    <w:tblStylePr w:type="lastCol">
      <w:tblPr/>
      <w:tcPr>
        <w:tcBorders>
          <w:top w:val="nil"/>
          <w:left w:color="9BBB59"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val="single"/>
          <w:right w:val="nil"/>
          <w:insideH w:val="nil"/>
          <w:insideV w:val="nil"/>
        </w:tcBorders>
        <w:shd w:color="auto" w:fill="FFFFFF" w:themeFill="background1" w:val="clear"/>
      </w:tcPr>
    </w:tblStylePr>
    <w:tblStylePr w:type="lastRow">
      <w:tblPr/>
      <w:tcPr>
        <w:tcBorders>
          <w:top w:color="8064A2"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val="single"/>
          <w:insideH w:val="nil"/>
          <w:insideV w:val="nil"/>
        </w:tcBorders>
        <w:shd w:color="auto" w:fill="FFFFFF" w:themeFill="background1" w:val="clear"/>
      </w:tcPr>
    </w:tblStylePr>
    <w:tblStylePr w:type="lastCol">
      <w:tblPr/>
      <w:tcPr>
        <w:tcBorders>
          <w:top w:val="nil"/>
          <w:left w:color="8064A2"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val="single"/>
          <w:right w:val="nil"/>
          <w:insideH w:val="nil"/>
          <w:insideV w:val="nil"/>
        </w:tcBorders>
        <w:shd w:color="auto" w:fill="FFFFFF" w:themeFill="background1" w:val="clear"/>
      </w:tcPr>
    </w:tblStylePr>
    <w:tblStylePr w:type="lastRow">
      <w:tblPr/>
      <w:tcPr>
        <w:tcBorders>
          <w:top w:color="4BACC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val="single"/>
          <w:insideH w:val="nil"/>
          <w:insideV w:val="nil"/>
        </w:tcBorders>
        <w:shd w:color="auto" w:fill="FFFFFF" w:themeFill="background1" w:val="clear"/>
      </w:tcPr>
    </w:tblStylePr>
    <w:tblStylePr w:type="lastCol">
      <w:tblPr/>
      <w:tcPr>
        <w:tcBorders>
          <w:top w:val="nil"/>
          <w:left w:color="4BACC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val="single"/>
          <w:right w:val="nil"/>
          <w:insideH w:val="nil"/>
          <w:insideV w:val="nil"/>
        </w:tcBorders>
        <w:shd w:color="auto" w:fill="FFFFFF" w:themeFill="background1" w:val="clear"/>
      </w:tcPr>
    </w:tblStylePr>
    <w:tblStylePr w:type="lastRow">
      <w:tblPr/>
      <w:tcPr>
        <w:tcBorders>
          <w:top w:color="F7964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val="single"/>
          <w:insideH w:val="nil"/>
          <w:insideV w:val="nil"/>
        </w:tcBorders>
        <w:shd w:color="auto" w:fill="FFFFFF" w:themeFill="background1" w:val="clear"/>
      </w:tcPr>
    </w:tblStylePr>
    <w:tblStylePr w:type="lastCol">
      <w:tblPr/>
      <w:tcPr>
        <w:tcBorders>
          <w:top w:val="nil"/>
          <w:left w:color="F7964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val="single"/>
          <w:insideV w:color="000000" w:space="0" w:sz="6"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000000" w:space="0" w:sz="6" w:val="single"/>
          <w:insideV w:color="000000" w:space="0" w:sz="6"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val="single"/>
          <w:insideV w:color="C0504D" w:space="0" w:sz="6"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val="single"/>
          <w:insideV w:color="9BBB59" w:space="0" w:sz="6"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val="single"/>
          <w:insideV w:color="8064A2" w:space="0" w:sz="6"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val="single"/>
          <w:insideV w:color="4BACC6" w:space="0" w:sz="6"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val="single"/>
          <w:insideV w:color="F79646" w:space="0" w:sz="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themeFill="tex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themeFill="tex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themeFill="tex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themeFill="tex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themeFill="tex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F81BD" w:themeFill="accen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F81BD" w:themeFill="accen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F81BD" w:themeFill="accen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F81BD" w:themeFill="accen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7BFDE" w:themeFill="accen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C0504D" w:themeFill="accent2"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C0504D" w:themeFill="accent2"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C0504D" w:themeFill="accent2"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C0504D" w:themeFill="accent2"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DFA7A6" w:themeFill="accent2"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9BBB59" w:themeFill="accent3"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9BBB59" w:themeFill="accent3"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9BBB59" w:themeFill="accent3"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9BBB59" w:themeFill="accent3"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CDDDAC" w:themeFill="accent3"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8064A2" w:themeFill="accent4"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8064A2" w:themeFill="accent4"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8064A2" w:themeFill="accent4"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8064A2" w:themeFill="accent4"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BFB1D0" w:themeFill="accent4"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themeFill="accent5"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themeFill="accent5"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themeFill="accent5"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themeFill="accent5"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themeFill="accent5"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F79646" w:themeFill="accent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F79646" w:themeFill="accent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F79646" w:themeFill="accent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F79646" w:themeFill="accent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FBCAA2" w:themeFill="accent6"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val="single"/>
          <w:insideH w:val="nil"/>
          <w:insideV w:val="nil"/>
        </w:tcBorders>
        <w:shd w:color="auto" w:fill="000000" w:themeFill="text1" w:themeFillShade="BF" w:val="clear"/>
      </w:tcPr>
    </w:tblStylePr>
    <w:tblStylePr w:type="lastCol">
      <w:tblPr/>
      <w:tcPr>
        <w:tcBorders>
          <w:top w:val="nil"/>
          <w:left w:color="FFFFFF" w:space="0" w:sz="18"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val="single"/>
          <w:insideH w:val="nil"/>
          <w:insideV w:val="nil"/>
        </w:tcBorders>
        <w:shd w:color="auto" w:fill="365F91" w:themeFill="accent1" w:themeFillShade="BF" w:val="clear"/>
      </w:tcPr>
    </w:tblStylePr>
    <w:tblStylePr w:type="lastCol">
      <w:tblPr/>
      <w:tcPr>
        <w:tcBorders>
          <w:top w:val="nil"/>
          <w:left w:color="FFFFFF" w:space="0" w:sz="18"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val="single"/>
          <w:insideH w:val="nil"/>
          <w:insideV w:val="nil"/>
        </w:tcBorders>
        <w:shd w:color="auto" w:fill="943634" w:themeFill="accent2" w:themeFillShade="BF" w:val="clear"/>
      </w:tcPr>
    </w:tblStylePr>
    <w:tblStylePr w:type="lastCol">
      <w:tblPr/>
      <w:tcPr>
        <w:tcBorders>
          <w:top w:val="nil"/>
          <w:left w:color="FFFFFF" w:space="0" w:sz="18"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val="single"/>
          <w:insideH w:val="nil"/>
          <w:insideV w:val="nil"/>
        </w:tcBorders>
        <w:shd w:color="auto" w:fill="76923C" w:themeFill="accent3" w:themeFillShade="BF" w:val="clear"/>
      </w:tcPr>
    </w:tblStylePr>
    <w:tblStylePr w:type="lastCol">
      <w:tblPr/>
      <w:tcPr>
        <w:tcBorders>
          <w:top w:val="nil"/>
          <w:left w:color="FFFFFF" w:space="0" w:sz="18"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val="single"/>
          <w:insideH w:val="nil"/>
          <w:insideV w:val="nil"/>
        </w:tcBorders>
        <w:shd w:color="auto" w:fill="5F497A" w:themeFill="accent4" w:themeFillShade="BF" w:val="clear"/>
      </w:tcPr>
    </w:tblStylePr>
    <w:tblStylePr w:type="lastCol">
      <w:tblPr/>
      <w:tcPr>
        <w:tcBorders>
          <w:top w:val="nil"/>
          <w:left w:color="FFFFFF" w:space="0" w:sz="18"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val="single"/>
          <w:insideH w:val="nil"/>
          <w:insideV w:val="nil"/>
        </w:tcBorders>
        <w:shd w:color="auto" w:fill="31849B" w:themeFill="accent5" w:themeFillShade="BF" w:val="clear"/>
      </w:tcPr>
    </w:tblStylePr>
    <w:tblStylePr w:type="lastCol">
      <w:tblPr/>
      <w:tcPr>
        <w:tcBorders>
          <w:top w:val="nil"/>
          <w:left w:color="FFFFFF" w:space="0" w:sz="18"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val="single"/>
          <w:insideH w:val="nil"/>
          <w:insideV w:val="nil"/>
        </w:tcBorders>
        <w:shd w:color="auto" w:fill="E36C0A" w:themeFill="accent6" w:themeFillShade="BF" w:val="clear"/>
      </w:tcPr>
    </w:tblStylePr>
    <w:tblStylePr w:type="lastCol">
      <w:tblPr/>
      <w:tcPr>
        <w:tcBorders>
          <w:top w:val="nil"/>
          <w:left w:color="FFFFFF" w:space="0" w:sz="18"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000000" w:themeFill="text1" w:themeFillShade="99" w:val="clear"/>
      </w:tcPr>
    </w:tblStylePr>
    <w:tblStylePr w:type="firstCol">
      <w:rPr>
        <w:color w:val="FFFFFF"/>
      </w:rPr>
      <w:tblPr/>
      <w:tcPr>
        <w:tcBorders>
          <w:top w:val="nil"/>
          <w:left w:val="nil"/>
          <w:bottom w:val="nil"/>
          <w:right w:val="nil"/>
          <w:insideH w:color="000000" w:space="0" w:sz="4" w:val="single"/>
          <w:insideV w:val="nil"/>
        </w:tcBorders>
        <w:shd w:color="auto" w:fill="000000" w:themeFill="text1" w:themeFillShade="99" w:val="clear"/>
      </w:tcPr>
    </w:tblStylePr>
    <w:tblStylePr w:type="lastCol">
      <w:rPr>
        <w:color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C4C74" w:themeFill="accent1" w:themeFillShade="99" w:val="clear"/>
      </w:tcPr>
    </w:tblStylePr>
    <w:tblStylePr w:type="firstCol">
      <w:rPr>
        <w:color w:val="FFFFFF"/>
      </w:rPr>
      <w:tblPr/>
      <w:tcPr>
        <w:tcBorders>
          <w:top w:val="nil"/>
          <w:left w:val="nil"/>
          <w:bottom w:val="nil"/>
          <w:right w:val="nil"/>
          <w:insideH w:color="2C4C74" w:space="0" w:sz="4" w:val="single"/>
          <w:insideV w:val="nil"/>
        </w:tcBorders>
        <w:shd w:color="auto" w:fill="2C4C74" w:themeFill="accent1" w:themeFillShade="99" w:val="clear"/>
      </w:tcPr>
    </w:tblStylePr>
    <w:tblStylePr w:type="lastCol">
      <w:rPr>
        <w:color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772C2A" w:themeFill="accent2" w:themeFillShade="99" w:val="clear"/>
      </w:tcPr>
    </w:tblStylePr>
    <w:tblStylePr w:type="firstCol">
      <w:rPr>
        <w:color w:val="FFFFFF"/>
      </w:rPr>
      <w:tblPr/>
      <w:tcPr>
        <w:tcBorders>
          <w:top w:val="nil"/>
          <w:left w:val="nil"/>
          <w:bottom w:val="nil"/>
          <w:right w:val="nil"/>
          <w:insideH w:color="772C2A" w:space="0" w:sz="4" w:val="single"/>
          <w:insideV w:val="nil"/>
        </w:tcBorders>
        <w:shd w:color="auto" w:fill="772C2A" w:themeFill="accent2" w:themeFillShade="99" w:val="clear"/>
      </w:tcPr>
    </w:tblStylePr>
    <w:tblStylePr w:type="lastCol">
      <w:rPr>
        <w:color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5E7530" w:themeFill="accent3" w:themeFillShade="99" w:val="clear"/>
      </w:tcPr>
    </w:tblStylePr>
    <w:tblStylePr w:type="firstCol">
      <w:rPr>
        <w:color w:val="FFFFFF"/>
      </w:rPr>
      <w:tblPr/>
      <w:tcPr>
        <w:tcBorders>
          <w:top w:val="nil"/>
          <w:left w:val="nil"/>
          <w:bottom w:val="nil"/>
          <w:right w:val="nil"/>
          <w:insideH w:color="5E7530" w:space="0" w:sz="4" w:val="single"/>
          <w:insideV w:val="nil"/>
        </w:tcBorders>
        <w:shd w:color="auto" w:fill="5E7530" w:themeFill="accent3" w:themeFillShade="99" w:val="clear"/>
      </w:tcPr>
    </w:tblStylePr>
    <w:tblStylePr w:type="lastCol">
      <w:rPr>
        <w:color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4C3B62" w:themeFill="accent4" w:themeFillShade="99" w:val="clear"/>
      </w:tcPr>
    </w:tblStylePr>
    <w:tblStylePr w:type="firstCol">
      <w:rPr>
        <w:color w:val="FFFFFF"/>
      </w:rPr>
      <w:tblPr/>
      <w:tcPr>
        <w:tcBorders>
          <w:top w:val="nil"/>
          <w:left w:val="nil"/>
          <w:bottom w:val="nil"/>
          <w:right w:val="nil"/>
          <w:insideH w:color="4C3B62" w:space="0" w:sz="4" w:val="single"/>
          <w:insideV w:val="nil"/>
        </w:tcBorders>
        <w:shd w:color="auto" w:fill="4C3B62" w:themeFill="accent4" w:themeFillShade="99" w:val="clear"/>
      </w:tcPr>
    </w:tblStylePr>
    <w:tblStylePr w:type="lastCol">
      <w:rPr>
        <w:color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76A7C" w:themeFill="accent5" w:themeFillShade="99" w:val="clear"/>
      </w:tcPr>
    </w:tblStylePr>
    <w:tblStylePr w:type="firstCol">
      <w:rPr>
        <w:color w:val="FFFFFF"/>
      </w:rPr>
      <w:tblPr/>
      <w:tcPr>
        <w:tcBorders>
          <w:top w:val="nil"/>
          <w:left w:val="nil"/>
          <w:bottom w:val="nil"/>
          <w:right w:val="nil"/>
          <w:insideH w:color="276A7C" w:space="0" w:sz="4" w:val="single"/>
          <w:insideV w:val="nil"/>
        </w:tcBorders>
        <w:shd w:color="auto" w:fill="276A7C" w:themeFill="accent5" w:themeFillShade="99" w:val="clear"/>
      </w:tcPr>
    </w:tblStylePr>
    <w:tblStylePr w:type="lastCol">
      <w:rPr>
        <w:color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B65608" w:themeFill="accent6" w:themeFillShade="99" w:val="clear"/>
      </w:tcPr>
    </w:tblStylePr>
    <w:tblStylePr w:type="firstCol">
      <w:rPr>
        <w:color w:val="FFFFFF"/>
      </w:rPr>
      <w:tblPr/>
      <w:tcPr>
        <w:tcBorders>
          <w:top w:val="nil"/>
          <w:left w:val="nil"/>
          <w:bottom w:val="nil"/>
          <w:right w:val="nil"/>
          <w:insideH w:color="B65608" w:space="0" w:sz="4" w:val="single"/>
          <w:insideV w:val="nil"/>
        </w:tcBorders>
        <w:shd w:color="auto" w:fill="B65608" w:themeFill="accent6" w:themeFillShade="99" w:val="clear"/>
      </w:tcPr>
    </w:tblStylePr>
    <w:tblStylePr w:type="lastCol">
      <w:rPr>
        <w:color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FFFFFF"/>
      </w:rPr>
      <w:tblPr/>
      <w:tcPr>
        <w:tcBorders>
          <w:bottom w:color="FFFFFF" w:space="0" w:sz="12" w:val="single"/>
        </w:tcBorders>
        <w:shd w:color="auto" w:fill="664E82" w:themeFill="accent4" w:themeFillShade="CC" w:val="clear"/>
      </w:tcPr>
    </w:tblStylePr>
    <w:tblStylePr w:type="lastRow">
      <w:rPr>
        <w:b/>
        <w:bCs/>
        <w:color w:val="664E82"/>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FFFFFF"/>
      </w:rPr>
      <w:tblPr/>
      <w:tcPr>
        <w:tcBorders>
          <w:bottom w:color="FFFFFF" w:space="0" w:sz="12" w:val="single"/>
        </w:tcBorders>
        <w:shd w:color="auto" w:fill="7E9C40" w:themeFill="accent3" w:themeFillShade="CC" w:val="clear"/>
      </w:tcPr>
    </w:tblStylePr>
    <w:tblStylePr w:type="lastRow">
      <w:rPr>
        <w:b/>
        <w:bCs/>
        <w:color w:val="7E9C40"/>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FFFFFF"/>
      </w:rPr>
      <w:tblPr/>
      <w:tcPr>
        <w:tcBorders>
          <w:bottom w:color="FFFFFF" w:space="0" w:sz="12" w:val="single"/>
        </w:tcBorders>
        <w:shd w:color="auto" w:fill="F2730A" w:themeFill="accent6" w:themeFillShade="CC" w:val="clear"/>
      </w:tcPr>
    </w:tblStylePr>
    <w:tblStylePr w:type="lastRow">
      <w:rPr>
        <w:b/>
        <w:bCs/>
        <w:color w:val="F2730A"/>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FFFFFF"/>
      </w:rPr>
      <w:tblPr/>
      <w:tcPr>
        <w:tcBorders>
          <w:bottom w:color="FFFFFF" w:space="0" w:sz="12" w:val="single"/>
        </w:tcBorders>
        <w:shd w:color="auto" w:fill="348DA5" w:themeFill="accent5" w:themeFillShade="CC" w:val="clear"/>
      </w:tcPr>
    </w:tblStylePr>
    <w:tblStylePr w:type="lastRow">
      <w:rPr>
        <w:b/>
        <w:bCs/>
        <w:color w:val="348DA5"/>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FFFFFF"/>
      </w:rPr>
      <w:tblPr/>
      <w:tcPr>
        <w:shd w:color="auto" w:fill="000000" w:themeFill="text1" w:themeFillShade="BF" w:val="clear"/>
      </w:tcPr>
    </w:tblStylePr>
    <w:tblStylePr w:type="lastCol">
      <w:rPr>
        <w:color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FFFFFF"/>
      </w:rPr>
      <w:tblPr/>
      <w:tcPr>
        <w:shd w:color="auto" w:fill="365F91" w:themeFill="accent1" w:themeFillShade="BF" w:val="clear"/>
      </w:tcPr>
    </w:tblStylePr>
    <w:tblStylePr w:type="lastCol">
      <w:rPr>
        <w:color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FFFFFF"/>
      </w:rPr>
      <w:tblPr/>
      <w:tcPr>
        <w:shd w:color="auto" w:fill="943634" w:themeFill="accent2" w:themeFillShade="BF" w:val="clear"/>
      </w:tcPr>
    </w:tblStylePr>
    <w:tblStylePr w:type="lastCol">
      <w:rPr>
        <w:color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FFFFFF"/>
      </w:rPr>
      <w:tblPr/>
      <w:tcPr>
        <w:shd w:color="auto" w:fill="76923C" w:themeFill="accent3" w:themeFillShade="BF" w:val="clear"/>
      </w:tcPr>
    </w:tblStylePr>
    <w:tblStylePr w:type="lastCol">
      <w:rPr>
        <w:color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FFFFFF"/>
      </w:rPr>
      <w:tblPr/>
      <w:tcPr>
        <w:shd w:color="auto" w:fill="5F497A" w:themeFill="accent4" w:themeFillShade="BF" w:val="clear"/>
      </w:tcPr>
    </w:tblStylePr>
    <w:tblStylePr w:type="lastCol">
      <w:rPr>
        <w:color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FFFFFF"/>
      </w:rPr>
      <w:tblPr/>
      <w:tcPr>
        <w:shd w:color="auto" w:fill="31849B" w:themeFill="accent5" w:themeFillShade="BF" w:val="clear"/>
      </w:tcPr>
    </w:tblStylePr>
    <w:tblStylePr w:type="lastCol">
      <w:rPr>
        <w:color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FFFFFF"/>
      </w:rPr>
      <w:tblPr/>
      <w:tcPr>
        <w:shd w:color="auto" w:fill="E36C0A" w:themeFill="accent6" w:themeFillShade="BF" w:val="clear"/>
      </w:tcPr>
    </w:tblStylePr>
    <w:tblStylePr w:type="lastCol">
      <w:rPr>
        <w:color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line="480" w:lineRule="auto"/>
      <w:jc w:val="center"/>
    </w:pPr>
    <w:rPr>
      <w:rFonts w:ascii="Times New Roman" w:hAnsi="Times New Roman"/>
      <w:sz w:val="24"/>
    </w:rPr>
  </w:style>
  <w:style w:customStyle="1" w:styleId="Date" w:type="paragraph">
    <w:name w:val="Date"/>
    <w:pPr>
      <w:spacing w:line="480" w:lineRule="auto"/>
      <w:jc w:val="center"/>
    </w:pPr>
    <w:rPr>
      <w:rFonts w:ascii="Times New Roman" w:hAnsi="Times New Roman"/>
      <w:sz w:val="24"/>
    </w:rPr>
  </w:style>
  <w:style w:customStyle="1" w:styleId="FirstParagraph" w:type="paragraph">
    <w:name w:val="First Paragraph"/>
    <w:basedOn w:val="Normal"/>
    <w:pPr>
      <w:spacing w:line="480" w:lineRule="auto"/>
      <w:ind w:firstLine="0"/>
    </w:pPr>
    <w:rPr>
      <w:rFonts w:ascii="Times New Roman" w:hAnsi="Times New Roman"/>
      <w:sz w:val="24"/>
    </w:rPr>
  </w:style>
  <w:style w:customStyle="1" w:styleId="BlockText" w:type="paragraph">
    <w:name w:val="Block Text"/>
    <w:pPr>
      <w:spacing w:line="480" w:lineRule="auto"/>
      <w:ind w:left="720" w:right="720"/>
    </w:pPr>
    <w:rPr>
      <w:rFonts w:ascii="Times New Roman" w:hAnsi="Times New Roman"/>
      <w:sz w:val="24"/>
    </w:rPr>
  </w:style>
  <w:style w:customStyle="1" w:styleId="Bibliography" w:type="paragraph">
    <w:name w:val="Bibliography"/>
    <w:pPr>
      <w:spacing w:after="0" w:line="480" w:lineRule="auto"/>
      <w:ind w:hanging="720" w:left="720"/>
    </w:pPr>
    <w:rPr>
      <w:rFonts w:ascii="Times New Roman" w:hAnsi="Times New Roman"/>
      <w:sz w:val="24"/>
    </w:rPr>
  </w:style>
  <w:style w:customStyle="1" w:styleId="TableCaption" w:type="paragraph">
    <w:name w:val="Table Caption"/>
    <w:pPr>
      <w:spacing w:after="120" w:before="240" w:line="480" w:lineRule="auto"/>
    </w:pPr>
    <w:rPr>
      <w:rFonts w:ascii="Times New Roman" w:hAnsi="Times New Roman"/>
      <w:b/>
      <w:sz w:val="24"/>
    </w:rPr>
  </w:style>
  <w:style w:customStyle="1" w:styleId="ImageCaption" w:type="paragraph">
    <w:name w:val="Image Caption"/>
    <w:pPr>
      <w:spacing w:line="480" w:lineRule="auto"/>
    </w:pPr>
    <w:rPr>
      <w:rFonts w:ascii="Times New Roman" w:hAnsi="Times New Roman"/>
      <w:sz w:val="24"/>
    </w:rPr>
  </w:style>
  <w:style w:customStyle="1" w:styleId="FootnoteText" w:type="paragraph">
    <w:name w:val="Footnote Text"/>
    <w:pPr>
      <w:spacing w:line="480" w:lineRule="auto"/>
    </w:pPr>
    <w:rPr>
      <w:rFonts w:ascii="Times New Roman" w:hAnsi="Times New Roman"/>
      <w:sz w:val="20"/>
    </w:rPr>
  </w:style>
  <w:style w:customStyle="1" w:styleId="Compact" w:type="paragraph">
    <w:name w:val="Compact"/>
    <w:pPr>
      <w:spacing w:after="0" w:before="0" w:line="480" w:lineRule="auto"/>
    </w:pPr>
    <w:rPr>
      <w:rFonts w:ascii="Times New Roman" w:hAnsi="Times New Roman"/>
      <w:sz w:val="24"/>
    </w:rPr>
  </w:style>
  <w:style w:customStyle="1" w:styleId="DefinitionTerm" w:type="paragraph">
    <w:name w:val="Definition Term"/>
    <w:pPr>
      <w:spacing w:line="480" w:lineRule="auto"/>
    </w:pPr>
    <w:rPr>
      <w:rFonts w:ascii="Times New Roman" w:hAnsi="Times New Roman"/>
      <w:b/>
      <w:sz w:val="24"/>
    </w:rPr>
  </w:style>
  <w:style w:customStyle="1" w:styleId="Definition" w:type="paragraph">
    <w:name w:val="Definition"/>
    <w:pPr>
      <w:spacing w:line="480" w:lineRule="auto"/>
      <w:ind w:left="720"/>
    </w:pPr>
    <w:rPr>
      <w:rFonts w:ascii="Times New Roman" w:hAnsi="Times New Roman"/>
      <w:sz w:val="24"/>
    </w:rPr>
  </w:style>
  <w:style w:customStyle="1" w:styleId="SourceCode" w:type="paragraph">
    <w:name w:val="Source Code"/>
    <w:pPr>
      <w:spacing w:line="240" w:lineRule="auto"/>
    </w:pPr>
    <w:rPr>
      <w:rFonts w:ascii="Courier New" w:hAnsi="Courier New"/>
      <w:sz w:val="20"/>
    </w:rPr>
  </w:style>
  <w:style w:customStyle="1" w:styleId="VerbatimChar" w:type="character">
    <w:name w:val="Verbatim Char"/>
    <w:rPr>
      <w:rFonts w:ascii="Courier New" w:hAnsi="Courier New"/>
      <w:sz w:val="20"/>
    </w:rPr>
  </w:style>
  <w:style w:customStyle="1" w:styleId="Abstract" w:type="paragraph">
    <w:name w:val="Abstract"/>
    <w:pPr>
      <w:spacing w:line="480" w:lineRule="auto"/>
      <w:ind w:firstLine="0"/>
    </w:pPr>
    <w:rPr>
      <w:rFonts w:ascii="Times New Roman" w:hAnsi="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2025-12-02T06:29:32Z</dcterms:created>
  <dcterms:modified xsi:type="dcterms:W3CDTF">2025-12-02T06:29:32Z</dcterms:modified>
</cp:coreProperties>
</file>

<file path=docProps/custom.xml><?xml version="1.0" encoding="utf-8"?>
<Properties xmlns="http://schemas.openxmlformats.org/officeDocument/2006/custom-properties" xmlns:vt="http://schemas.openxmlformats.org/officeDocument/2006/docPropsVTypes"/>
</file>