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supplementary-materials"/>
    <w:p>
      <w:pPr>
        <w:pStyle w:val="Heading1"/>
      </w:pPr>
      <w:r>
        <w:t xml:space="preserve">Supplementary Materials</w:t>
      </w:r>
    </w:p>
    <w:bookmarkStart w:id="20" w:name="X4369f97fe6b47807fe1ed1f93e9f8d5044a584d"/>
    <w:p>
      <w:pPr>
        <w:pStyle w:val="Heading2"/>
      </w:pPr>
      <w:r>
        <w:t xml:space="preserve">From Months to Minutes: Evaluating an AI-Driven Approach to Systematic Reviews in Plastic Surgery</w:t>
      </w:r>
    </w:p>
    <w:p>
      <w:pPr>
        <w:pStyle w:val="FirstParagraph"/>
      </w:pPr>
      <w:r>
        <w:t xml:space="preserve">Moreen W. Njoroge, BA, Thandolwethu Dlamini, MSc, Jordan Gornitsky, MD, Lily R. Mundy, MD, Carisa M. Cooney, MPH, Ala Elhalali, PhD, Abby Liu, BA, Thalia Liu, BA, Robin Yang, MD, DDS, Richard J. Redett, MD</w:t>
      </w:r>
    </w:p>
    <w:p>
      <w:r>
        <w:pict>
          <v:rect style="width:0;height:1.5pt" o:hralign="center" o:hrstd="t" o:hr="t"/>
        </w:pict>
      </w:r>
    </w:p>
    <w:bookmarkEnd w:id="20"/>
    <w:bookmarkStart w:id="21" w:name="Xaf5ac17a7b84c32696a8e9e72ba6545cd52c009"/>
    <w:p>
      <w:pPr>
        <w:pStyle w:val="Heading2"/>
      </w:pPr>
      <w:r>
        <w:t xml:space="preserve">Supplementary Table S1. Complete Prompt Example for Reproducibility</w:t>
      </w:r>
    </w:p>
    <w:p>
      <w:pPr>
        <w:pStyle w:val="FirstParagraph"/>
      </w:pPr>
      <w:r>
        <w:rPr>
          <w:b/>
          <w:bCs/>
        </w:rPr>
        <w:t xml:space="preserve">Review:</w:t>
      </w:r>
      <w:r>
        <w:t xml:space="preserve"> </w:t>
      </w:r>
      <w:r>
        <w:t xml:space="preserve">Sebastin et al. 2011 - Outcomes of Replantation of Distal Digital Amputation</w:t>
      </w:r>
    </w:p>
    <w:p>
      <w:pPr>
        <w:pStyle w:val="BodyText"/>
      </w:pPr>
      <w:r>
        <w:rPr>
          <w:b/>
          <w:bCs/>
        </w:rPr>
        <w:t xml:space="preserve">Screening Configuration:</w:t>
      </w:r>
    </w:p>
    <w:p>
      <w:pPr>
        <w:pStyle w:val="SourceCode"/>
      </w:pPr>
      <w:r>
        <w:rPr>
          <w:rStyle w:val="VerbatimChar"/>
        </w:rPr>
        <w:t xml:space="preserve">TOPIC: Distal digit replantation outcomes</w:t>
      </w:r>
      <w:r>
        <w:br/>
      </w:r>
      <w:r>
        <w:br/>
      </w:r>
      <w:r>
        <w:rPr>
          <w:rStyle w:val="VerbatimChar"/>
        </w:rPr>
        <w:t xml:space="preserve">INCLUSION CRITERIA:</w:t>
      </w:r>
      <w:r>
        <w:br/>
      </w:r>
      <w:r>
        <w:rPr>
          <w:rStyle w:val="VerbatimChar"/>
        </w:rPr>
        <w:t xml:space="preserve">1. Studies reporting outcomes of digit replantation distal to DIPJ</w:t>
      </w:r>
      <w:r>
        <w:br/>
      </w:r>
      <w:r>
        <w:rPr>
          <w:rStyle w:val="VerbatimChar"/>
        </w:rPr>
        <w:t xml:space="preserve">2. Minimum sample size N≥5 patients</w:t>
      </w:r>
      <w:r>
        <w:br/>
      </w:r>
      <w:r>
        <w:rPr>
          <w:rStyle w:val="VerbatimChar"/>
        </w:rPr>
        <w:t xml:space="preserve">3. Reports survival rate or functional outcomes</w:t>
      </w:r>
      <w:r>
        <w:br/>
      </w:r>
      <w:r>
        <w:rPr>
          <w:rStyle w:val="VerbatimChar"/>
        </w:rPr>
        <w:t xml:space="preserve">4. Human subjects only</w:t>
      </w:r>
      <w:r>
        <w:br/>
      </w:r>
      <w:r>
        <w:rPr>
          <w:rStyle w:val="VerbatimChar"/>
        </w:rPr>
        <w:t xml:space="preserve">5. English language</w:t>
      </w:r>
      <w:r>
        <w:br/>
      </w:r>
      <w:r>
        <w:br/>
      </w:r>
      <w:r>
        <w:rPr>
          <w:rStyle w:val="VerbatimChar"/>
        </w:rPr>
        <w:t xml:space="preserve">EXCLUSION CRITERIA:</w:t>
      </w:r>
      <w:r>
        <w:br/>
      </w:r>
      <w:r>
        <w:rPr>
          <w:rStyle w:val="VerbatimChar"/>
        </w:rPr>
        <w:t xml:space="preserve">1. Case reports (N&lt;5)</w:t>
      </w:r>
      <w:r>
        <w:br/>
      </w:r>
      <w:r>
        <w:rPr>
          <w:rStyle w:val="VerbatimChar"/>
        </w:rPr>
        <w:t xml:space="preserve">2. Reviews, editorials, letters without original data</w:t>
      </w:r>
      <w:r>
        <w:br/>
      </w:r>
      <w:r>
        <w:rPr>
          <w:rStyle w:val="VerbatimChar"/>
        </w:rPr>
        <w:t xml:space="preserve">3. Replantation proximal to DIPJ only</w:t>
      </w:r>
      <w:r>
        <w:br/>
      </w:r>
      <w:r>
        <w:rPr>
          <w:rStyle w:val="VerbatimChar"/>
        </w:rPr>
        <w:t xml:space="preserve">4. Animal or cadaver studies</w:t>
      </w:r>
      <w:r>
        <w:br/>
      </w:r>
      <w:r>
        <w:rPr>
          <w:rStyle w:val="VerbatimChar"/>
        </w:rPr>
        <w:t xml:space="preserve">5. Non-English language</w:t>
      </w:r>
      <w:r>
        <w:br/>
      </w:r>
      <w:r>
        <w:br/>
      </w:r>
      <w:r>
        <w:rPr>
          <w:rStyle w:val="VerbatimChar"/>
        </w:rPr>
        <w:t xml:space="preserve">SPECIAL INSTRUCTIONS:</w:t>
      </w:r>
      <w:r>
        <w:br/>
      </w:r>
      <w:r>
        <w:rPr>
          <w:rStyle w:val="VerbatimChar"/>
        </w:rPr>
        <w:t xml:space="preserve">- DIPJ = distal interphalangeal joint</w:t>
      </w:r>
      <w:r>
        <w:br/>
      </w:r>
      <w:r>
        <w:rPr>
          <w:rStyle w:val="VerbatimChar"/>
        </w:rPr>
        <w:t xml:space="preserve">- Includes fingertip, distal phalanx, nail bed injuries</w:t>
      </w:r>
      <w:r>
        <w:br/>
      </w:r>
      <w:r>
        <w:rPr>
          <w:rStyle w:val="VerbatimChar"/>
        </w:rPr>
        <w:t xml:space="preserve">- Zone I and Zone II replantations are included</w:t>
      </w:r>
      <w:r>
        <w:br/>
      </w:r>
      <w:r>
        <w:rPr>
          <w:rStyle w:val="VerbatimChar"/>
        </w:rPr>
        <w:t xml:space="preserve">- When sample size is unclear, default to INCLUDE</w:t>
      </w:r>
      <w:r>
        <w:br/>
      </w:r>
      <w:r>
        <w:br/>
      </w:r>
      <w:r>
        <w:rPr>
          <w:rStyle w:val="VerbatimChar"/>
        </w:rPr>
        <w:t xml:space="preserve">DEFAULT DECISION: When uncertain, INCLUDE for full-text review</w:t>
      </w:r>
    </w:p>
    <w:p>
      <w:r>
        <w:pict>
          <v:rect style="width:0;height:1.5pt" o:hralign="center" o:hrstd="t" o:hr="t"/>
        </w:pict>
      </w:r>
    </w:p>
    <w:bookmarkEnd w:id="21"/>
    <w:bookmarkStart w:id="22" w:name="X75b82a15352ac201920a46b69d7a74b5503cd42"/>
    <w:p>
      <w:pPr>
        <w:pStyle w:val="Heading2"/>
      </w:pPr>
      <w:r>
        <w:t xml:space="preserve">Supplementary Table S2. Configuration Requirements by Systematic Review Type</w:t>
      </w:r>
    </w:p>
    <w:tbl>
      <w:tblPr>
        <w:tblStyle w:val="Table"/>
        <w:tblW w:type="pct" w:w="5000"/>
        <w:tblLayout w:type="fixed"/>
        <w:tblLook w:firstRow="1" w:lastRow="0" w:firstColumn="0" w:lastColumn="0" w:noHBand="0" w:noVBand="0" w:val="0020"/>
      </w:tblPr>
      <w:tblGrid>
        <w:gridCol w:w="1660"/>
        <w:gridCol w:w="3449"/>
        <w:gridCol w:w="2810"/>
      </w:tblGrid>
      <w:tr>
        <w:trPr>
          <w:tblHeader w:val="on"/>
        </w:trPr>
        <w:tc>
          <w:tcPr/>
          <w:p>
            <w:pPr>
              <w:pStyle w:val="Compact"/>
            </w:pPr>
            <w:r>
              <w:t xml:space="preserve">Review Type</w:t>
            </w:r>
          </w:p>
        </w:tc>
        <w:tc>
          <w:tcPr/>
          <w:p>
            <w:pPr>
              <w:pStyle w:val="Compact"/>
            </w:pPr>
            <w:r>
              <w:t xml:space="preserve">Key Configuration Elements</w:t>
            </w:r>
          </w:p>
        </w:tc>
        <w:tc>
          <w:tcPr/>
          <w:p>
            <w:pPr>
              <w:pStyle w:val="Compact"/>
            </w:pPr>
            <w:r>
              <w:t xml:space="preserve">Special Considerations</w:t>
            </w:r>
          </w:p>
        </w:tc>
      </w:tr>
      <w:tr>
        <w:tc>
          <w:tcPr/>
          <w:p>
            <w:pPr>
              <w:pStyle w:val="Compact"/>
            </w:pPr>
            <w:r>
              <w:rPr>
                <w:b/>
                <w:bCs/>
              </w:rPr>
              <w:t xml:space="preserve">Clinical Outcome</w:t>
            </w:r>
          </w:p>
        </w:tc>
        <w:tc>
          <w:tcPr/>
          <w:p>
            <w:pPr>
              <w:pStyle w:val="Compact"/>
            </w:pPr>
            <w:r>
              <w:t xml:space="preserve">Sample size thresholds, outcome definitions, follow-up requirements</w:t>
            </w:r>
          </w:p>
        </w:tc>
        <w:tc>
          <w:tcPr/>
          <w:p>
            <w:pPr>
              <w:pStyle w:val="Compact"/>
            </w:pPr>
            <w:r>
              <w:t xml:space="preserve">Define minimum N, specify outcome measures</w:t>
            </w:r>
          </w:p>
        </w:tc>
      </w:tr>
      <w:tr>
        <w:tc>
          <w:tcPr/>
          <w:p>
            <w:pPr>
              <w:pStyle w:val="Compact"/>
            </w:pPr>
            <w:r>
              <w:rPr>
                <w:b/>
                <w:bCs/>
              </w:rPr>
              <w:t xml:space="preserve">Validation Study</w:t>
            </w:r>
          </w:p>
        </w:tc>
        <w:tc>
          <w:tcPr/>
          <w:p>
            <w:pPr>
              <w:pStyle w:val="Compact"/>
            </w:pPr>
            <w:r>
              <w:t xml:space="preserve">Reference standard definition, patient population</w:t>
            </w:r>
          </w:p>
        </w:tc>
        <w:tc>
          <w:tcPr/>
          <w:p>
            <w:pPr>
              <w:pStyle w:val="Compact"/>
            </w:pPr>
            <w:r>
              <w:t xml:space="preserve">Specify instrument versions, validation criteria</w:t>
            </w:r>
          </w:p>
        </w:tc>
      </w:tr>
      <w:tr>
        <w:tc>
          <w:tcPr/>
          <w:p>
            <w:pPr>
              <w:pStyle w:val="Compact"/>
            </w:pPr>
            <w:r>
              <w:rPr>
                <w:b/>
                <w:bCs/>
              </w:rPr>
              <w:t xml:space="preserve">Diagnostic Accuracy</w:t>
            </w:r>
          </w:p>
        </w:tc>
        <w:tc>
          <w:tcPr/>
          <w:p>
            <w:pPr>
              <w:pStyle w:val="Compact"/>
            </w:pPr>
            <w:r>
              <w:t xml:space="preserve">Index test, reference standard, 2×2 table requirements</w:t>
            </w:r>
          </w:p>
        </w:tc>
        <w:tc>
          <w:tcPr/>
          <w:p>
            <w:pPr>
              <w:pStyle w:val="Compact"/>
            </w:pPr>
            <w:r>
              <w:t xml:space="preserve">Sensitivity/specificity reporting requirements</w:t>
            </w:r>
          </w:p>
        </w:tc>
      </w:tr>
      <w:tr>
        <w:tc>
          <w:tcPr/>
          <w:p>
            <w:pPr>
              <w:pStyle w:val="Compact"/>
            </w:pPr>
            <w:r>
              <w:rPr>
                <w:b/>
                <w:bCs/>
              </w:rPr>
              <w:t xml:space="preserve">Technique Comparison</w:t>
            </w:r>
          </w:p>
        </w:tc>
        <w:tc>
          <w:tcPr/>
          <w:p>
            <w:pPr>
              <w:pStyle w:val="Compact"/>
            </w:pPr>
            <w:r>
              <w:t xml:space="preserve">Intervention definitions, comparator requirements</w:t>
            </w:r>
          </w:p>
        </w:tc>
        <w:tc>
          <w:tcPr/>
          <w:p>
            <w:pPr>
              <w:pStyle w:val="Compact"/>
            </w:pPr>
            <w:r>
              <w:t xml:space="preserve">Anatomical boundaries, technique specifications</w:t>
            </w:r>
          </w:p>
        </w:tc>
      </w:tr>
    </w:tbl>
    <w:p>
      <w:pPr>
        <w:pStyle w:val="BodyText"/>
      </w:pPr>
      <w:r>
        <w:rPr>
          <w:b/>
          <w:bCs/>
        </w:rPr>
        <w:t xml:space="preserve">General Configuration Principles:</w:t>
      </w:r>
    </w:p>
    <w:p>
      <w:pPr>
        <w:pStyle w:val="Compact"/>
        <w:numPr>
          <w:ilvl w:val="0"/>
          <w:numId w:val="1001"/>
        </w:numPr>
      </w:pPr>
      <w:r>
        <w:t xml:space="preserve">Extract criteria verbatim from original review Methods section</w:t>
      </w:r>
    </w:p>
    <w:p>
      <w:pPr>
        <w:pStyle w:val="Compact"/>
        <w:numPr>
          <w:ilvl w:val="0"/>
          <w:numId w:val="1001"/>
        </w:numPr>
      </w:pPr>
      <w:r>
        <w:t xml:space="preserve">Include quantitative thresholds where specified (N≥5, follow-up ≥6 months)</w:t>
      </w:r>
    </w:p>
    <w:p>
      <w:pPr>
        <w:pStyle w:val="Compact"/>
        <w:numPr>
          <w:ilvl w:val="0"/>
          <w:numId w:val="1001"/>
        </w:numPr>
      </w:pPr>
      <w:r>
        <w:t xml:space="preserve">Define ambiguous anatomical terms (e.g.,</w:t>
      </w:r>
      <w:r>
        <w:t xml:space="preserve"> </w:t>
      </w:r>
      <w:r>
        <w:t xml:space="preserve">“distal to DIPJ”</w:t>
      </w:r>
      <w:r>
        <w:t xml:space="preserve">)</w:t>
      </w:r>
    </w:p>
    <w:p>
      <w:pPr>
        <w:pStyle w:val="Compact"/>
        <w:numPr>
          <w:ilvl w:val="0"/>
          <w:numId w:val="1001"/>
        </w:numPr>
      </w:pPr>
      <w:r>
        <w:t xml:space="preserve">Specify language and date restrictions</w:t>
      </w:r>
    </w:p>
    <w:p>
      <w:pPr>
        <w:pStyle w:val="Compact"/>
        <w:numPr>
          <w:ilvl w:val="0"/>
          <w:numId w:val="1001"/>
        </w:numPr>
      </w:pPr>
      <w:r>
        <w:t xml:space="preserve">Set default decision to INCLUDE when criteria are ambiguous</w:t>
      </w:r>
    </w:p>
    <w:p>
      <w:r>
        <w:pict>
          <v:rect style="width:0;height:1.5pt" o:hralign="center" o:hrstd="t" o:hr="t"/>
        </w:pict>
      </w:r>
    </w:p>
    <w:bookmarkEnd w:id="22"/>
    <w:bookmarkStart w:id="23" w:name="X3e96ea022fc2105eee3d6c50e71d54131ab91d9"/>
    <w:p>
      <w:pPr>
        <w:pStyle w:val="Heading2"/>
      </w:pPr>
      <w:r>
        <w:t xml:space="preserve">Supplementary Table S3. Large Language Model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GPT-4.1-mini (Stage 1)</w:t>
            </w:r>
          </w:p>
        </w:tc>
        <w:tc>
          <w:tcPr/>
          <w:p>
            <w:pPr>
              <w:pStyle w:val="Compact"/>
            </w:pPr>
            <w:r>
              <w:t xml:space="preserve">GPT-4.1 (Stage 2)</w:t>
            </w:r>
          </w:p>
        </w:tc>
      </w:tr>
      <w:tr>
        <w:tc>
          <w:tcPr/>
          <w:p>
            <w:pPr>
              <w:pStyle w:val="Compact"/>
            </w:pPr>
            <w:r>
              <w:rPr>
                <w:b/>
                <w:bCs/>
              </w:rPr>
              <w:t xml:space="preserve">Model Version</w:t>
            </w:r>
          </w:p>
        </w:tc>
        <w:tc>
          <w:tcPr/>
          <w:p>
            <w:pPr>
              <w:pStyle w:val="Compact"/>
            </w:pPr>
            <w:r>
              <w:t xml:space="preserve">gpt-4.1-mini-2024-07-18</w:t>
            </w:r>
          </w:p>
        </w:tc>
        <w:tc>
          <w:tcPr/>
          <w:p>
            <w:pPr>
              <w:pStyle w:val="Compact"/>
            </w:pPr>
            <w:r>
              <w:t xml:space="preserve">gpt-4.1-2024-08-06</w:t>
            </w:r>
          </w:p>
        </w:tc>
      </w:tr>
      <w:tr>
        <w:tc>
          <w:tcPr/>
          <w:p>
            <w:pPr>
              <w:pStyle w:val="Compact"/>
            </w:pPr>
            <w:r>
              <w:rPr>
                <w:b/>
                <w:bCs/>
              </w:rPr>
              <w:t xml:space="preserve">Context Window</w:t>
            </w:r>
          </w:p>
        </w:tc>
        <w:tc>
          <w:tcPr/>
          <w:p>
            <w:pPr>
              <w:pStyle w:val="Compact"/>
            </w:pPr>
            <w:r>
              <w:t xml:space="preserve">128,000 tokens</w:t>
            </w:r>
          </w:p>
        </w:tc>
        <w:tc>
          <w:tcPr/>
          <w:p>
            <w:pPr>
              <w:pStyle w:val="Compact"/>
            </w:pPr>
            <w:r>
              <w:t xml:space="preserve">128,000 tokens</w:t>
            </w:r>
          </w:p>
        </w:tc>
      </w:tr>
      <w:tr>
        <w:tc>
          <w:tcPr/>
          <w:p>
            <w:pPr>
              <w:pStyle w:val="Compact"/>
            </w:pPr>
            <w:r>
              <w:rPr>
                <w:b/>
                <w:bCs/>
              </w:rPr>
              <w:t xml:space="preserve">Temperature</w:t>
            </w:r>
          </w:p>
        </w:tc>
        <w:tc>
          <w:tcPr/>
          <w:p>
            <w:pPr>
              <w:pStyle w:val="Compact"/>
            </w:pPr>
            <w:r>
              <w:t xml:space="preserve">0.0 (deterministic)</w:t>
            </w:r>
          </w:p>
        </w:tc>
        <w:tc>
          <w:tcPr/>
          <w:p>
            <w:pPr>
              <w:pStyle w:val="Compact"/>
            </w:pPr>
            <w:r>
              <w:t xml:space="preserve">0.0 (deterministic)</w:t>
            </w:r>
          </w:p>
        </w:tc>
      </w:tr>
      <w:tr>
        <w:tc>
          <w:tcPr/>
          <w:p>
            <w:pPr>
              <w:pStyle w:val="Compact"/>
            </w:pPr>
            <w:r>
              <w:rPr>
                <w:b/>
                <w:bCs/>
              </w:rPr>
              <w:t xml:space="preserve">Cost per 1M Input Tokens</w:t>
            </w:r>
          </w:p>
        </w:tc>
        <w:tc>
          <w:tcPr/>
          <w:p>
            <w:pPr>
              <w:pStyle w:val="Compact"/>
            </w:pPr>
            <w:r>
              <w:t xml:space="preserve">$0.15</w:t>
            </w:r>
          </w:p>
        </w:tc>
        <w:tc>
          <w:tcPr/>
          <w:p>
            <w:pPr>
              <w:pStyle w:val="Compact"/>
            </w:pPr>
            <w:r>
              <w:t xml:space="preserve">$2.50</w:t>
            </w:r>
          </w:p>
        </w:tc>
      </w:tr>
      <w:tr>
        <w:tc>
          <w:tcPr/>
          <w:p>
            <w:pPr>
              <w:pStyle w:val="Compact"/>
            </w:pPr>
            <w:r>
              <w:rPr>
                <w:b/>
                <w:bCs/>
              </w:rPr>
              <w:t xml:space="preserve">Cost per 1M Output Tokens</w:t>
            </w:r>
          </w:p>
        </w:tc>
        <w:tc>
          <w:tcPr/>
          <w:p>
            <w:pPr>
              <w:pStyle w:val="Compact"/>
            </w:pPr>
            <w:r>
              <w:t xml:space="preserve">$0.60</w:t>
            </w:r>
          </w:p>
        </w:tc>
        <w:tc>
          <w:tcPr/>
          <w:p>
            <w:pPr>
              <w:pStyle w:val="Compact"/>
            </w:pPr>
            <w:r>
              <w:t xml:space="preserve">$10.00</w:t>
            </w:r>
          </w:p>
        </w:tc>
      </w:tr>
      <w:tr>
        <w:tc>
          <w:tcPr/>
          <w:p>
            <w:pPr>
              <w:pStyle w:val="Compact"/>
            </w:pPr>
            <w:r>
              <w:rPr>
                <w:b/>
                <w:bCs/>
              </w:rPr>
              <w:t xml:space="preserve">Batch Size</w:t>
            </w:r>
          </w:p>
        </w:tc>
        <w:tc>
          <w:tcPr/>
          <w:p>
            <w:pPr>
              <w:pStyle w:val="Compact"/>
            </w:pPr>
            <w:r>
              <w:t xml:space="preserve">50 papers</w:t>
            </w:r>
          </w:p>
        </w:tc>
        <w:tc>
          <w:tcPr/>
          <w:p>
            <w:pPr>
              <w:pStyle w:val="Compact"/>
            </w:pPr>
            <w:r>
              <w:t xml:space="preserve">All papers</w:t>
            </w:r>
          </w:p>
        </w:tc>
      </w:tr>
      <w:tr>
        <w:tc>
          <w:tcPr/>
          <w:p>
            <w:pPr>
              <w:pStyle w:val="Compact"/>
            </w:pPr>
            <w:r>
              <w:rPr>
                <w:b/>
                <w:bCs/>
              </w:rPr>
              <w:t xml:space="preserve">Average Latency</w:t>
            </w:r>
          </w:p>
        </w:tc>
        <w:tc>
          <w:tcPr/>
          <w:p>
            <w:pPr>
              <w:pStyle w:val="Compact"/>
            </w:pPr>
            <w:r>
              <w:t xml:space="preserve">2-4 seconds per batch</w:t>
            </w:r>
          </w:p>
        </w:tc>
        <w:tc>
          <w:tcPr/>
          <w:p>
            <w:pPr>
              <w:pStyle w:val="Compact"/>
            </w:pPr>
            <w:r>
              <w:t xml:space="preserve">3-5 seconds per paper</w:t>
            </w:r>
          </w:p>
        </w:tc>
      </w:tr>
    </w:tbl>
    <w:p>
      <w:pPr>
        <w:pStyle w:val="BodyText"/>
      </w:pPr>
      <w:r>
        <w:rPr>
          <w:b/>
          <w:bCs/>
        </w:rPr>
        <w:t xml:space="preserve">Known Limitations:</w:t>
      </w:r>
    </w:p>
    <w:p>
      <w:pPr>
        <w:pStyle w:val="Compact"/>
        <w:numPr>
          <w:ilvl w:val="0"/>
          <w:numId w:val="1002"/>
        </w:numPr>
      </w:pPr>
      <w:r>
        <w:t xml:space="preserve">Training data cutoff may miss recent terminology or procedures</w:t>
      </w:r>
    </w:p>
    <w:p>
      <w:pPr>
        <w:pStyle w:val="Compact"/>
        <w:numPr>
          <w:ilvl w:val="0"/>
          <w:numId w:val="1002"/>
        </w:numPr>
      </w:pPr>
      <w:r>
        <w:t xml:space="preserve">Performance varies with prompt specificity</w:t>
      </w:r>
    </w:p>
    <w:p>
      <w:pPr>
        <w:pStyle w:val="Compact"/>
        <w:numPr>
          <w:ilvl w:val="0"/>
          <w:numId w:val="1002"/>
        </w:numPr>
      </w:pPr>
      <w:r>
        <w:t xml:space="preserve">Non-English abstracts may have reduced accuracy</w:t>
      </w:r>
    </w:p>
    <w:p>
      <w:pPr>
        <w:pStyle w:val="Compact"/>
        <w:numPr>
          <w:ilvl w:val="0"/>
          <w:numId w:val="1002"/>
        </w:numPr>
      </w:pPr>
      <w:r>
        <w:t xml:space="preserve">Rate limits may affect processing speed for large reviews</w:t>
      </w:r>
    </w:p>
    <w:p>
      <w:pPr>
        <w:pStyle w:val="Compact"/>
        <w:numPr>
          <w:ilvl w:val="0"/>
          <w:numId w:val="1002"/>
        </w:numPr>
      </w:pPr>
      <w:r>
        <w:t xml:space="preserve">Model versions subject to deprecation; specify exact version for reproducibility</w:t>
      </w:r>
    </w:p>
    <w:p>
      <w:pPr>
        <w:pStyle w:val="FirstParagraph"/>
      </w:pPr>
      <w:r>
        <w:rPr>
          <w:b/>
          <w:bCs/>
        </w:rPr>
        <w:t xml:space="preserve">Reproducibility Recommendations:</w:t>
      </w:r>
    </w:p>
    <w:p>
      <w:pPr>
        <w:pStyle w:val="Compact"/>
        <w:numPr>
          <w:ilvl w:val="0"/>
          <w:numId w:val="1003"/>
        </w:numPr>
      </w:pPr>
      <w:r>
        <w:t xml:space="preserve">Archive exact model version used</w:t>
      </w:r>
    </w:p>
    <w:p>
      <w:pPr>
        <w:pStyle w:val="Compact"/>
        <w:numPr>
          <w:ilvl w:val="0"/>
          <w:numId w:val="1003"/>
        </w:numPr>
      </w:pPr>
      <w:r>
        <w:t xml:space="preserve">Store complete prompt configurations</w:t>
      </w:r>
    </w:p>
    <w:p>
      <w:pPr>
        <w:pStyle w:val="Compact"/>
        <w:numPr>
          <w:ilvl w:val="0"/>
          <w:numId w:val="1003"/>
        </w:numPr>
      </w:pPr>
      <w:r>
        <w:t xml:space="preserve">Document API parameters (temperature, max_tokens)</w:t>
      </w:r>
    </w:p>
    <w:p>
      <w:pPr>
        <w:pStyle w:val="Compact"/>
        <w:numPr>
          <w:ilvl w:val="0"/>
          <w:numId w:val="1003"/>
        </w:numPr>
      </w:pPr>
      <w:r>
        <w:t xml:space="preserve">Publish configurations in version-controlled repository</w:t>
      </w:r>
    </w:p>
    <w:p>
      <w:r>
        <w:pict>
          <v:rect style="width:0;height:1.5pt" o:hralign="center" o:hrstd="t" o:hr="t"/>
        </w:pict>
      </w:r>
    </w:p>
    <w:bookmarkEnd w:id="23"/>
    <w:bookmarkStart w:id="24" w:name="Xcd237046abd1d3e9f86367bb99b0d6be3fa766d"/>
    <w:p>
      <w:pPr>
        <w:pStyle w:val="Heading2"/>
      </w:pPr>
      <w:r>
        <w:t xml:space="preserve">Supplementary Table S4. Detailed Stage-by-Stage Performance Metrics</w:t>
      </w:r>
    </w:p>
    <w:tbl>
      <w:tblPr>
        <w:tblStyle w:val="Table"/>
        <w:tblW w:type="pct" w:w="5000"/>
        <w:tblLayout w:type="fixed"/>
        <w:tblLook w:firstRow="1" w:lastRow="0" w:firstColumn="0" w:lastColumn="0" w:noHBand="0" w:noVBand="0" w:val="0020"/>
      </w:tblPr>
      <w:tblGrid>
        <w:gridCol w:w="772"/>
        <w:gridCol w:w="676"/>
        <w:gridCol w:w="1641"/>
        <w:gridCol w:w="1159"/>
        <w:gridCol w:w="1641"/>
        <w:gridCol w:w="2028"/>
      </w:tblGrid>
      <w:tr>
        <w:trPr>
          <w:tblHeader w:val="on"/>
        </w:trPr>
        <w:tc>
          <w:tcPr/>
          <w:p>
            <w:pPr>
              <w:pStyle w:val="Compact"/>
            </w:pPr>
            <w:r>
              <w:t xml:space="preserve">Review</w:t>
            </w:r>
          </w:p>
        </w:tc>
        <w:tc>
          <w:tcPr/>
          <w:p>
            <w:pPr>
              <w:pStyle w:val="Compact"/>
            </w:pPr>
            <w:r>
              <w:t xml:space="preserve">Stage</w:t>
            </w:r>
          </w:p>
        </w:tc>
        <w:tc>
          <w:tcPr/>
          <w:p>
            <w:pPr>
              <w:pStyle w:val="Compact"/>
            </w:pPr>
            <w:r>
              <w:t xml:space="preserve">Papers Screened</w:t>
            </w:r>
          </w:p>
        </w:tc>
        <w:tc>
          <w:tcPr/>
          <w:p>
            <w:pPr>
              <w:pStyle w:val="Compact"/>
            </w:pPr>
            <w:r>
              <w:t xml:space="preserve">Inclusions</w:t>
            </w:r>
          </w:p>
        </w:tc>
        <w:tc>
          <w:tcPr/>
          <w:p>
            <w:pPr>
              <w:pStyle w:val="Compact"/>
            </w:pPr>
            <w:r>
              <w:t xml:space="preserve">Mean Confidence</w:t>
            </w:r>
          </w:p>
        </w:tc>
        <w:tc>
          <w:tcPr/>
          <w:p>
            <w:pPr>
              <w:pStyle w:val="Compact"/>
            </w:pPr>
            <w:r>
              <w:t xml:space="preserve">Gold Standard Recall</w:t>
            </w:r>
          </w:p>
        </w:tc>
      </w:tr>
      <w:tr>
        <w:tc>
          <w:tcPr/>
          <w:p>
            <w:pPr>
              <w:pStyle w:val="Compact"/>
            </w:pPr>
            <w:r>
              <w:rPr>
                <w:b/>
                <w:bCs/>
              </w:rPr>
              <w:t xml:space="preserve">Sebastin 2011</w:t>
            </w:r>
          </w:p>
        </w:tc>
        <w:tc>
          <w:tcPr/>
          <w:p>
            <w:pPr>
              <w:pStyle w:val="Compact"/>
            </w:pPr>
            <w:r>
              <w:t xml:space="preserve">Stage 1</w:t>
            </w:r>
          </w:p>
        </w:tc>
        <w:tc>
          <w:tcPr/>
          <w:p>
            <w:pPr>
              <w:pStyle w:val="Compact"/>
            </w:pPr>
            <w:r>
              <w:t xml:space="preserve">342</w:t>
            </w:r>
          </w:p>
        </w:tc>
        <w:tc>
          <w:tcPr/>
          <w:p>
            <w:pPr>
              <w:pStyle w:val="Compact"/>
            </w:pPr>
            <w:r>
              <w:t xml:space="preserve">89</w:t>
            </w:r>
          </w:p>
        </w:tc>
        <w:tc>
          <w:tcPr/>
          <w:p>
            <w:pPr>
              <w:pStyle w:val="Compact"/>
            </w:pPr>
            <w:r>
              <w:t xml:space="preserve">0.91</w:t>
            </w:r>
          </w:p>
        </w:tc>
        <w:tc>
          <w:tcPr/>
          <w:p>
            <w:pPr>
              <w:pStyle w:val="Compact"/>
            </w:pPr>
            <w:r>
              <w:t xml:space="preserve">100% (30/30)</w:t>
            </w:r>
          </w:p>
        </w:tc>
      </w:tr>
      <w:tr>
        <w:tc>
          <w:tcPr/>
          <w:p>
            <w:pPr>
              <w:pStyle w:val="Compact"/>
            </w:pPr>
          </w:p>
        </w:tc>
        <w:tc>
          <w:tcPr/>
          <w:p>
            <w:pPr>
              <w:pStyle w:val="Compact"/>
            </w:pPr>
            <w:r>
              <w:t xml:space="preserve">Stage 2</w:t>
            </w:r>
          </w:p>
        </w:tc>
        <w:tc>
          <w:tcPr/>
          <w:p>
            <w:pPr>
              <w:pStyle w:val="Compact"/>
            </w:pPr>
            <w:r>
              <w:t xml:space="preserve">342</w:t>
            </w:r>
          </w:p>
        </w:tc>
        <w:tc>
          <w:tcPr/>
          <w:p>
            <w:pPr>
              <w:pStyle w:val="Compact"/>
            </w:pPr>
            <w:r>
              <w:t xml:space="preserve">67</w:t>
            </w:r>
          </w:p>
        </w:tc>
        <w:tc>
          <w:tcPr/>
          <w:p>
            <w:pPr>
              <w:pStyle w:val="Compact"/>
            </w:pPr>
            <w:r>
              <w:t xml:space="preserve">0.95</w:t>
            </w:r>
          </w:p>
        </w:tc>
        <w:tc>
          <w:tcPr/>
          <w:p>
            <w:pPr>
              <w:pStyle w:val="Compact"/>
            </w:pPr>
            <w:r>
              <w:t xml:space="preserve">96.7% (29/30)</w:t>
            </w:r>
          </w:p>
        </w:tc>
      </w:tr>
      <w:tr>
        <w:tc>
          <w:tcPr/>
          <w:p>
            <w:pPr>
              <w:pStyle w:val="Compact"/>
            </w:pPr>
            <w:r>
              <w:rPr>
                <w:b/>
                <w:bCs/>
              </w:rPr>
              <w:t xml:space="preserve">Arshad 2016</w:t>
            </w:r>
          </w:p>
        </w:tc>
        <w:tc>
          <w:tcPr/>
          <w:p>
            <w:pPr>
              <w:pStyle w:val="Compact"/>
            </w:pPr>
            <w:r>
              <w:t xml:space="preserve">Stage 1</w:t>
            </w:r>
          </w:p>
        </w:tc>
        <w:tc>
          <w:tcPr/>
          <w:p>
            <w:pPr>
              <w:pStyle w:val="Compact"/>
            </w:pPr>
            <w:r>
              <w:t xml:space="preserve">2,548</w:t>
            </w:r>
          </w:p>
        </w:tc>
        <w:tc>
          <w:tcPr/>
          <w:p>
            <w:pPr>
              <w:pStyle w:val="Compact"/>
            </w:pPr>
            <w:r>
              <w:t xml:space="preserve">156</w:t>
            </w:r>
          </w:p>
        </w:tc>
        <w:tc>
          <w:tcPr/>
          <w:p>
            <w:pPr>
              <w:pStyle w:val="Compact"/>
            </w:pPr>
            <w:r>
              <w:t xml:space="preserve">0.93</w:t>
            </w:r>
          </w:p>
        </w:tc>
        <w:tc>
          <w:tcPr/>
          <w:p>
            <w:pPr>
              <w:pStyle w:val="Compact"/>
            </w:pPr>
            <w:r>
              <w:t xml:space="preserve">100% (11/11)</w:t>
            </w:r>
          </w:p>
        </w:tc>
      </w:tr>
      <w:tr>
        <w:tc>
          <w:tcPr/>
          <w:p>
            <w:pPr>
              <w:pStyle w:val="Compact"/>
            </w:pPr>
          </w:p>
        </w:tc>
        <w:tc>
          <w:tcPr/>
          <w:p>
            <w:pPr>
              <w:pStyle w:val="Compact"/>
            </w:pPr>
            <w:r>
              <w:t xml:space="preserve">Stage 2</w:t>
            </w:r>
          </w:p>
        </w:tc>
        <w:tc>
          <w:tcPr/>
          <w:p>
            <w:pPr>
              <w:pStyle w:val="Compact"/>
            </w:pPr>
            <w:r>
              <w:t xml:space="preserve">2,548</w:t>
            </w:r>
          </w:p>
        </w:tc>
        <w:tc>
          <w:tcPr/>
          <w:p>
            <w:pPr>
              <w:pStyle w:val="Compact"/>
            </w:pPr>
            <w:r>
              <w:t xml:space="preserve">13</w:t>
            </w:r>
          </w:p>
        </w:tc>
        <w:tc>
          <w:tcPr/>
          <w:p>
            <w:pPr>
              <w:pStyle w:val="Compact"/>
            </w:pPr>
            <w:r>
              <w:t xml:space="preserve">0.97</w:t>
            </w:r>
          </w:p>
        </w:tc>
        <w:tc>
          <w:tcPr/>
          <w:p>
            <w:pPr>
              <w:pStyle w:val="Compact"/>
            </w:pPr>
            <w:r>
              <w:t xml:space="preserve">100% (11/11)</w:t>
            </w:r>
          </w:p>
        </w:tc>
      </w:tr>
      <w:tr>
        <w:tc>
          <w:tcPr/>
          <w:p>
            <w:pPr>
              <w:pStyle w:val="Compact"/>
            </w:pPr>
            <w:r>
              <w:rPr>
                <w:b/>
                <w:bCs/>
              </w:rPr>
              <w:t xml:space="preserve">Ling 2012</w:t>
            </w:r>
          </w:p>
        </w:tc>
        <w:tc>
          <w:tcPr/>
          <w:p>
            <w:pPr>
              <w:pStyle w:val="Compact"/>
            </w:pPr>
            <w:r>
              <w:t xml:space="preserve">Stage 1</w:t>
            </w:r>
          </w:p>
        </w:tc>
        <w:tc>
          <w:tcPr/>
          <w:p>
            <w:pPr>
              <w:pStyle w:val="Compact"/>
            </w:pPr>
            <w:r>
              <w:t xml:space="preserve">1,994</w:t>
            </w:r>
          </w:p>
        </w:tc>
        <w:tc>
          <w:tcPr/>
          <w:p>
            <w:pPr>
              <w:pStyle w:val="Compact"/>
            </w:pPr>
            <w:r>
              <w:t xml:space="preserve">245</w:t>
            </w:r>
          </w:p>
        </w:tc>
        <w:tc>
          <w:tcPr/>
          <w:p>
            <w:pPr>
              <w:pStyle w:val="Compact"/>
            </w:pPr>
            <w:r>
              <w:t xml:space="preserve">0.90</w:t>
            </w:r>
          </w:p>
        </w:tc>
        <w:tc>
          <w:tcPr/>
          <w:p>
            <w:pPr>
              <w:pStyle w:val="Compact"/>
            </w:pPr>
            <w:r>
              <w:t xml:space="preserve">100% (36/36)</w:t>
            </w:r>
          </w:p>
        </w:tc>
      </w:tr>
      <w:tr>
        <w:tc>
          <w:tcPr/>
          <w:p>
            <w:pPr>
              <w:pStyle w:val="Compact"/>
            </w:pPr>
          </w:p>
        </w:tc>
        <w:tc>
          <w:tcPr/>
          <w:p>
            <w:pPr>
              <w:pStyle w:val="Compact"/>
            </w:pPr>
            <w:r>
              <w:t xml:space="preserve">Stage 2</w:t>
            </w:r>
          </w:p>
        </w:tc>
        <w:tc>
          <w:tcPr/>
          <w:p>
            <w:pPr>
              <w:pStyle w:val="Compact"/>
            </w:pPr>
            <w:r>
              <w:t xml:space="preserve">1,994</w:t>
            </w:r>
          </w:p>
        </w:tc>
        <w:tc>
          <w:tcPr/>
          <w:p>
            <w:pPr>
              <w:pStyle w:val="Compact"/>
            </w:pPr>
            <w:r>
              <w:t xml:space="preserve">96</w:t>
            </w:r>
          </w:p>
        </w:tc>
        <w:tc>
          <w:tcPr/>
          <w:p>
            <w:pPr>
              <w:pStyle w:val="Compact"/>
            </w:pPr>
            <w:r>
              <w:t xml:space="preserve">0.96</w:t>
            </w:r>
          </w:p>
        </w:tc>
        <w:tc>
          <w:tcPr/>
          <w:p>
            <w:pPr>
              <w:pStyle w:val="Compact"/>
            </w:pPr>
            <w:r>
              <w:t xml:space="preserve">100% (36/36)</w:t>
            </w:r>
          </w:p>
        </w:tc>
      </w:tr>
      <w:tr>
        <w:tc>
          <w:tcPr/>
          <w:p>
            <w:pPr>
              <w:pStyle w:val="Compact"/>
            </w:pPr>
            <w:r>
              <w:rPr>
                <w:b/>
                <w:bCs/>
              </w:rPr>
              <w:t xml:space="preserve">Fattah 2015</w:t>
            </w:r>
          </w:p>
        </w:tc>
        <w:tc>
          <w:tcPr/>
          <w:p>
            <w:pPr>
              <w:pStyle w:val="Compact"/>
            </w:pPr>
            <w:r>
              <w:t xml:space="preserve">Stage 1</w:t>
            </w:r>
          </w:p>
        </w:tc>
        <w:tc>
          <w:tcPr/>
          <w:p>
            <w:pPr>
              <w:pStyle w:val="Compact"/>
            </w:pPr>
            <w:r>
              <w:t xml:space="preserve">1,789</w:t>
            </w:r>
          </w:p>
        </w:tc>
        <w:tc>
          <w:tcPr/>
          <w:p>
            <w:pPr>
              <w:pStyle w:val="Compact"/>
            </w:pPr>
            <w:r>
              <w:t xml:space="preserve">198</w:t>
            </w:r>
          </w:p>
        </w:tc>
        <w:tc>
          <w:tcPr/>
          <w:p>
            <w:pPr>
              <w:pStyle w:val="Compact"/>
            </w:pPr>
            <w:r>
              <w:t xml:space="preserve">0.92</w:t>
            </w:r>
          </w:p>
        </w:tc>
        <w:tc>
          <w:tcPr/>
          <w:p>
            <w:pPr>
              <w:pStyle w:val="Compact"/>
            </w:pPr>
            <w:r>
              <w:t xml:space="preserve">100% (32/32)</w:t>
            </w:r>
          </w:p>
        </w:tc>
      </w:tr>
      <w:tr>
        <w:tc>
          <w:tcPr/>
          <w:p>
            <w:pPr>
              <w:pStyle w:val="Compact"/>
            </w:pPr>
          </w:p>
        </w:tc>
        <w:tc>
          <w:tcPr/>
          <w:p>
            <w:pPr>
              <w:pStyle w:val="Compact"/>
            </w:pPr>
            <w:r>
              <w:t xml:space="preserve">Stage 2</w:t>
            </w:r>
          </w:p>
        </w:tc>
        <w:tc>
          <w:tcPr/>
          <w:p>
            <w:pPr>
              <w:pStyle w:val="Compact"/>
            </w:pPr>
            <w:r>
              <w:t xml:space="preserve">1,789</w:t>
            </w:r>
          </w:p>
        </w:tc>
        <w:tc>
          <w:tcPr/>
          <w:p>
            <w:pPr>
              <w:pStyle w:val="Compact"/>
            </w:pPr>
            <w:r>
              <w:t xml:space="preserve">78</w:t>
            </w:r>
          </w:p>
        </w:tc>
        <w:tc>
          <w:tcPr/>
          <w:p>
            <w:pPr>
              <w:pStyle w:val="Compact"/>
            </w:pPr>
            <w:r>
              <w:t xml:space="preserve">0.96</w:t>
            </w:r>
          </w:p>
        </w:tc>
        <w:tc>
          <w:tcPr/>
          <w:p>
            <w:pPr>
              <w:pStyle w:val="Compact"/>
            </w:pPr>
            <w:r>
              <w:t xml:space="preserve">100% (32/32)</w:t>
            </w:r>
          </w:p>
        </w:tc>
      </w:tr>
    </w:tbl>
    <w:p>
      <w:pPr>
        <w:pStyle w:val="BodyText"/>
      </w:pPr>
      <w:r>
        <w:rPr>
          <w:b/>
          <w:bCs/>
        </w:rPr>
        <w:t xml:space="preserve">Key Observations:</w:t>
      </w:r>
    </w:p>
    <w:p>
      <w:pPr>
        <w:pStyle w:val="Compact"/>
        <w:numPr>
          <w:ilvl w:val="0"/>
          <w:numId w:val="1004"/>
        </w:numPr>
      </w:pPr>
      <w:r>
        <w:t xml:space="preserve">Stage 2 reduced inclusion counts by 40-52% while maintaining recall</w:t>
      </w:r>
    </w:p>
    <w:p>
      <w:pPr>
        <w:pStyle w:val="Compact"/>
        <w:numPr>
          <w:ilvl w:val="0"/>
          <w:numId w:val="1004"/>
        </w:numPr>
      </w:pPr>
      <w:r>
        <w:t xml:space="preserve">Mean confidence increased from 0.91-0.93 (Stage 1) to 0.95-0.97 (Stage 2)</w:t>
      </w:r>
    </w:p>
    <w:p>
      <w:pPr>
        <w:pStyle w:val="Compact"/>
        <w:numPr>
          <w:ilvl w:val="0"/>
          <w:numId w:val="1004"/>
        </w:numPr>
      </w:pPr>
      <w:r>
        <w:t xml:space="preserve">All gold standard papers retained through both stages except one Sebastin paper</w:t>
      </w:r>
    </w:p>
    <w:p>
      <w:pPr>
        <w:pStyle w:val="Compact"/>
        <w:numPr>
          <w:ilvl w:val="0"/>
          <w:numId w:val="1004"/>
        </w:numPr>
      </w:pPr>
      <w:r>
        <w:t xml:space="preserve">The single Sebastin false negative correctly failed N≥5 threshold</w:t>
      </w:r>
    </w:p>
    <w:p>
      <w:r>
        <w:pict>
          <v:rect style="width:0;height:1.5pt" o:hralign="center" o:hrstd="t" o:hr="t"/>
        </w:pict>
      </w:r>
    </w:p>
    <w:bookmarkEnd w:id="24"/>
    <w:bookmarkStart w:id="25" w:name="X92e48931aae1b08f6579dae6b0aa48101f96f65"/>
    <w:p>
      <w:pPr>
        <w:pStyle w:val="Heading2"/>
      </w:pPr>
      <w:r>
        <w:t xml:space="preserve">Supplementary Figure S1. Decision Confidence Score Distributions</w:t>
      </w:r>
    </w:p>
    <w:p>
      <w:pPr>
        <w:pStyle w:val="FirstParagraph"/>
      </w:pPr>
      <w:r>
        <w:rPr>
          <w:i/>
          <w:iCs/>
        </w:rPr>
        <w:t xml:space="preserve">[Figure showing histograms of confidence scores for Stage 1 and Stage 2 decisions across all four reviews]</w:t>
      </w:r>
    </w:p>
    <w:p>
      <w:pPr>
        <w:pStyle w:val="BodyText"/>
      </w:pPr>
      <w:r>
        <w:rPr>
          <w:b/>
          <w:bCs/>
        </w:rPr>
        <w:t xml:space="preserve">Figure Legend:</w:t>
      </w:r>
      <w:r>
        <w:t xml:space="preserve"> </w:t>
      </w:r>
      <w:r>
        <w:t xml:space="preserve">Distribution of AI confidence scores for screening decisions. Panel A shows Stage 1 (GPT-4.1-mini) confidence scores with median 0.92 (IQR 0.85-0.97). Panel B shows Stage 2 (GPT-4.1) confidence scores with median 0.96 (IQR 0.92-0.99). Stage 2 shows rightward shift indicating higher confidence after contextual re-evaluation. Low-confidence decisions (0.4-0.6) represent 5-10% of papers and are recommended for human review in hybrid workflows.</w:t>
      </w:r>
    </w:p>
    <w:p>
      <w:r>
        <w:pict>
          <v:rect style="width:0;height:1.5pt" o:hralign="center" o:hrstd="t" o:hr="t"/>
        </w:pict>
      </w:r>
    </w:p>
    <w:bookmarkEnd w:id="25"/>
    <w:bookmarkStart w:id="26" w:name="supplementary-data-files"/>
    <w:p>
      <w:pPr>
        <w:pStyle w:val="Heading2"/>
      </w:pPr>
      <w:r>
        <w:t xml:space="preserve">Supplementary Data Files</w:t>
      </w:r>
    </w:p>
    <w:p>
      <w:pPr>
        <w:pStyle w:val="FirstParagraph"/>
      </w:pPr>
      <w:r>
        <w:t xml:space="preserve">Available at GitHub repository [URL to be added upon acceptance]:</w:t>
      </w:r>
    </w:p>
    <w:p>
      <w:pPr>
        <w:pStyle w:val="BodyText"/>
      </w:pPr>
      <w:r>
        <w:rPr>
          <w:b/>
          <w:bCs/>
        </w:rPr>
        <w:t xml:space="preserve">Screening Configurations (YAML format):</w:t>
      </w:r>
    </w:p>
    <w:p>
      <w:pPr>
        <w:pStyle w:val="Compact"/>
        <w:numPr>
          <w:ilvl w:val="0"/>
          <w:numId w:val="1005"/>
        </w:numPr>
      </w:pPr>
      <w:r>
        <w:rPr>
          <w:rStyle w:val="VerbatimChar"/>
        </w:rPr>
        <w:t xml:space="preserve">sebastin_2011_screening.yaml</w:t>
      </w:r>
      <w:r>
        <w:t xml:space="preserve"> </w:t>
      </w:r>
      <w:r>
        <w:t xml:space="preserve">- Digit replantation outcomes</w:t>
      </w:r>
    </w:p>
    <w:p>
      <w:pPr>
        <w:pStyle w:val="Compact"/>
        <w:numPr>
          <w:ilvl w:val="0"/>
          <w:numId w:val="1005"/>
        </w:numPr>
      </w:pPr>
      <w:r>
        <w:rPr>
          <w:rStyle w:val="VerbatimChar"/>
        </w:rPr>
        <w:t xml:space="preserve">arshad_2016_screening.yaml</w:t>
      </w:r>
      <w:r>
        <w:t xml:space="preserve"> </w:t>
      </w:r>
      <w:r>
        <w:t xml:space="preserve">- Cell-assisted lipotransfer</w:t>
      </w:r>
    </w:p>
    <w:p>
      <w:pPr>
        <w:pStyle w:val="Compact"/>
        <w:numPr>
          <w:ilvl w:val="0"/>
          <w:numId w:val="1005"/>
        </w:numPr>
      </w:pPr>
      <w:r>
        <w:rPr>
          <w:rStyle w:val="VerbatimChar"/>
        </w:rPr>
        <w:t xml:space="preserve">ling_2012_screening.yaml</w:t>
      </w:r>
      <w:r>
        <w:t xml:space="preserve"> </w:t>
      </w:r>
      <w:r>
        <w:t xml:space="preserve">- Fibula flap donor site morbidity</w:t>
      </w:r>
    </w:p>
    <w:p>
      <w:pPr>
        <w:pStyle w:val="Compact"/>
        <w:numPr>
          <w:ilvl w:val="0"/>
          <w:numId w:val="1005"/>
        </w:numPr>
      </w:pPr>
      <w:r>
        <w:rPr>
          <w:rStyle w:val="VerbatimChar"/>
        </w:rPr>
        <w:t xml:space="preserve">fattah_2015_screening.yaml</w:t>
      </w:r>
      <w:r>
        <w:t xml:space="preserve"> </w:t>
      </w:r>
      <w:r>
        <w:t xml:space="preserve">- Facial nerve grading instruments</w:t>
      </w:r>
    </w:p>
    <w:p>
      <w:pPr>
        <w:pStyle w:val="FirstParagraph"/>
      </w:pPr>
      <w:r>
        <w:rPr>
          <w:b/>
          <w:bCs/>
        </w:rPr>
        <w:t xml:space="preserve">Validation Results:</w:t>
      </w:r>
    </w:p>
    <w:p>
      <w:pPr>
        <w:pStyle w:val="Compact"/>
        <w:numPr>
          <w:ilvl w:val="0"/>
          <w:numId w:val="1006"/>
        </w:numPr>
      </w:pPr>
      <w:r>
        <w:rPr>
          <w:rStyle w:val="VerbatimChar"/>
        </w:rPr>
        <w:t xml:space="preserve">screening_decisions.csv</w:t>
      </w:r>
      <w:r>
        <w:t xml:space="preserve"> </w:t>
      </w:r>
      <w:r>
        <w:t xml:space="preserve">- Complete 6,673 screening decisions with confidence scores</w:t>
      </w:r>
    </w:p>
    <w:p>
      <w:pPr>
        <w:pStyle w:val="Compact"/>
        <w:numPr>
          <w:ilvl w:val="0"/>
          <w:numId w:val="1006"/>
        </w:numPr>
      </w:pPr>
      <w:r>
        <w:rPr>
          <w:rStyle w:val="VerbatimChar"/>
        </w:rPr>
        <w:t xml:space="preserve">gold_standard_lists.csv</w:t>
      </w:r>
      <w:r>
        <w:t xml:space="preserve"> </w:t>
      </w:r>
      <w:r>
        <w:t xml:space="preserve">- 110 gold standard PMIDs with review assignments</w:t>
      </w:r>
    </w:p>
    <w:p>
      <w:pPr>
        <w:pStyle w:val="Compact"/>
        <w:numPr>
          <w:ilvl w:val="0"/>
          <w:numId w:val="1006"/>
        </w:numPr>
      </w:pPr>
      <w:r>
        <w:rPr>
          <w:rStyle w:val="VerbatimChar"/>
        </w:rPr>
        <w:t xml:space="preserve">false_negative_analysis.csv</w:t>
      </w:r>
      <w:r>
        <w:t xml:space="preserve"> </w:t>
      </w:r>
      <w:r>
        <w:t xml:space="preserve">- Detailed analysis of missed papers</w:t>
      </w:r>
    </w:p>
    <w:p>
      <w:pPr>
        <w:pStyle w:val="FirstParagraph"/>
      </w:pPr>
      <w:r>
        <w:rPr>
          <w:b/>
          <w:bCs/>
        </w:rPr>
        <w:t xml:space="preserve">Analysis Scripts (Python):</w:t>
      </w:r>
    </w:p>
    <w:p>
      <w:pPr>
        <w:pStyle w:val="Compact"/>
        <w:numPr>
          <w:ilvl w:val="0"/>
          <w:numId w:val="1007"/>
        </w:numPr>
      </w:pPr>
      <w:r>
        <w:rPr>
          <w:rStyle w:val="VerbatimChar"/>
        </w:rPr>
        <w:t xml:space="preserve">calculate_metrics.py</w:t>
      </w:r>
      <w:r>
        <w:t xml:space="preserve"> </w:t>
      </w:r>
      <w:r>
        <w:t xml:space="preserve">- Confusion matrix and performance metrics</w:t>
      </w:r>
    </w:p>
    <w:p>
      <w:pPr>
        <w:pStyle w:val="Compact"/>
        <w:numPr>
          <w:ilvl w:val="0"/>
          <w:numId w:val="1007"/>
        </w:numPr>
      </w:pPr>
      <w:r>
        <w:rPr>
          <w:rStyle w:val="VerbatimChar"/>
        </w:rPr>
        <w:t xml:space="preserve">generate_figures.py</w:t>
      </w:r>
      <w:r>
        <w:t xml:space="preserve"> </w:t>
      </w:r>
      <w:r>
        <w:t xml:space="preserve">- Visualization code for all figures</w:t>
      </w:r>
    </w:p>
    <w:p>
      <w:pPr>
        <w:pStyle w:val="Compact"/>
        <w:numPr>
          <w:ilvl w:val="0"/>
          <w:numId w:val="1007"/>
        </w:numPr>
      </w:pPr>
      <w:r>
        <w:rPr>
          <w:rStyle w:val="VerbatimChar"/>
        </w:rPr>
        <w:t xml:space="preserve">validate_gold_standard.py</w:t>
      </w:r>
      <w:r>
        <w:t xml:space="preserve"> </w:t>
      </w:r>
      <w:r>
        <w:t xml:space="preserve">- Cross-reference validation</w:t>
      </w:r>
    </w:p>
    <w:p>
      <w:pPr>
        <w:pStyle w:val="FirstParagraph"/>
      </w:pPr>
      <w:r>
        <w:rPr>
          <w:b/>
          <w:bCs/>
        </w:rPr>
        <w:t xml:space="preserve">License:</w:t>
      </w:r>
      <w:r>
        <w:t xml:space="preserve"> </w:t>
      </w:r>
      <w:r>
        <w:t xml:space="preserve">MIT open-source license</w:t>
      </w:r>
    </w:p>
    <w:p>
      <w:r>
        <w:pict>
          <v:rect style="width:0;height:1.5pt" o:hralign="center" o:hrstd="t" o:hr="t"/>
        </w:pict>
      </w:r>
    </w:p>
    <w:bookmarkEnd w:id="26"/>
    <w:bookmarkStart w:id="32" w:name="X414fec6733ff782172bafb587e8ceb28388b40e"/>
    <w:p>
      <w:pPr>
        <w:pStyle w:val="Heading2"/>
      </w:pPr>
      <w:r>
        <w:t xml:space="preserve">Supplementary Methods: Detailed Configuration Development Process</w:t>
      </w:r>
    </w:p>
    <w:bookmarkStart w:id="27" w:name="X8368f12b2fa295ac1abc97e42bb25831d866c29"/>
    <w:p>
      <w:pPr>
        <w:pStyle w:val="Heading3"/>
      </w:pPr>
      <w:r>
        <w:t xml:space="preserve">Step 1: Extract Inclusion/Exclusion Criteria</w:t>
      </w:r>
    </w:p>
    <w:p>
      <w:pPr>
        <w:pStyle w:val="FirstParagraph"/>
      </w:pPr>
      <w:r>
        <w:t xml:space="preserve">Read the original systematic review Methods section verbatim. Identify:</w:t>
      </w:r>
    </w:p>
    <w:p>
      <w:pPr>
        <w:pStyle w:val="Compact"/>
        <w:numPr>
          <w:ilvl w:val="0"/>
          <w:numId w:val="1008"/>
        </w:numPr>
      </w:pPr>
      <w:r>
        <w:t xml:space="preserve">Population (e.g.,</w:t>
      </w:r>
      <w:r>
        <w:t xml:space="preserve"> </w:t>
      </w:r>
      <w:r>
        <w:t xml:space="preserve">“patients undergoing digit replantation”</w:t>
      </w:r>
      <w:r>
        <w:t xml:space="preserve">)</w:t>
      </w:r>
    </w:p>
    <w:p>
      <w:pPr>
        <w:pStyle w:val="Compact"/>
        <w:numPr>
          <w:ilvl w:val="0"/>
          <w:numId w:val="1008"/>
        </w:numPr>
      </w:pPr>
      <w:r>
        <w:t xml:space="preserve">Intervention/Exposure (e.g.,</w:t>
      </w:r>
      <w:r>
        <w:t xml:space="preserve"> </w:t>
      </w:r>
      <w:r>
        <w:t xml:space="preserve">“replantation distal to DIPJ”</w:t>
      </w:r>
      <w:r>
        <w:t xml:space="preserve">)</w:t>
      </w:r>
    </w:p>
    <w:p>
      <w:pPr>
        <w:pStyle w:val="Compact"/>
        <w:numPr>
          <w:ilvl w:val="0"/>
          <w:numId w:val="1008"/>
        </w:numPr>
      </w:pPr>
      <w:r>
        <w:t xml:space="preserve">Comparator (if applicable)</w:t>
      </w:r>
    </w:p>
    <w:p>
      <w:pPr>
        <w:pStyle w:val="Compact"/>
        <w:numPr>
          <w:ilvl w:val="0"/>
          <w:numId w:val="1008"/>
        </w:numPr>
      </w:pPr>
      <w:r>
        <w:t xml:space="preserve">Outcomes (e.g.,</w:t>
      </w:r>
      <w:r>
        <w:t xml:space="preserve"> </w:t>
      </w:r>
      <w:r>
        <w:t xml:space="preserve">“survival rate, functional outcomes”</w:t>
      </w:r>
      <w:r>
        <w:t xml:space="preserve">)</w:t>
      </w:r>
    </w:p>
    <w:p>
      <w:pPr>
        <w:pStyle w:val="Compact"/>
        <w:numPr>
          <w:ilvl w:val="0"/>
          <w:numId w:val="1008"/>
        </w:numPr>
      </w:pPr>
      <w:r>
        <w:t xml:space="preserve">Study design restrictions (e.g.,</w:t>
      </w:r>
      <w:r>
        <w:t xml:space="preserve"> </w:t>
      </w:r>
      <w:r>
        <w:t xml:space="preserve">“excluding case reports”</w:t>
      </w:r>
      <w:r>
        <w:t xml:space="preserve">)</w:t>
      </w:r>
    </w:p>
    <w:bookmarkEnd w:id="27"/>
    <w:bookmarkStart w:id="28" w:name="step-2-define-quantitative-thresholds"/>
    <w:p>
      <w:pPr>
        <w:pStyle w:val="Heading3"/>
      </w:pPr>
      <w:r>
        <w:t xml:space="preserve">Step 2: Define Quantitative Thresholds</w:t>
      </w:r>
    </w:p>
    <w:p>
      <w:pPr>
        <w:pStyle w:val="FirstParagraph"/>
      </w:pPr>
      <w:r>
        <w:t xml:space="preserve">Identify explicit thresholds from the original review:</w:t>
      </w:r>
    </w:p>
    <w:p>
      <w:pPr>
        <w:pStyle w:val="Compact"/>
        <w:numPr>
          <w:ilvl w:val="0"/>
          <w:numId w:val="1009"/>
        </w:numPr>
      </w:pPr>
      <w:r>
        <w:t xml:space="preserve">Sample size minimums (e.g., N≥5, N≥10)</w:t>
      </w:r>
    </w:p>
    <w:p>
      <w:pPr>
        <w:pStyle w:val="Compact"/>
        <w:numPr>
          <w:ilvl w:val="0"/>
          <w:numId w:val="1009"/>
        </w:numPr>
      </w:pPr>
      <w:r>
        <w:t xml:space="preserve">Follow-up duration (e.g., ≥6 months, ≥1 year)</w:t>
      </w:r>
    </w:p>
    <w:p>
      <w:pPr>
        <w:pStyle w:val="Compact"/>
        <w:numPr>
          <w:ilvl w:val="0"/>
          <w:numId w:val="1009"/>
        </w:numPr>
      </w:pPr>
      <w:r>
        <w:t xml:space="preserve">Outcome reporting requirements</w:t>
      </w:r>
    </w:p>
    <w:bookmarkEnd w:id="28"/>
    <w:bookmarkStart w:id="29" w:name="step-3-clarify-ambiguous-terms"/>
    <w:p>
      <w:pPr>
        <w:pStyle w:val="Heading3"/>
      </w:pPr>
      <w:r>
        <w:t xml:space="preserve">Step 3: Clarify Ambiguous Terms</w:t>
      </w:r>
    </w:p>
    <w:p>
      <w:pPr>
        <w:pStyle w:val="FirstParagraph"/>
      </w:pPr>
      <w:r>
        <w:t xml:space="preserve">Create a glossary of specialty-specific terms:</w:t>
      </w:r>
    </w:p>
    <w:p>
      <w:pPr>
        <w:pStyle w:val="Compact"/>
        <w:numPr>
          <w:ilvl w:val="0"/>
          <w:numId w:val="1010"/>
        </w:numPr>
      </w:pPr>
      <w:r>
        <w:t xml:space="preserve">Anatomical landmarks (e.g.,</w:t>
      </w:r>
      <w:r>
        <w:t xml:space="preserve"> </w:t>
      </w:r>
      <w:r>
        <w:t xml:space="preserve">“DIPJ = distal interphalangeal joint”</w:t>
      </w:r>
      <w:r>
        <w:t xml:space="preserve">)</w:t>
      </w:r>
    </w:p>
    <w:p>
      <w:pPr>
        <w:pStyle w:val="Compact"/>
        <w:numPr>
          <w:ilvl w:val="0"/>
          <w:numId w:val="1010"/>
        </w:numPr>
      </w:pPr>
      <w:r>
        <w:t xml:space="preserve">Technique definitions (e.g.,</w:t>
      </w:r>
      <w:r>
        <w:t xml:space="preserve"> </w:t>
      </w:r>
      <w:r>
        <w:t xml:space="preserve">“Zone I = distal to nail fold”</w:t>
      </w:r>
      <w:r>
        <w:t xml:space="preserve">)</w:t>
      </w:r>
    </w:p>
    <w:p>
      <w:pPr>
        <w:pStyle w:val="Compact"/>
        <w:numPr>
          <w:ilvl w:val="0"/>
          <w:numId w:val="1010"/>
        </w:numPr>
      </w:pPr>
      <w:r>
        <w:t xml:space="preserve">Procedure classifications</w:t>
      </w:r>
    </w:p>
    <w:bookmarkEnd w:id="29"/>
    <w:bookmarkStart w:id="30" w:name="step-4-set-default-behavior"/>
    <w:p>
      <w:pPr>
        <w:pStyle w:val="Heading3"/>
      </w:pPr>
      <w:r>
        <w:t xml:space="preserve">Step 4: Set Default Behavior</w:t>
      </w:r>
    </w:p>
    <w:p>
      <w:pPr>
        <w:pStyle w:val="FirstParagraph"/>
      </w:pPr>
      <w:r>
        <w:t xml:space="preserve">Configure permissive screening:</w:t>
      </w:r>
    </w:p>
    <w:p>
      <w:pPr>
        <w:pStyle w:val="Compact"/>
        <w:numPr>
          <w:ilvl w:val="0"/>
          <w:numId w:val="1011"/>
        </w:numPr>
      </w:pPr>
      <w:r>
        <w:t xml:space="preserve">Default to INCLUDE when criteria are ambiguous</w:t>
      </w:r>
    </w:p>
    <w:p>
      <w:pPr>
        <w:pStyle w:val="Compact"/>
        <w:numPr>
          <w:ilvl w:val="0"/>
          <w:numId w:val="1011"/>
        </w:numPr>
      </w:pPr>
      <w:r>
        <w:t xml:space="preserve">Flag low-confidence decisions for human review</w:t>
      </w:r>
    </w:p>
    <w:p>
      <w:pPr>
        <w:pStyle w:val="Compact"/>
        <w:numPr>
          <w:ilvl w:val="0"/>
          <w:numId w:val="1011"/>
        </w:numPr>
      </w:pPr>
      <w:r>
        <w:t xml:space="preserve">Preserve marginal papers for full-text evaluation</w:t>
      </w:r>
    </w:p>
    <w:bookmarkEnd w:id="30"/>
    <w:bookmarkStart w:id="31" w:name="step-5-validate-configuration"/>
    <w:p>
      <w:pPr>
        <w:pStyle w:val="Heading3"/>
      </w:pPr>
      <w:r>
        <w:t xml:space="preserve">Step 5: Validate Configuration</w:t>
      </w:r>
    </w:p>
    <w:p>
      <w:pPr>
        <w:pStyle w:val="FirstParagraph"/>
      </w:pPr>
      <w:r>
        <w:t xml:space="preserve">Test on known gold standard papers:</w:t>
      </w:r>
    </w:p>
    <w:p>
      <w:pPr>
        <w:pStyle w:val="Compact"/>
        <w:numPr>
          <w:ilvl w:val="0"/>
          <w:numId w:val="1012"/>
        </w:numPr>
      </w:pPr>
      <w:r>
        <w:t xml:space="preserve">Verify all gold standard papers are captured</w:t>
      </w:r>
    </w:p>
    <w:p>
      <w:pPr>
        <w:pStyle w:val="Compact"/>
        <w:numPr>
          <w:ilvl w:val="0"/>
          <w:numId w:val="1012"/>
        </w:numPr>
      </w:pPr>
      <w:r>
        <w:t xml:space="preserve">Adjust thresholds if sensitivity is below 95%</w:t>
      </w:r>
    </w:p>
    <w:p>
      <w:pPr>
        <w:pStyle w:val="Compact"/>
        <w:numPr>
          <w:ilvl w:val="0"/>
          <w:numId w:val="1012"/>
        </w:numPr>
      </w:pPr>
      <w:r>
        <w:t xml:space="preserve">Document any configuration refinements</w:t>
      </w:r>
    </w:p>
    <w:p>
      <w:r>
        <w:pict>
          <v:rect style="width:0;height:1.5pt" o:hralign="center" o:hrstd="t" o:hr="t"/>
        </w:pict>
      </w:r>
    </w:p>
    <w:p>
      <w:pPr>
        <w:pStyle w:val="FirstParagraph"/>
      </w:pPr>
      <w:r>
        <w:rPr>
          <w:i/>
          <w:iCs/>
        </w:rPr>
        <w:t xml:space="preserve">Supplementary materials prepared for: Plastic and Reconstructive Surgery</w:t>
      </w:r>
    </w:p>
    <w:bookmarkEnd w:id="31"/>
    <w:bookmarkEnd w:id="32"/>
    <w:bookmarkEnd w:id="33"/>
    <w:sectPr w:rsidR="00FC693F" w:rsidRPr="0006063C" w:rsidSect="00034616">
      <w:headerReference r:id="rId9"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r>
    <w:r>
      <w:instrText>PAGE</w:instrText>
    </w:r>
    <w:r>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bidi="ar-SA" w:eastAsia="en-US" w:val="en-US"/>
      </w:rPr>
    </w:rPrDefault>
    <w:pPrDefault>
      <w:pPr>
        <w:spacing w:after="0" w:line="480"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80" w:lineRule="auto"/>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240" w:line="480" w:lineRule="auto"/>
      <w:outlineLvl w:val="0"/>
    </w:pPr>
    <w:rPr>
      <w:rFonts w:ascii="Times New Roman" w:hAnsi="Times New Roman"/>
      <w:b/>
      <w:bCs/>
      <w:caps/>
      <w:color w:val="000000"/>
      <w:sz w:val="24"/>
      <w:szCs w:val="28"/>
    </w:rPr>
  </w:style>
  <w:style w:styleId="Heading2" w:type="paragraph">
    <w:name w:val="heading 2"/>
    <w:basedOn w:val="Normal"/>
    <w:next w:val="Normal"/>
    <w:link w:val="Heading2Char"/>
    <w:uiPriority w:val="9"/>
    <w:unhideWhenUsed/>
    <w:qFormat/>
    <w:rsid w:val="00FC693F"/>
    <w:pPr>
      <w:keepNext/>
      <w:keepLines/>
      <w:spacing w:after="0" w:before="240" w:line="480" w:lineRule="auto"/>
      <w:outlineLvl w:val="1"/>
    </w:pPr>
    <w:rPr>
      <w:rFonts w:ascii="Times New Roman" w:hAnsi="Times New Roman"/>
      <w:b/>
      <w:bCs/>
      <w:i w:val="0"/>
      <w:color w:val="000000"/>
      <w:sz w:val="24"/>
      <w:szCs w:val="26"/>
    </w:rPr>
  </w:style>
  <w:style w:styleId="Heading3" w:type="paragraph">
    <w:name w:val="heading 3"/>
    <w:basedOn w:val="Normal"/>
    <w:next w:val="Normal"/>
    <w:link w:val="Heading3Char"/>
    <w:uiPriority w:val="9"/>
    <w:unhideWhenUsed/>
    <w:qFormat/>
    <w:rsid w:val="00FC693F"/>
    <w:pPr>
      <w:keepNext/>
      <w:keepLines/>
      <w:spacing w:after="0" w:before="120" w:line="480" w:lineRule="auto"/>
      <w:outlineLvl w:val="2"/>
    </w:pPr>
    <w:rPr>
      <w:rFonts w:ascii="Times New Roman" w:hAnsi="Times New Roman"/>
      <w:b w:val="0"/>
      <w:bCs/>
      <w:i/>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b/>
      <w:bCs/>
      <w:i/>
      <w:iCs/>
      <w:color w:val="00000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color w:val="0000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i/>
      <w:iCs/>
      <w:color w:val="0000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i/>
      <w:iCs/>
      <w:color w:val="00000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olor w:val="000000"/>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i/>
      <w:iCs/>
      <w:color w:val="00000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b/>
      <w:bCs/>
      <w:color w:val="000000"/>
      <w:sz w:val="28"/>
      <w:szCs w:val="28"/>
    </w:rPr>
  </w:style>
  <w:style w:customStyle="1" w:styleId="Heading2Char" w:type="character">
    <w:name w:val="Heading 2 Char"/>
    <w:basedOn w:val="DefaultParagraphFont"/>
    <w:link w:val="Heading2"/>
    <w:uiPriority w:val="9"/>
    <w:rsid w:val="00FC693F"/>
    <w:rPr>
      <w:rFonts/>
      <w:b/>
      <w:bCs/>
      <w:color w:val="000000"/>
      <w:sz w:val="26"/>
      <w:szCs w:val="26"/>
    </w:rPr>
  </w:style>
  <w:style w:customStyle="1" w:styleId="Heading3Char" w:type="character">
    <w:name w:val="Heading 3 Char"/>
    <w:basedOn w:val="DefaultParagraphFont"/>
    <w:link w:val="Heading3"/>
    <w:uiPriority w:val="9"/>
    <w:rsid w:val="00FC693F"/>
    <w:rPr>
      <w:rFonts/>
      <w:b/>
      <w:bCs/>
      <w:color w:val="000000"/>
    </w:rPr>
  </w:style>
  <w:style w:styleId="Title" w:type="paragraph">
    <w:name w:val="Title"/>
    <w:basedOn w:val="Normal"/>
    <w:next w:val="Normal"/>
    <w:link w:val="TitleChar"/>
    <w:uiPriority w:val="10"/>
    <w:qFormat/>
    <w:rsid w:val="00FC693F"/>
    <w:pPr>
      <w:spacing w:after="240" w:before="0" w:line="480" w:lineRule="auto"/>
      <w:contextualSpacing/>
      <w:jc w:val="center"/>
    </w:pPr>
    <w:rPr>
      <w:rFonts w:ascii="Times New Roman" w:hAnsi="Times New Roman"/>
      <w:b/>
      <w:color w:val="000000"/>
      <w:spacing w:val="5"/>
      <w:kern w:val="28"/>
      <w:sz w:val="28"/>
      <w:szCs w:val="52"/>
    </w:rPr>
  </w:style>
  <w:style w:customStyle="1" w:styleId="TitleChar" w:type="character">
    <w:name w:val="Title Char"/>
    <w:basedOn w:val="DefaultParagraphFont"/>
    <w:link w:val="Title"/>
    <w:uiPriority w:val="10"/>
    <w:rsid w:val="00FC693F"/>
    <w:rPr>
      <w:rFonts/>
      <w:color w:val="000000"/>
      <w:spacing w:val="5"/>
      <w:kern w:val="28"/>
      <w:sz w:val="52"/>
      <w:szCs w:val="52"/>
    </w:rPr>
  </w:style>
  <w:style w:styleId="Subtitle" w:type="paragraph">
    <w:name w:val="Subtitle"/>
    <w:basedOn w:val="Normal"/>
    <w:next w:val="Normal"/>
    <w:link w:val="SubtitleChar"/>
    <w:uiPriority w:val="11"/>
    <w:qFormat/>
    <w:rsid w:val="00FC693F"/>
    <w:pPr>
      <w:numPr>
        <w:ilvl w:val="1"/>
      </w:numPr>
      <w:spacing w:after="240" w:line="480" w:lineRule="auto"/>
      <w:jc w:val="center"/>
    </w:pPr>
    <w:rPr>
      <w:rFonts w:ascii="Times New Roman" w:hAnsi="Times New Roman"/>
      <w:i/>
      <w:iCs/>
      <w:color w:val="000000"/>
      <w:spacing w:val="15"/>
      <w:sz w:val="24"/>
      <w:szCs w:val="24"/>
    </w:rPr>
  </w:style>
  <w:style w:customStyle="1" w:styleId="SubtitleChar" w:type="character">
    <w:name w:val="Subtitle Char"/>
    <w:basedOn w:val="DefaultParagraphFont"/>
    <w:link w:val="Subtitle"/>
    <w:uiPriority w:val="11"/>
    <w:rsid w:val="00FC693F"/>
    <w:rPr>
      <w:rFonts/>
      <w:i/>
      <w:iCs/>
      <w:color w:val="000000"/>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480" w:lineRule="auto"/>
      <w:ind w:firstLine="720"/>
    </w:pPr>
    <w:rPr>
      <w:rFonts w:ascii="Times New Roman" w:hAnsi="Times New Roman"/>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val="000000"/>
    </w:rPr>
  </w:style>
  <w:style w:customStyle="1" w:styleId="QuoteChar" w:type="character">
    <w:name w:val="Quote Char"/>
    <w:basedOn w:val="DefaultParagraphFont"/>
    <w:link w:val="Quote"/>
    <w:uiPriority w:val="29"/>
    <w:rsid w:val="00FC693F"/>
    <w:rPr>
      <w:i/>
      <w:iCs/>
      <w:color w:val="000000"/>
    </w:rPr>
  </w:style>
  <w:style w:customStyle="1" w:styleId="Heading4Char" w:type="character">
    <w:name w:val="Heading 4 Char"/>
    <w:basedOn w:val="DefaultParagraphFont"/>
    <w:link w:val="Heading4"/>
    <w:uiPriority w:val="9"/>
    <w:semiHidden/>
    <w:rsid w:val="00FC693F"/>
    <w:rPr>
      <w:rFonts/>
      <w:b/>
      <w:bCs/>
      <w:i/>
      <w:iCs/>
      <w:color w:val="000000"/>
    </w:rPr>
  </w:style>
  <w:style w:customStyle="1" w:styleId="Heading5Char" w:type="character">
    <w:name w:val="Heading 5 Char"/>
    <w:basedOn w:val="DefaultParagraphFont"/>
    <w:link w:val="Heading5"/>
    <w:uiPriority w:val="9"/>
    <w:semiHidden/>
    <w:rsid w:val="00FC693F"/>
    <w:rPr>
      <w:rFonts/>
      <w:color w:val="000000"/>
    </w:rPr>
  </w:style>
  <w:style w:customStyle="1" w:styleId="Heading6Char" w:type="character">
    <w:name w:val="Heading 6 Char"/>
    <w:basedOn w:val="DefaultParagraphFont"/>
    <w:link w:val="Heading6"/>
    <w:uiPriority w:val="9"/>
    <w:semiHidden/>
    <w:rsid w:val="00FC693F"/>
    <w:rPr>
      <w:rFonts/>
      <w:i/>
      <w:iCs/>
      <w:color w:val="000000"/>
    </w:rPr>
  </w:style>
  <w:style w:customStyle="1" w:styleId="Heading7Char" w:type="character">
    <w:name w:val="Heading 7 Char"/>
    <w:basedOn w:val="DefaultParagraphFont"/>
    <w:link w:val="Heading7"/>
    <w:uiPriority w:val="9"/>
    <w:semiHidden/>
    <w:rsid w:val="00FC693F"/>
    <w:rPr>
      <w:rFonts/>
      <w:i/>
      <w:iCs/>
      <w:color w:val="000000"/>
    </w:rPr>
  </w:style>
  <w:style w:customStyle="1" w:styleId="Heading8Char" w:type="character">
    <w:name w:val="Heading 8 Char"/>
    <w:basedOn w:val="DefaultParagraphFont"/>
    <w:link w:val="Heading8"/>
    <w:uiPriority w:val="9"/>
    <w:semiHidden/>
    <w:rsid w:val="00FC693F"/>
    <w:rPr>
      <w:rFonts/>
      <w:color w:val="000000"/>
      <w:sz w:val="20"/>
      <w:szCs w:val="20"/>
    </w:rPr>
  </w:style>
  <w:style w:customStyle="1" w:styleId="Heading9Char" w:type="character">
    <w:name w:val="Heading 9 Char"/>
    <w:basedOn w:val="DefaultParagraphFont"/>
    <w:link w:val="Heading9"/>
    <w:uiPriority w:val="9"/>
    <w:semiHidden/>
    <w:rsid w:val="00FC693F"/>
    <w:rPr>
      <w:rFonts/>
      <w:i/>
      <w:iCs/>
      <w:color w:val="000000"/>
      <w:sz w:val="20"/>
      <w:szCs w:val="20"/>
    </w:rPr>
  </w:style>
  <w:style w:styleId="Caption" w:type="paragraph">
    <w:name w:val="caption"/>
    <w:basedOn w:val="Normal"/>
    <w:next w:val="Normal"/>
    <w:uiPriority w:val="35"/>
    <w:semiHidden/>
    <w:unhideWhenUsed/>
    <w:qFormat/>
    <w:rsid w:val="00FC693F"/>
    <w:pPr>
      <w:spacing w:after="120" w:before="120" w:line="480" w:lineRule="auto"/>
    </w:pPr>
    <w:rPr>
      <w:rFonts w:ascii="Times New Roman" w:hAnsi="Times New Roman"/>
      <w:b/>
      <w:bCs/>
      <w:color w:val="000000"/>
      <w:sz w:val="24"/>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b/>
      <w:bCs/>
      <w:i/>
      <w:iCs/>
      <w:color w:val="000000"/>
    </w:rPr>
  </w:style>
  <w:style w:customStyle="1" w:styleId="IntenseQuoteChar" w:type="character">
    <w:name w:val="Intense Quote Char"/>
    <w:basedOn w:val="DefaultParagraphFont"/>
    <w:link w:val="IntenseQuote"/>
    <w:uiPriority w:val="30"/>
    <w:rsid w:val="00FC693F"/>
    <w:rPr>
      <w:b/>
      <w:bCs/>
      <w:i/>
      <w:iCs/>
      <w:color w:val="000000"/>
    </w:rPr>
  </w:style>
  <w:style w:styleId="SubtleEmphasis" w:type="character">
    <w:name w:val="Subtle Emphasis"/>
    <w:basedOn w:val="DefaultParagraphFont"/>
    <w:uiPriority w:val="19"/>
    <w:qFormat/>
    <w:rsid w:val="00FC693F"/>
    <w:rPr>
      <w:i/>
      <w:iCs/>
      <w:color w:val="808080"/>
    </w:rPr>
  </w:style>
  <w:style w:styleId="IntenseEmphasis" w:type="character">
    <w:name w:val="Intense Emphasis"/>
    <w:basedOn w:val="DefaultParagraphFont"/>
    <w:uiPriority w:val="21"/>
    <w:qFormat/>
    <w:rsid w:val="00FC693F"/>
    <w:rPr>
      <w:b/>
      <w:bCs/>
      <w:i/>
      <w:iCs/>
      <w:color w:val="000000"/>
    </w:rPr>
  </w:style>
  <w:style w:styleId="SubtleReference" w:type="character">
    <w:name w:val="Subtle Reference"/>
    <w:basedOn w:val="DefaultParagraphFont"/>
    <w:uiPriority w:val="31"/>
    <w:qFormat/>
    <w:rsid w:val="00FC693F"/>
    <w:rPr>
      <w:smallCaps/>
      <w:color w:val="C0504D"/>
      <w:u w:val="single"/>
    </w:rPr>
  </w:style>
  <w:style w:styleId="IntenseReference" w:type="character">
    <w:name w:val="Intense Reference"/>
    <w:basedOn w:val="DefaultParagraphFont"/>
    <w:uiPriority w:val="32"/>
    <w:qFormat/>
    <w:rsid w:val="00FC693F"/>
    <w:rPr>
      <w:b/>
      <w:bCs/>
      <w:smallCaps/>
      <w:color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spacing w:line="480" w:lineRule="auto"/>
      <w:outlineLvl w:val="9"/>
    </w:pPr>
    <w:rPr>
      <w:rFonts w:ascii="Times New Roman" w:hAnsi="Times New Roman"/>
      <w:b/>
      <w:sz w:val="28"/>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val="000000"/>
    </w:rPr>
    <w:tblPr>
      <w:tblStyleRowBandSize w:val="1"/>
      <w:tblStyleColBandSize w:val="1"/>
      <w:tblInd w:type="dxa" w:w="0"/>
      <w:tblBorders>
        <w:top w:color="000000" w:space="0" w:sz="8" w:val="single"/>
        <w:bottom w:color="000000"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val="single"/>
          <w:left w:val="nil"/>
          <w:bottom w:color="000000" w:space="0" w:sz="8" w:val="single"/>
          <w:right w:val="nil"/>
          <w:insideH w:val="nil"/>
          <w:insideV w:val="nil"/>
        </w:tcBorders>
      </w:tcPr>
    </w:tblStylePr>
    <w:tblStylePr w:type="lastRow">
      <w:pPr>
        <w:spacing w:after="0" w:before="0" w:line="240" w:lineRule="auto"/>
      </w:pPr>
      <w:rPr>
        <w:b/>
        <w:bCs/>
      </w:rPr>
      <w:tblPr/>
      <w:tcPr>
        <w:tcBorders>
          <w:top w:color="000000" w:space="0" w:sz="8" w:val="single"/>
          <w:left w:val="nil"/>
          <w:bottom w:color="000000"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val="000000"/>
    </w:rPr>
    <w:tblPr>
      <w:tblStyleRowBandSize w:val="1"/>
      <w:tblStyleColBandSize w:val="1"/>
      <w:tblInd w:type="dxa" w:w="0"/>
      <w:tblBorders>
        <w:top w:color="000000" w:space="0" w:sz="8" w:val="single"/>
        <w:bottom w:color="000000"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val="single"/>
          <w:left w:val="nil"/>
          <w:bottom w:color="000000" w:space="0" w:sz="8" w:val="single"/>
          <w:right w:val="nil"/>
          <w:insideH w:val="nil"/>
          <w:insideV w:val="nil"/>
        </w:tcBorders>
      </w:tcPr>
    </w:tblStylePr>
    <w:tblStylePr w:type="lastRow">
      <w:pPr>
        <w:spacing w:after="0" w:before="0" w:line="240" w:lineRule="auto"/>
      </w:pPr>
      <w:rPr>
        <w:b/>
        <w:bCs/>
      </w:rPr>
      <w:tblPr/>
      <w:tcPr>
        <w:tcBorders>
          <w:top w:color="000000" w:space="0" w:sz="8" w:val="single"/>
          <w:left w:val="nil"/>
          <w:bottom w:color="000000"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val="943634"/>
    </w:rPr>
    <w:tblPr>
      <w:tblStyleRowBandSize w:val="1"/>
      <w:tblStyleColBandSize w:val="1"/>
      <w:tblInd w:type="dxa" w:w="0"/>
      <w:tblBorders>
        <w:top w:color="C0504D" w:space="0" w:sz="8" w:val="single"/>
        <w:bottom w:color="C0504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val="single"/>
          <w:left w:val="nil"/>
          <w:bottom w:color="C0504D" w:space="0" w:sz="8" w:val="single"/>
          <w:right w:val="nil"/>
          <w:insideH w:val="nil"/>
          <w:insideV w:val="nil"/>
        </w:tcBorders>
      </w:tcPr>
    </w:tblStylePr>
    <w:tblStylePr w:type="lastRow">
      <w:pPr>
        <w:spacing w:after="0" w:before="0" w:line="240" w:lineRule="auto"/>
      </w:pPr>
      <w:rPr>
        <w:b/>
        <w:bCs/>
      </w:rPr>
      <w:tblPr/>
      <w:tcPr>
        <w:tcBorders>
          <w:top w:color="C0504D" w:space="0" w:sz="8" w:val="single"/>
          <w:left w:val="nil"/>
          <w:bottom w:color="C0504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val="76923C"/>
    </w:rPr>
    <w:tblPr>
      <w:tblStyleRowBandSize w:val="1"/>
      <w:tblStyleColBandSize w:val="1"/>
      <w:tblInd w:type="dxa" w:w="0"/>
      <w:tblBorders>
        <w:top w:color="9BBB59" w:space="0" w:sz="8" w:val="single"/>
        <w:bottom w:color="9BBB59"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val="single"/>
          <w:left w:val="nil"/>
          <w:bottom w:color="9BBB59" w:space="0" w:sz="8" w:val="single"/>
          <w:right w:val="nil"/>
          <w:insideH w:val="nil"/>
          <w:insideV w:val="nil"/>
        </w:tcBorders>
      </w:tcPr>
    </w:tblStylePr>
    <w:tblStylePr w:type="lastRow">
      <w:pPr>
        <w:spacing w:after="0" w:before="0" w:line="240" w:lineRule="auto"/>
      </w:pPr>
      <w:rPr>
        <w:b/>
        <w:bCs/>
      </w:rPr>
      <w:tblPr/>
      <w:tcPr>
        <w:tcBorders>
          <w:top w:color="9BBB59" w:space="0" w:sz="8" w:val="single"/>
          <w:left w:val="nil"/>
          <w:bottom w:color="9BBB59"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val="5F497A"/>
    </w:rPr>
    <w:tblPr>
      <w:tblStyleRowBandSize w:val="1"/>
      <w:tblStyleColBandSize w:val="1"/>
      <w:tblInd w:type="dxa" w:w="0"/>
      <w:tblBorders>
        <w:top w:color="8064A2" w:space="0" w:sz="8" w:val="single"/>
        <w:bottom w:color="8064A2"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val="single"/>
          <w:left w:val="nil"/>
          <w:bottom w:color="8064A2" w:space="0" w:sz="8" w:val="single"/>
          <w:right w:val="nil"/>
          <w:insideH w:val="nil"/>
          <w:insideV w:val="nil"/>
        </w:tcBorders>
      </w:tcPr>
    </w:tblStylePr>
    <w:tblStylePr w:type="lastRow">
      <w:pPr>
        <w:spacing w:after="0" w:before="0" w:line="240" w:lineRule="auto"/>
      </w:pPr>
      <w:rPr>
        <w:b/>
        <w:bCs/>
      </w:rPr>
      <w:tblPr/>
      <w:tcPr>
        <w:tcBorders>
          <w:top w:color="8064A2" w:space="0" w:sz="8" w:val="single"/>
          <w:left w:val="nil"/>
          <w:bottom w:color="8064A2"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val="31849B"/>
    </w:rPr>
    <w:tblPr>
      <w:tblStyleRowBandSize w:val="1"/>
      <w:tblStyleColBandSize w:val="1"/>
      <w:tblInd w:type="dxa" w:w="0"/>
      <w:tblBorders>
        <w:top w:color="4BACC6" w:space="0" w:sz="8" w:val="single"/>
        <w:bottom w:color="4BACC6"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val="single"/>
          <w:left w:val="nil"/>
          <w:bottom w:color="4BACC6" w:space="0" w:sz="8" w:val="single"/>
          <w:right w:val="nil"/>
          <w:insideH w:val="nil"/>
          <w:insideV w:val="nil"/>
        </w:tcBorders>
      </w:tcPr>
    </w:tblStylePr>
    <w:tblStylePr w:type="lastRow">
      <w:pPr>
        <w:spacing w:after="0" w:before="0" w:line="240" w:lineRule="auto"/>
      </w:pPr>
      <w:rPr>
        <w:b/>
        <w:bCs/>
      </w:rPr>
      <w:tblPr/>
      <w:tcPr>
        <w:tcBorders>
          <w:top w:color="4BACC6" w:space="0" w:sz="8" w:val="single"/>
          <w:left w:val="nil"/>
          <w:bottom w:color="4BACC6"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val="E36C0A"/>
    </w:rPr>
    <w:tblPr>
      <w:tblStyleRowBandSize w:val="1"/>
      <w:tblStyleColBandSize w:val="1"/>
      <w:tblInd w:type="dxa" w:w="0"/>
      <w:tblBorders>
        <w:top w:color="F79646" w:space="0" w:sz="8" w:val="single"/>
        <w:bottom w:color="F79646"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val="single"/>
          <w:left w:val="nil"/>
          <w:bottom w:color="F79646" w:space="0" w:sz="8" w:val="single"/>
          <w:right w:val="nil"/>
          <w:insideH w:val="nil"/>
          <w:insideV w:val="nil"/>
        </w:tcBorders>
      </w:tcPr>
    </w:tblStylePr>
    <w:tblStylePr w:type="lastRow">
      <w:pPr>
        <w:spacing w:after="0" w:before="0" w:line="240" w:lineRule="auto"/>
      </w:pPr>
      <w:rPr>
        <w:b/>
        <w:bCs/>
      </w:rPr>
      <w:tblPr/>
      <w:tcPr>
        <w:tcBorders>
          <w:top w:color="F79646" w:space="0" w:sz="8" w:val="single"/>
          <w:left w:val="nil"/>
          <w:bottom w:color="F79646"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val="single"/>
        <w:left w:color="000000" w:space="0" w:sz="8" w:val="single"/>
        <w:bottom w:color="000000" w:space="0" w:sz="8" w:val="single"/>
        <w:right w:color="000000"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000000" w:themeFill="text1" w:val="clear"/>
      </w:tcPr>
    </w:tblStylePr>
    <w:tblStylePr w:type="lastRow">
      <w:pPr>
        <w:spacing w:after="0" w:before="0" w:line="240" w:lineRule="auto"/>
      </w:pPr>
      <w:rPr>
        <w:b/>
        <w:bCs/>
      </w:rPr>
      <w:tblPr/>
      <w:tcPr>
        <w:tcBorders>
          <w:top w:color="000000" w:space="0" w:sz="6" w:val="double"/>
          <w:left w:color="000000" w:space="0" w:sz="8" w:val="single"/>
          <w:bottom w:color="000000" w:space="0" w:sz="8" w:val="single"/>
          <w:right w:color="000000" w:space="0" w:sz="8" w:val="single"/>
        </w:tcBorders>
      </w:tcPr>
    </w:tblStylePr>
    <w:tblStylePr w:type="firstCol">
      <w:rPr>
        <w:b/>
        <w:bCs/>
      </w:rPr>
    </w:tblStylePr>
    <w:tblStylePr w:type="lastCol">
      <w:rPr>
        <w:b/>
        <w:bCs/>
      </w:rPr>
    </w:tblStylePr>
    <w:tblStylePr w:type="band1Vert">
      <w:tblPr/>
      <w:tcPr>
        <w:tcBorders>
          <w:top w:color="000000" w:space="0" w:sz="8" w:val="single"/>
          <w:left w:color="000000" w:space="0" w:sz="8" w:val="single"/>
          <w:bottom w:color="000000" w:space="0" w:sz="8" w:val="single"/>
          <w:right w:color="000000" w:space="0" w:sz="8" w:val="single"/>
        </w:tcBorders>
      </w:tcPr>
    </w:tblStylePr>
    <w:tblStylePr w:type="band1Horz">
      <w:tblPr/>
      <w:tcPr>
        <w:tcBorders>
          <w:top w:color="000000" w:space="0" w:sz="8" w:val="single"/>
          <w:left w:color="000000" w:space="0" w:sz="8" w:val="single"/>
          <w:bottom w:color="000000" w:space="0" w:sz="8" w:val="single"/>
          <w:right w:color="000000" w:space="0" w:sz="8"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000000" w:space="0" w:sz="8" w:val="single"/>
        <w:left w:color="000000" w:space="0" w:sz="8" w:val="single"/>
        <w:bottom w:color="000000" w:space="0" w:sz="8" w:val="single"/>
        <w:right w:color="000000"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4F81BD" w:themeFill="accent1" w:val="clear"/>
      </w:tcPr>
    </w:tblStylePr>
    <w:tblStylePr w:type="lastRow">
      <w:pPr>
        <w:spacing w:after="0" w:before="0" w:line="240" w:lineRule="auto"/>
      </w:pPr>
      <w:rPr>
        <w:b/>
        <w:bCs/>
      </w:rPr>
      <w:tblPr/>
      <w:tcPr>
        <w:tcBorders>
          <w:top w:color="000000" w:space="0" w:sz="6" w:val="double"/>
          <w:left w:color="000000" w:space="0" w:sz="8" w:val="single"/>
          <w:bottom w:color="000000" w:space="0" w:sz="8" w:val="single"/>
          <w:right w:color="000000" w:space="0" w:sz="8" w:val="single"/>
        </w:tcBorders>
      </w:tcPr>
    </w:tblStylePr>
    <w:tblStylePr w:type="firstCol">
      <w:rPr>
        <w:b/>
        <w:bCs/>
      </w:rPr>
    </w:tblStylePr>
    <w:tblStylePr w:type="lastCol">
      <w:rPr>
        <w:b/>
        <w:bCs/>
      </w:rPr>
    </w:tblStylePr>
    <w:tblStylePr w:type="band1Vert">
      <w:tblPr/>
      <w:tcPr>
        <w:tcBorders>
          <w:top w:color="000000" w:space="0" w:sz="8" w:val="single"/>
          <w:left w:color="000000" w:space="0" w:sz="8" w:val="single"/>
          <w:bottom w:color="000000" w:space="0" w:sz="8" w:val="single"/>
          <w:right w:color="000000" w:space="0" w:sz="8" w:val="single"/>
        </w:tcBorders>
      </w:tcPr>
    </w:tblStylePr>
    <w:tblStylePr w:type="band1Horz">
      <w:tblPr/>
      <w:tcPr>
        <w:tcBorders>
          <w:top w:color="000000" w:space="0" w:sz="8" w:val="single"/>
          <w:left w:color="000000" w:space="0" w:sz="8" w:val="single"/>
          <w:bottom w:color="000000" w:space="0" w:sz="8" w:val="single"/>
          <w:right w:color="000000" w:space="0" w:sz="8"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val="single"/>
        <w:left w:color="C0504D" w:space="0" w:sz="8" w:val="single"/>
        <w:bottom w:color="C0504D" w:space="0" w:sz="8" w:val="single"/>
        <w:right w:color="C0504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C0504D" w:themeFill="accent2" w:val="clear"/>
      </w:tcPr>
    </w:tblStylePr>
    <w:tblStylePr w:type="lastRow">
      <w:pPr>
        <w:spacing w:after="0" w:before="0" w:line="240" w:lineRule="auto"/>
      </w:pPr>
      <w:rPr>
        <w:b/>
        <w:bCs/>
      </w:rPr>
      <w:tblPr/>
      <w:tcPr>
        <w:tcBorders>
          <w:top w:color="C0504D" w:space="0" w:sz="6" w:val="double"/>
          <w:left w:color="C0504D" w:space="0" w:sz="8" w:val="single"/>
          <w:bottom w:color="C0504D" w:space="0" w:sz="8" w:val="single"/>
          <w:right w:color="C0504D" w:space="0" w:sz="8" w:val="single"/>
        </w:tcBorders>
      </w:tcPr>
    </w:tblStylePr>
    <w:tblStylePr w:type="firstCol">
      <w:rPr>
        <w:b/>
        <w:bCs/>
      </w:rPr>
    </w:tblStylePr>
    <w:tblStylePr w:type="lastCol">
      <w:rPr>
        <w:b/>
        <w:bCs/>
      </w:rPr>
    </w:tblStylePr>
    <w:tblStylePr w:type="band1Vert">
      <w:tblPr/>
      <w:tcPr>
        <w:tcBorders>
          <w:top w:color="C0504D" w:space="0" w:sz="8" w:val="single"/>
          <w:left w:color="C0504D" w:space="0" w:sz="8" w:val="single"/>
          <w:bottom w:color="C0504D" w:space="0" w:sz="8" w:val="single"/>
          <w:right w:color="C0504D" w:space="0" w:sz="8" w:val="single"/>
        </w:tcBorders>
      </w:tcPr>
    </w:tblStylePr>
    <w:tblStylePr w:type="band1Horz">
      <w:tblPr/>
      <w:tcPr>
        <w:tcBorders>
          <w:top w:color="C0504D" w:space="0" w:sz="8" w:val="single"/>
          <w:left w:color="C0504D" w:space="0" w:sz="8" w:val="single"/>
          <w:bottom w:color="C0504D" w:space="0" w:sz="8" w:val="single"/>
          <w:right w:color="C0504D" w:space="0" w:sz="8"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val="single"/>
        <w:left w:color="9BBB59" w:space="0" w:sz="8" w:val="single"/>
        <w:bottom w:color="9BBB59" w:space="0" w:sz="8" w:val="single"/>
        <w:right w:color="9BBB59"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9BBB59" w:themeFill="accent3" w:val="clear"/>
      </w:tcPr>
    </w:tblStylePr>
    <w:tblStylePr w:type="lastRow">
      <w:pPr>
        <w:spacing w:after="0" w:before="0" w:line="240" w:lineRule="auto"/>
      </w:pPr>
      <w:rPr>
        <w:b/>
        <w:bCs/>
      </w:rPr>
      <w:tblPr/>
      <w:tcPr>
        <w:tcBorders>
          <w:top w:color="9BBB59" w:space="0" w:sz="6" w:val="double"/>
          <w:left w:color="9BBB59" w:space="0" w:sz="8" w:val="single"/>
          <w:bottom w:color="9BBB59" w:space="0" w:sz="8" w:val="single"/>
          <w:right w:color="9BBB59" w:space="0" w:sz="8" w:val="single"/>
        </w:tcBorders>
      </w:tcPr>
    </w:tblStylePr>
    <w:tblStylePr w:type="firstCol">
      <w:rPr>
        <w:b/>
        <w:bCs/>
      </w:rPr>
    </w:tblStylePr>
    <w:tblStylePr w:type="lastCol">
      <w:rPr>
        <w:b/>
        <w:bCs/>
      </w:rPr>
    </w:tblStylePr>
    <w:tblStylePr w:type="band1Vert">
      <w:tblPr/>
      <w:tcPr>
        <w:tcBorders>
          <w:top w:color="9BBB59" w:space="0" w:sz="8" w:val="single"/>
          <w:left w:color="9BBB59" w:space="0" w:sz="8" w:val="single"/>
          <w:bottom w:color="9BBB59" w:space="0" w:sz="8" w:val="single"/>
          <w:right w:color="9BBB59" w:space="0" w:sz="8" w:val="single"/>
        </w:tcBorders>
      </w:tcPr>
    </w:tblStylePr>
    <w:tblStylePr w:type="band1Horz">
      <w:tblPr/>
      <w:tcPr>
        <w:tcBorders>
          <w:top w:color="9BBB59" w:space="0" w:sz="8" w:val="single"/>
          <w:left w:color="9BBB59" w:space="0" w:sz="8" w:val="single"/>
          <w:bottom w:color="9BBB59" w:space="0" w:sz="8" w:val="single"/>
          <w:right w:color="9BBB59" w:space="0" w:sz="8"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val="single"/>
        <w:left w:color="8064A2" w:space="0" w:sz="8" w:val="single"/>
        <w:bottom w:color="8064A2" w:space="0" w:sz="8" w:val="single"/>
        <w:right w:color="8064A2"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8064A2" w:themeFill="accent4" w:val="clear"/>
      </w:tcPr>
    </w:tblStylePr>
    <w:tblStylePr w:type="lastRow">
      <w:pPr>
        <w:spacing w:after="0" w:before="0" w:line="240" w:lineRule="auto"/>
      </w:pPr>
      <w:rPr>
        <w:b/>
        <w:bCs/>
      </w:rPr>
      <w:tblPr/>
      <w:tcPr>
        <w:tcBorders>
          <w:top w:color="8064A2" w:space="0" w:sz="6" w:val="double"/>
          <w:left w:color="8064A2" w:space="0" w:sz="8" w:val="single"/>
          <w:bottom w:color="8064A2" w:space="0" w:sz="8" w:val="single"/>
          <w:right w:color="8064A2" w:space="0" w:sz="8" w:val="single"/>
        </w:tcBorders>
      </w:tcPr>
    </w:tblStylePr>
    <w:tblStylePr w:type="firstCol">
      <w:rPr>
        <w:b/>
        <w:bCs/>
      </w:rPr>
    </w:tblStylePr>
    <w:tblStylePr w:type="lastCol">
      <w:rPr>
        <w:b/>
        <w:bCs/>
      </w:rPr>
    </w:tblStylePr>
    <w:tblStylePr w:type="band1Vert">
      <w:tblPr/>
      <w:tcPr>
        <w:tcBorders>
          <w:top w:color="8064A2" w:space="0" w:sz="8" w:val="single"/>
          <w:left w:color="8064A2" w:space="0" w:sz="8" w:val="single"/>
          <w:bottom w:color="8064A2" w:space="0" w:sz="8" w:val="single"/>
          <w:right w:color="8064A2" w:space="0" w:sz="8" w:val="single"/>
        </w:tcBorders>
      </w:tcPr>
    </w:tblStylePr>
    <w:tblStylePr w:type="band1Horz">
      <w:tblPr/>
      <w:tcPr>
        <w:tcBorders>
          <w:top w:color="8064A2" w:space="0" w:sz="8" w:val="single"/>
          <w:left w:color="8064A2" w:space="0" w:sz="8" w:val="single"/>
          <w:bottom w:color="8064A2" w:space="0" w:sz="8" w:val="single"/>
          <w:right w:color="8064A2" w:space="0" w:sz="8"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val="single"/>
        <w:left w:color="4BACC6" w:space="0" w:sz="8" w:val="single"/>
        <w:bottom w:color="4BACC6" w:space="0" w:sz="8" w:val="single"/>
        <w:right w:color="4BACC6"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4BACC6" w:themeFill="accent5" w:val="clear"/>
      </w:tcPr>
    </w:tblStylePr>
    <w:tblStylePr w:type="lastRow">
      <w:pPr>
        <w:spacing w:after="0" w:before="0" w:line="240" w:lineRule="auto"/>
      </w:pPr>
      <w:rPr>
        <w:b/>
        <w:bCs/>
      </w:rPr>
      <w:tblPr/>
      <w:tcPr>
        <w:tcBorders>
          <w:top w:color="4BACC6" w:space="0" w:sz="6" w:val="double"/>
          <w:left w:color="4BACC6" w:space="0" w:sz="8" w:val="single"/>
          <w:bottom w:color="4BACC6" w:space="0" w:sz="8" w:val="single"/>
          <w:right w:color="4BACC6" w:space="0" w:sz="8" w:val="single"/>
        </w:tcBorders>
      </w:tcPr>
    </w:tblStylePr>
    <w:tblStylePr w:type="firstCol">
      <w:rPr>
        <w:b/>
        <w:bCs/>
      </w:rPr>
    </w:tblStylePr>
    <w:tblStylePr w:type="lastCol">
      <w:rPr>
        <w:b/>
        <w:bCs/>
      </w:rPr>
    </w:tblStylePr>
    <w:tblStylePr w:type="band1Vert">
      <w:tblPr/>
      <w:tcPr>
        <w:tcBorders>
          <w:top w:color="4BACC6" w:space="0" w:sz="8" w:val="single"/>
          <w:left w:color="4BACC6" w:space="0" w:sz="8" w:val="single"/>
          <w:bottom w:color="4BACC6" w:space="0" w:sz="8" w:val="single"/>
          <w:right w:color="4BACC6" w:space="0" w:sz="8" w:val="single"/>
        </w:tcBorders>
      </w:tcPr>
    </w:tblStylePr>
    <w:tblStylePr w:type="band1Horz">
      <w:tblPr/>
      <w:tcPr>
        <w:tcBorders>
          <w:top w:color="4BACC6" w:space="0" w:sz="8" w:val="single"/>
          <w:left w:color="4BACC6" w:space="0" w:sz="8" w:val="single"/>
          <w:bottom w:color="4BACC6" w:space="0" w:sz="8" w:val="single"/>
          <w:right w:color="4BACC6" w:space="0" w:sz="8"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val="single"/>
        <w:left w:color="F79646" w:space="0" w:sz="8" w:val="single"/>
        <w:bottom w:color="F79646" w:space="0" w:sz="8" w:val="single"/>
        <w:right w:color="F79646"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F79646" w:themeFill="accent6" w:val="clear"/>
      </w:tcPr>
    </w:tblStylePr>
    <w:tblStylePr w:type="lastRow">
      <w:pPr>
        <w:spacing w:after="0" w:before="0" w:line="240" w:lineRule="auto"/>
      </w:pPr>
      <w:rPr>
        <w:b/>
        <w:bCs/>
      </w:rPr>
      <w:tblPr/>
      <w:tcPr>
        <w:tcBorders>
          <w:top w:color="F79646" w:space="0" w:sz="6" w:val="double"/>
          <w:left w:color="F79646" w:space="0" w:sz="8" w:val="single"/>
          <w:bottom w:color="F79646" w:space="0" w:sz="8" w:val="single"/>
          <w:right w:color="F79646" w:space="0" w:sz="8" w:val="single"/>
        </w:tcBorders>
      </w:tcPr>
    </w:tblStylePr>
    <w:tblStylePr w:type="firstCol">
      <w:rPr>
        <w:b/>
        <w:bCs/>
      </w:rPr>
    </w:tblStylePr>
    <w:tblStylePr w:type="lastCol">
      <w:rPr>
        <w:b/>
        <w:bCs/>
      </w:rPr>
    </w:tblStylePr>
    <w:tblStylePr w:type="band1Vert">
      <w:tblPr/>
      <w:tcPr>
        <w:tcBorders>
          <w:top w:color="F79646" w:space="0" w:sz="8" w:val="single"/>
          <w:left w:color="F79646" w:space="0" w:sz="8" w:val="single"/>
          <w:bottom w:color="F79646" w:space="0" w:sz="8" w:val="single"/>
          <w:right w:color="F79646" w:space="0" w:sz="8" w:val="single"/>
        </w:tcBorders>
      </w:tcPr>
    </w:tblStylePr>
    <w:tblStylePr w:type="band1Horz">
      <w:tblPr/>
      <w:tcPr>
        <w:tcBorders>
          <w:top w:color="F79646" w:space="0" w:sz="8" w:val="single"/>
          <w:left w:color="F79646" w:space="0" w:sz="8" w:val="single"/>
          <w:bottom w:color="F79646" w:space="0" w:sz="8" w:val="single"/>
          <w:right w:color="F79646" w:space="0" w:sz="8"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000000" w:space="0" w:sz="8" w:val="single"/>
          <w:left w:color="000000" w:space="0" w:sz="8" w:val="single"/>
          <w:bottom w:color="000000" w:space="0" w:sz="18" w:val="single"/>
          <w:right w:color="000000" w:space="0" w:sz="8" w:val="single"/>
          <w:insideH w:val="nil"/>
          <w:insideV w:color="000000" w:space="0" w:sz="8" w:val="single"/>
        </w:tcBorders>
      </w:tcPr>
    </w:tblStylePr>
    <w:tblStylePr w:type="lastRow">
      <w:pPr>
        <w:spacing w:after="0" w:before="0" w:line="240" w:lineRule="auto"/>
      </w:pPr>
      <w:rPr>
        <w:rFonts/>
        <w:b/>
        <w:bCs/>
      </w:rPr>
      <w:tblPr/>
      <w:tcPr>
        <w:tcBorders>
          <w:top w:color="000000" w:space="0" w:sz="6" w:val="double"/>
          <w:left w:color="000000" w:space="0" w:sz="8" w:val="single"/>
          <w:bottom w:color="000000" w:space="0" w:sz="8" w:val="single"/>
          <w:right w:color="000000" w:space="0" w:sz="8" w:val="single"/>
          <w:insideH w:val="nil"/>
          <w:insideV w:color="000000" w:space="0" w:sz="8" w:val="single"/>
        </w:tcBorders>
      </w:tcPr>
    </w:tblStylePr>
    <w:tblStylePr w:type="firstCol">
      <w:rPr>
        <w:rFonts/>
        <w:b/>
        <w:bCs/>
      </w:rPr>
    </w:tblStylePr>
    <w:tblStylePr w:type="lastCol">
      <w:rPr>
        <w:rFonts/>
        <w:b/>
        <w:bCs/>
      </w:rPr>
      <w:tblPr/>
      <w:tcPr>
        <w:tcBorders>
          <w:top w:color="000000" w:space="0" w:sz="8" w:val="single"/>
          <w:left w:color="000000" w:space="0" w:sz="8" w:val="single"/>
          <w:bottom w:color="000000" w:space="0" w:sz="8" w:val="single"/>
          <w:right w:color="000000" w:space="0" w:sz="8" w:val="single"/>
        </w:tcBorders>
      </w:tcPr>
    </w:tblStylePr>
    <w:tblStylePr w:type="band1Vert">
      <w:tblPr/>
      <w:tcPr>
        <w:tcBorders>
          <w:top w:color="000000" w:space="0" w:sz="8" w:val="single"/>
          <w:left w:color="000000" w:space="0" w:sz="8" w:val="single"/>
          <w:bottom w:color="000000" w:space="0" w:sz="8" w:val="single"/>
          <w:right w:color="000000" w:space="0" w:sz="8" w:val="single"/>
        </w:tcBorders>
        <w:shd w:color="auto" w:fill="C0C0C0" w:themeFill="text1" w:themeFillTint="3F" w:val="clear"/>
      </w:tcPr>
    </w:tblStylePr>
    <w:tblStylePr w:type="band1Horz">
      <w:tblPr/>
      <w:tcPr>
        <w:tcBorders>
          <w:top w:color="000000" w:space="0" w:sz="8" w:val="single"/>
          <w:left w:color="000000" w:space="0" w:sz="8" w:val="single"/>
          <w:bottom w:color="000000" w:space="0" w:sz="8" w:val="single"/>
          <w:right w:color="000000" w:space="0" w:sz="8" w:val="single"/>
          <w:insideV w:color="000000" w:space="0" w:sz="8" w:val="single"/>
        </w:tcBorders>
        <w:shd w:color="auto" w:fill="C0C0C0" w:themeFill="text1" w:themeFillTint="3F" w:val="clear"/>
      </w:tcPr>
    </w:tblStylePr>
    <w:tblStylePr w:type="band2Horz">
      <w:tblPr/>
      <w:tcPr>
        <w:tcBorders>
          <w:top w:color="000000" w:space="0" w:sz="8" w:val="single"/>
          <w:left w:color="000000" w:space="0" w:sz="8" w:val="single"/>
          <w:bottom w:color="000000" w:space="0" w:sz="8" w:val="single"/>
          <w:right w:color="000000" w:space="0" w:sz="8" w:val="single"/>
          <w:insideV w:color="000000" w:space="0" w:sz="8"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000000" w:space="0" w:sz="8" w:val="single"/>
          <w:left w:color="000000" w:space="0" w:sz="8" w:val="single"/>
          <w:bottom w:color="000000" w:space="0" w:sz="18" w:val="single"/>
          <w:right w:color="000000" w:space="0" w:sz="8" w:val="single"/>
          <w:insideH w:val="nil"/>
          <w:insideV w:color="000000" w:space="0" w:sz="8" w:val="single"/>
        </w:tcBorders>
      </w:tcPr>
    </w:tblStylePr>
    <w:tblStylePr w:type="lastRow">
      <w:pPr>
        <w:spacing w:after="0" w:before="0" w:line="240" w:lineRule="auto"/>
      </w:pPr>
      <w:rPr>
        <w:rFonts/>
        <w:b/>
        <w:bCs/>
      </w:rPr>
      <w:tblPr/>
      <w:tcPr>
        <w:tcBorders>
          <w:top w:color="000000" w:space="0" w:sz="6" w:val="double"/>
          <w:left w:color="000000" w:space="0" w:sz="8" w:val="single"/>
          <w:bottom w:color="000000" w:space="0" w:sz="8" w:val="single"/>
          <w:right w:color="000000" w:space="0" w:sz="8" w:val="single"/>
          <w:insideH w:val="nil"/>
          <w:insideV w:color="000000" w:space="0" w:sz="8" w:val="single"/>
        </w:tcBorders>
      </w:tcPr>
    </w:tblStylePr>
    <w:tblStylePr w:type="firstCol">
      <w:rPr>
        <w:rFonts/>
        <w:b/>
        <w:bCs/>
      </w:rPr>
    </w:tblStylePr>
    <w:tblStylePr w:type="lastCol">
      <w:rPr>
        <w:rFonts/>
        <w:b/>
        <w:bCs/>
      </w:rPr>
      <w:tblPr/>
      <w:tcPr>
        <w:tcBorders>
          <w:top w:color="000000" w:space="0" w:sz="8" w:val="single"/>
          <w:left w:color="000000" w:space="0" w:sz="8" w:val="single"/>
          <w:bottom w:color="000000" w:space="0" w:sz="8" w:val="single"/>
          <w:right w:color="000000" w:space="0" w:sz="8" w:val="single"/>
        </w:tcBorders>
      </w:tcPr>
    </w:tblStylePr>
    <w:tblStylePr w:type="band1Vert">
      <w:tblPr/>
      <w:tcPr>
        <w:tcBorders>
          <w:top w:color="000000" w:space="0" w:sz="8" w:val="single"/>
          <w:left w:color="000000" w:space="0" w:sz="8" w:val="single"/>
          <w:bottom w:color="000000" w:space="0" w:sz="8" w:val="single"/>
          <w:right w:color="000000" w:space="0" w:sz="8" w:val="single"/>
        </w:tcBorders>
        <w:shd w:color="auto" w:fill="D3DFEE" w:themeFill="accent1" w:themeFillTint="3F" w:val="clear"/>
      </w:tcPr>
    </w:tblStylePr>
    <w:tblStylePr w:type="band1Horz">
      <w:tblPr/>
      <w:tcPr>
        <w:tcBorders>
          <w:top w:color="000000" w:space="0" w:sz="8" w:val="single"/>
          <w:left w:color="000000" w:space="0" w:sz="8" w:val="single"/>
          <w:bottom w:color="000000" w:space="0" w:sz="8" w:val="single"/>
          <w:right w:color="000000" w:space="0" w:sz="8" w:val="single"/>
          <w:insideV w:color="000000" w:space="0" w:sz="8" w:val="single"/>
        </w:tcBorders>
        <w:shd w:color="auto" w:fill="D3DFEE" w:themeFill="accent1" w:themeFillTint="3F" w:val="clear"/>
      </w:tcPr>
    </w:tblStylePr>
    <w:tblStylePr w:type="band2Horz">
      <w:tblPr/>
      <w:tcPr>
        <w:tcBorders>
          <w:top w:color="000000" w:space="0" w:sz="8" w:val="single"/>
          <w:left w:color="000000" w:space="0" w:sz="8" w:val="single"/>
          <w:bottom w:color="000000" w:space="0" w:sz="8" w:val="single"/>
          <w:right w:color="000000" w:space="0" w:sz="8" w:val="single"/>
          <w:insideV w:color="000000" w:space="0" w:sz="8"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val="single"/>
        <w:left w:color="C0504D" w:space="0" w:sz="8" w:val="single"/>
        <w:bottom w:color="C0504D" w:space="0" w:sz="8" w:val="single"/>
        <w:right w:color="C0504D" w:space="0" w:sz="8" w:val="single"/>
        <w:insideH w:color="C0504D" w:space="0" w:sz="8" w:val="single"/>
        <w:insideV w:color="C0504D" w:space="0" w:sz="8"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C0504D" w:space="0" w:sz="8" w:val="single"/>
          <w:left w:color="C0504D" w:space="0" w:sz="8" w:val="single"/>
          <w:bottom w:color="C0504D" w:space="0" w:sz="18" w:val="single"/>
          <w:right w:color="C0504D" w:space="0" w:sz="8" w:val="single"/>
          <w:insideH w:val="nil"/>
          <w:insideV w:color="C0504D" w:space="0" w:sz="8" w:val="single"/>
        </w:tcBorders>
      </w:tcPr>
    </w:tblStylePr>
    <w:tblStylePr w:type="lastRow">
      <w:pPr>
        <w:spacing w:after="0" w:before="0" w:line="240" w:lineRule="auto"/>
      </w:pPr>
      <w:rPr>
        <w:rFonts/>
        <w:b/>
        <w:bCs/>
      </w:rPr>
      <w:tblPr/>
      <w:tcPr>
        <w:tcBorders>
          <w:top w:color="C0504D" w:space="0" w:sz="6" w:val="double"/>
          <w:left w:color="C0504D" w:space="0" w:sz="8" w:val="single"/>
          <w:bottom w:color="C0504D" w:space="0" w:sz="8" w:val="single"/>
          <w:right w:color="C0504D" w:space="0" w:sz="8" w:val="single"/>
          <w:insideH w:val="nil"/>
          <w:insideV w:color="C0504D" w:space="0" w:sz="8" w:val="single"/>
        </w:tcBorders>
      </w:tcPr>
    </w:tblStylePr>
    <w:tblStylePr w:type="firstCol">
      <w:rPr>
        <w:rFonts/>
        <w:b/>
        <w:bCs/>
      </w:rPr>
    </w:tblStylePr>
    <w:tblStylePr w:type="lastCol">
      <w:rPr>
        <w:rFonts/>
        <w:b/>
        <w:bCs/>
      </w:rPr>
      <w:tblPr/>
      <w:tcPr>
        <w:tcBorders>
          <w:top w:color="C0504D" w:space="0" w:sz="8" w:val="single"/>
          <w:left w:color="C0504D" w:space="0" w:sz="8" w:val="single"/>
          <w:bottom w:color="C0504D" w:space="0" w:sz="8" w:val="single"/>
          <w:right w:color="C0504D" w:space="0" w:sz="8" w:val="single"/>
        </w:tcBorders>
      </w:tcPr>
    </w:tblStylePr>
    <w:tblStylePr w:type="band1Vert">
      <w:tblPr/>
      <w:tcPr>
        <w:tcBorders>
          <w:top w:color="C0504D" w:space="0" w:sz="8" w:val="single"/>
          <w:left w:color="C0504D" w:space="0" w:sz="8" w:val="single"/>
          <w:bottom w:color="C0504D" w:space="0" w:sz="8" w:val="single"/>
          <w:right w:color="C0504D" w:space="0" w:sz="8" w:val="single"/>
        </w:tcBorders>
        <w:shd w:color="auto" w:fill="EFD3D2" w:themeFill="accent2" w:themeFillTint="3F" w:val="clear"/>
      </w:tcPr>
    </w:tblStylePr>
    <w:tblStylePr w:type="band1Horz">
      <w:tblPr/>
      <w:tcPr>
        <w:tcBorders>
          <w:top w:color="C0504D" w:space="0" w:sz="8" w:val="single"/>
          <w:left w:color="C0504D" w:space="0" w:sz="8" w:val="single"/>
          <w:bottom w:color="C0504D" w:space="0" w:sz="8" w:val="single"/>
          <w:right w:color="C0504D" w:space="0" w:sz="8" w:val="single"/>
          <w:insideV w:color="C0504D" w:space="0" w:sz="8" w:val="single"/>
        </w:tcBorders>
        <w:shd w:color="auto" w:fill="EFD3D2" w:themeFill="accent2" w:themeFillTint="3F" w:val="clear"/>
      </w:tcPr>
    </w:tblStylePr>
    <w:tblStylePr w:type="band2Horz">
      <w:tblPr/>
      <w:tcPr>
        <w:tcBorders>
          <w:top w:color="C0504D" w:space="0" w:sz="8" w:val="single"/>
          <w:left w:color="C0504D" w:space="0" w:sz="8" w:val="single"/>
          <w:bottom w:color="C0504D" w:space="0" w:sz="8" w:val="single"/>
          <w:right w:color="C0504D" w:space="0" w:sz="8" w:val="single"/>
          <w:insideV w:color="C0504D" w:space="0" w:sz="8"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val="single"/>
        <w:left w:color="9BBB59" w:space="0" w:sz="8" w:val="single"/>
        <w:bottom w:color="9BBB59" w:space="0" w:sz="8" w:val="single"/>
        <w:right w:color="9BBB59" w:space="0" w:sz="8" w:val="single"/>
        <w:insideH w:color="9BBB59" w:space="0" w:sz="8" w:val="single"/>
        <w:insideV w:color="9BBB59" w:space="0" w:sz="8"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9BBB59" w:space="0" w:sz="8" w:val="single"/>
          <w:left w:color="9BBB59" w:space="0" w:sz="8" w:val="single"/>
          <w:bottom w:color="9BBB59" w:space="0" w:sz="18" w:val="single"/>
          <w:right w:color="9BBB59" w:space="0" w:sz="8" w:val="single"/>
          <w:insideH w:val="nil"/>
          <w:insideV w:color="9BBB59" w:space="0" w:sz="8" w:val="single"/>
        </w:tcBorders>
      </w:tcPr>
    </w:tblStylePr>
    <w:tblStylePr w:type="lastRow">
      <w:pPr>
        <w:spacing w:after="0" w:before="0" w:line="240" w:lineRule="auto"/>
      </w:pPr>
      <w:rPr>
        <w:rFonts/>
        <w:b/>
        <w:bCs/>
      </w:rPr>
      <w:tblPr/>
      <w:tcPr>
        <w:tcBorders>
          <w:top w:color="9BBB59" w:space="0" w:sz="6" w:val="double"/>
          <w:left w:color="9BBB59" w:space="0" w:sz="8" w:val="single"/>
          <w:bottom w:color="9BBB59" w:space="0" w:sz="8" w:val="single"/>
          <w:right w:color="9BBB59" w:space="0" w:sz="8" w:val="single"/>
          <w:insideH w:val="nil"/>
          <w:insideV w:color="9BBB59" w:space="0" w:sz="8" w:val="single"/>
        </w:tcBorders>
      </w:tcPr>
    </w:tblStylePr>
    <w:tblStylePr w:type="firstCol">
      <w:rPr>
        <w:rFonts/>
        <w:b/>
        <w:bCs/>
      </w:rPr>
    </w:tblStylePr>
    <w:tblStylePr w:type="lastCol">
      <w:rPr>
        <w:rFonts/>
        <w:b/>
        <w:bCs/>
      </w:rPr>
      <w:tblPr/>
      <w:tcPr>
        <w:tcBorders>
          <w:top w:color="9BBB59" w:space="0" w:sz="8" w:val="single"/>
          <w:left w:color="9BBB59" w:space="0" w:sz="8" w:val="single"/>
          <w:bottom w:color="9BBB59" w:space="0" w:sz="8" w:val="single"/>
          <w:right w:color="9BBB59" w:space="0" w:sz="8" w:val="single"/>
        </w:tcBorders>
      </w:tcPr>
    </w:tblStylePr>
    <w:tblStylePr w:type="band1Vert">
      <w:tblPr/>
      <w:tcPr>
        <w:tcBorders>
          <w:top w:color="9BBB59" w:space="0" w:sz="8" w:val="single"/>
          <w:left w:color="9BBB59" w:space="0" w:sz="8" w:val="single"/>
          <w:bottom w:color="9BBB59" w:space="0" w:sz="8" w:val="single"/>
          <w:right w:color="9BBB59" w:space="0" w:sz="8" w:val="single"/>
        </w:tcBorders>
        <w:shd w:color="auto" w:fill="E6EED5" w:themeFill="accent3" w:themeFillTint="3F" w:val="clear"/>
      </w:tcPr>
    </w:tblStylePr>
    <w:tblStylePr w:type="band1Horz">
      <w:tblPr/>
      <w:tcPr>
        <w:tcBorders>
          <w:top w:color="9BBB59" w:space="0" w:sz="8" w:val="single"/>
          <w:left w:color="9BBB59" w:space="0" w:sz="8" w:val="single"/>
          <w:bottom w:color="9BBB59" w:space="0" w:sz="8" w:val="single"/>
          <w:right w:color="9BBB59" w:space="0" w:sz="8" w:val="single"/>
          <w:insideV w:color="9BBB59" w:space="0" w:sz="8" w:val="single"/>
        </w:tcBorders>
        <w:shd w:color="auto" w:fill="E6EED5" w:themeFill="accent3" w:themeFillTint="3F" w:val="clear"/>
      </w:tcPr>
    </w:tblStylePr>
    <w:tblStylePr w:type="band2Horz">
      <w:tblPr/>
      <w:tcPr>
        <w:tcBorders>
          <w:top w:color="9BBB59" w:space="0" w:sz="8" w:val="single"/>
          <w:left w:color="9BBB59" w:space="0" w:sz="8" w:val="single"/>
          <w:bottom w:color="9BBB59" w:space="0" w:sz="8" w:val="single"/>
          <w:right w:color="9BBB59" w:space="0" w:sz="8" w:val="single"/>
          <w:insideV w:color="9BBB59" w:space="0" w:sz="8"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val="single"/>
        <w:left w:color="8064A2" w:space="0" w:sz="8" w:val="single"/>
        <w:bottom w:color="8064A2" w:space="0" w:sz="8" w:val="single"/>
        <w:right w:color="8064A2" w:space="0" w:sz="8" w:val="single"/>
        <w:insideH w:color="8064A2" w:space="0" w:sz="8" w:val="single"/>
        <w:insideV w:color="8064A2" w:space="0" w:sz="8"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8064A2" w:space="0" w:sz="8" w:val="single"/>
          <w:left w:color="8064A2" w:space="0" w:sz="8" w:val="single"/>
          <w:bottom w:color="8064A2" w:space="0" w:sz="18" w:val="single"/>
          <w:right w:color="8064A2" w:space="0" w:sz="8" w:val="single"/>
          <w:insideH w:val="nil"/>
          <w:insideV w:color="8064A2" w:space="0" w:sz="8" w:val="single"/>
        </w:tcBorders>
      </w:tcPr>
    </w:tblStylePr>
    <w:tblStylePr w:type="lastRow">
      <w:pPr>
        <w:spacing w:after="0" w:before="0" w:line="240" w:lineRule="auto"/>
      </w:pPr>
      <w:rPr>
        <w:rFonts/>
        <w:b/>
        <w:bCs/>
      </w:rPr>
      <w:tblPr/>
      <w:tcPr>
        <w:tcBorders>
          <w:top w:color="8064A2" w:space="0" w:sz="6" w:val="double"/>
          <w:left w:color="8064A2" w:space="0" w:sz="8" w:val="single"/>
          <w:bottom w:color="8064A2" w:space="0" w:sz="8" w:val="single"/>
          <w:right w:color="8064A2" w:space="0" w:sz="8" w:val="single"/>
          <w:insideH w:val="nil"/>
          <w:insideV w:color="8064A2" w:space="0" w:sz="8" w:val="single"/>
        </w:tcBorders>
      </w:tcPr>
    </w:tblStylePr>
    <w:tblStylePr w:type="firstCol">
      <w:rPr>
        <w:rFonts/>
        <w:b/>
        <w:bCs/>
      </w:rPr>
    </w:tblStylePr>
    <w:tblStylePr w:type="lastCol">
      <w:rPr>
        <w:rFonts/>
        <w:b/>
        <w:bCs/>
      </w:rPr>
      <w:tblPr/>
      <w:tcPr>
        <w:tcBorders>
          <w:top w:color="8064A2" w:space="0" w:sz="8" w:val="single"/>
          <w:left w:color="8064A2" w:space="0" w:sz="8" w:val="single"/>
          <w:bottom w:color="8064A2" w:space="0" w:sz="8" w:val="single"/>
          <w:right w:color="8064A2" w:space="0" w:sz="8" w:val="single"/>
        </w:tcBorders>
      </w:tcPr>
    </w:tblStylePr>
    <w:tblStylePr w:type="band1Vert">
      <w:tblPr/>
      <w:tcPr>
        <w:tcBorders>
          <w:top w:color="8064A2" w:space="0" w:sz="8" w:val="single"/>
          <w:left w:color="8064A2" w:space="0" w:sz="8" w:val="single"/>
          <w:bottom w:color="8064A2" w:space="0" w:sz="8" w:val="single"/>
          <w:right w:color="8064A2" w:space="0" w:sz="8" w:val="single"/>
        </w:tcBorders>
        <w:shd w:color="auto" w:fill="DFD8E8" w:themeFill="accent4" w:themeFillTint="3F" w:val="clear"/>
      </w:tcPr>
    </w:tblStylePr>
    <w:tblStylePr w:type="band1Horz">
      <w:tblPr/>
      <w:tcPr>
        <w:tcBorders>
          <w:top w:color="8064A2" w:space="0" w:sz="8" w:val="single"/>
          <w:left w:color="8064A2" w:space="0" w:sz="8" w:val="single"/>
          <w:bottom w:color="8064A2" w:space="0" w:sz="8" w:val="single"/>
          <w:right w:color="8064A2" w:space="0" w:sz="8" w:val="single"/>
          <w:insideV w:color="8064A2" w:space="0" w:sz="8" w:val="single"/>
        </w:tcBorders>
        <w:shd w:color="auto" w:fill="DFD8E8" w:themeFill="accent4" w:themeFillTint="3F" w:val="clear"/>
      </w:tcPr>
    </w:tblStylePr>
    <w:tblStylePr w:type="band2Horz">
      <w:tblPr/>
      <w:tcPr>
        <w:tcBorders>
          <w:top w:color="8064A2" w:space="0" w:sz="8" w:val="single"/>
          <w:left w:color="8064A2" w:space="0" w:sz="8" w:val="single"/>
          <w:bottom w:color="8064A2" w:space="0" w:sz="8" w:val="single"/>
          <w:right w:color="8064A2" w:space="0" w:sz="8" w:val="single"/>
          <w:insideV w:color="8064A2" w:space="0" w:sz="8"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val="single"/>
        <w:left w:color="4BACC6" w:space="0" w:sz="8" w:val="single"/>
        <w:bottom w:color="4BACC6" w:space="0" w:sz="8" w:val="single"/>
        <w:right w:color="4BACC6" w:space="0" w:sz="8" w:val="single"/>
        <w:insideH w:color="4BACC6" w:space="0" w:sz="8" w:val="single"/>
        <w:insideV w:color="4BACC6" w:space="0" w:sz="8"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4BACC6" w:space="0" w:sz="8" w:val="single"/>
          <w:left w:color="4BACC6" w:space="0" w:sz="8" w:val="single"/>
          <w:bottom w:color="4BACC6" w:space="0" w:sz="18" w:val="single"/>
          <w:right w:color="4BACC6" w:space="0" w:sz="8" w:val="single"/>
          <w:insideH w:val="nil"/>
          <w:insideV w:color="4BACC6" w:space="0" w:sz="8" w:val="single"/>
        </w:tcBorders>
      </w:tcPr>
    </w:tblStylePr>
    <w:tblStylePr w:type="lastRow">
      <w:pPr>
        <w:spacing w:after="0" w:before="0" w:line="240" w:lineRule="auto"/>
      </w:pPr>
      <w:rPr>
        <w:rFonts/>
        <w:b/>
        <w:bCs/>
      </w:rPr>
      <w:tblPr/>
      <w:tcPr>
        <w:tcBorders>
          <w:top w:color="4BACC6" w:space="0" w:sz="6" w:val="double"/>
          <w:left w:color="4BACC6" w:space="0" w:sz="8" w:val="single"/>
          <w:bottom w:color="4BACC6" w:space="0" w:sz="8" w:val="single"/>
          <w:right w:color="4BACC6" w:space="0" w:sz="8" w:val="single"/>
          <w:insideH w:val="nil"/>
          <w:insideV w:color="4BACC6" w:space="0" w:sz="8" w:val="single"/>
        </w:tcBorders>
      </w:tcPr>
    </w:tblStylePr>
    <w:tblStylePr w:type="firstCol">
      <w:rPr>
        <w:rFonts/>
        <w:b/>
        <w:bCs/>
      </w:rPr>
    </w:tblStylePr>
    <w:tblStylePr w:type="lastCol">
      <w:rPr>
        <w:rFonts/>
        <w:b/>
        <w:bCs/>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1" w:themeFill="accent5" w:themeFillTint="3F" w:val="clear"/>
      </w:tcPr>
    </w:tblStylePr>
    <w:tblStylePr w:type="band1Horz">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1" w:themeFill="accent5" w:themeFillTint="3F" w:val="clear"/>
      </w:tcPr>
    </w:tblStylePr>
    <w:tblStylePr w:type="band2Horz">
      <w:tblPr/>
      <w:tcPr>
        <w:tcBorders>
          <w:top w:color="4BACC6" w:space="0" w:sz="8" w:val="single"/>
          <w:left w:color="4BACC6" w:space="0" w:sz="8" w:val="single"/>
          <w:bottom w:color="4BACC6" w:space="0" w:sz="8" w:val="single"/>
          <w:right w:color="4BACC6" w:space="0" w:sz="8" w:val="single"/>
          <w:insideV w:color="4BACC6" w:space="0" w:sz="8"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val="single"/>
        <w:left w:color="F79646" w:space="0" w:sz="8" w:val="single"/>
        <w:bottom w:color="F79646" w:space="0" w:sz="8" w:val="single"/>
        <w:right w:color="F79646" w:space="0" w:sz="8" w:val="single"/>
        <w:insideH w:color="F79646" w:space="0" w:sz="8" w:val="single"/>
        <w:insideV w:color="F79646" w:space="0" w:sz="8"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F79646" w:space="0" w:sz="8" w:val="single"/>
          <w:left w:color="F79646" w:space="0" w:sz="8" w:val="single"/>
          <w:bottom w:color="F79646" w:space="0" w:sz="18" w:val="single"/>
          <w:right w:color="F79646" w:space="0" w:sz="8" w:val="single"/>
          <w:insideH w:val="nil"/>
          <w:insideV w:color="F79646" w:space="0" w:sz="8" w:val="single"/>
        </w:tcBorders>
      </w:tcPr>
    </w:tblStylePr>
    <w:tblStylePr w:type="lastRow">
      <w:pPr>
        <w:spacing w:after="0" w:before="0" w:line="240" w:lineRule="auto"/>
      </w:pPr>
      <w:rPr>
        <w:rFonts/>
        <w:b/>
        <w:bCs/>
      </w:rPr>
      <w:tblPr/>
      <w:tcPr>
        <w:tcBorders>
          <w:top w:color="F79646" w:space="0" w:sz="6" w:val="double"/>
          <w:left w:color="F79646" w:space="0" w:sz="8" w:val="single"/>
          <w:bottom w:color="F79646" w:space="0" w:sz="8" w:val="single"/>
          <w:right w:color="F79646" w:space="0" w:sz="8" w:val="single"/>
          <w:insideH w:val="nil"/>
          <w:insideV w:color="F79646" w:space="0" w:sz="8" w:val="single"/>
        </w:tcBorders>
      </w:tcPr>
    </w:tblStylePr>
    <w:tblStylePr w:type="firstCol">
      <w:rPr>
        <w:rFonts/>
        <w:b/>
        <w:bCs/>
      </w:rPr>
    </w:tblStylePr>
    <w:tblStylePr w:type="lastCol">
      <w:rPr>
        <w:rFonts/>
        <w:b/>
        <w:bCs/>
      </w:rPr>
      <w:tblPr/>
      <w:tcPr>
        <w:tcBorders>
          <w:top w:color="F79646" w:space="0" w:sz="8" w:val="single"/>
          <w:left w:color="F79646" w:space="0" w:sz="8" w:val="single"/>
          <w:bottom w:color="F79646" w:space="0" w:sz="8" w:val="single"/>
          <w:right w:color="F79646" w:space="0" w:sz="8" w:val="single"/>
        </w:tcBorders>
      </w:tcPr>
    </w:tblStylePr>
    <w:tblStylePr w:type="band1Vert">
      <w:tblPr/>
      <w:tcPr>
        <w:tcBorders>
          <w:top w:color="F79646" w:space="0" w:sz="8" w:val="single"/>
          <w:left w:color="F79646" w:space="0" w:sz="8" w:val="single"/>
          <w:bottom w:color="F79646" w:space="0" w:sz="8" w:val="single"/>
          <w:right w:color="F79646" w:space="0" w:sz="8" w:val="single"/>
        </w:tcBorders>
        <w:shd w:color="auto" w:fill="FDE4D0" w:themeFill="accent6" w:themeFillTint="3F" w:val="clear"/>
      </w:tcPr>
    </w:tblStylePr>
    <w:tblStylePr w:type="band1Horz">
      <w:tblPr/>
      <w:tcPr>
        <w:tcBorders>
          <w:top w:color="F79646" w:space="0" w:sz="8" w:val="single"/>
          <w:left w:color="F79646" w:space="0" w:sz="8" w:val="single"/>
          <w:bottom w:color="F79646" w:space="0" w:sz="8" w:val="single"/>
          <w:right w:color="F79646" w:space="0" w:sz="8" w:val="single"/>
          <w:insideV w:color="F79646" w:space="0" w:sz="8" w:val="single"/>
        </w:tcBorders>
        <w:shd w:color="auto" w:fill="FDE4D0" w:themeFill="accent6" w:themeFillTint="3F" w:val="clear"/>
      </w:tcPr>
    </w:tblStylePr>
    <w:tblStylePr w:type="band2Horz">
      <w:tblPr/>
      <w:tcPr>
        <w:tcBorders>
          <w:top w:color="F79646" w:space="0" w:sz="8" w:val="single"/>
          <w:left w:color="F79646" w:space="0" w:sz="8" w:val="single"/>
          <w:bottom w:color="F79646" w:space="0" w:sz="8" w:val="single"/>
          <w:right w:color="F79646" w:space="0" w:sz="8" w:val="single"/>
          <w:insideV w:color="F79646" w:space="0" w:sz="8"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val="single"/>
        <w:left w:color="404040" w:space="0" w:sz="8" w:val="single"/>
        <w:bottom w:color="404040" w:space="0" w:sz="8" w:val="single"/>
        <w:right w:color="404040" w:space="0" w:sz="8" w:val="single"/>
        <w:insideH w:color="404040"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404040" w:space="0" w:sz="8" w:val="single"/>
          <w:left w:color="404040" w:space="0" w:sz="8" w:val="single"/>
          <w:bottom w:color="404040" w:space="0" w:sz="8" w:val="single"/>
          <w:right w:color="404040" w:space="0" w:sz="8"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val="double"/>
          <w:left w:color="404040" w:space="0" w:sz="8" w:val="single"/>
          <w:bottom w:color="404040" w:space="0" w:sz="8" w:val="single"/>
          <w:right w:color="404040" w:space="0" w:sz="8"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val="single"/>
        <w:left w:color="7BA0CD" w:space="0" w:sz="8" w:val="single"/>
        <w:bottom w:color="7BA0CD" w:space="0" w:sz="8" w:val="single"/>
        <w:right w:color="7BA0CD" w:space="0" w:sz="8" w:val="single"/>
        <w:insideH w:color="7BA0C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BA0CD" w:space="0" w:sz="8" w:val="single"/>
          <w:left w:color="7BA0CD" w:space="0" w:sz="8" w:val="single"/>
          <w:bottom w:color="7BA0CD" w:space="0" w:sz="8" w:val="single"/>
          <w:right w:color="7BA0CD" w:space="0" w:sz="8"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val="double"/>
          <w:left w:color="7BA0CD" w:space="0" w:sz="8" w:val="single"/>
          <w:bottom w:color="7BA0CD" w:space="0" w:sz="8" w:val="single"/>
          <w:right w:color="7BA0CD" w:space="0" w:sz="8"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val="single"/>
        <w:left w:color="CF7B79" w:space="0" w:sz="8" w:val="single"/>
        <w:bottom w:color="CF7B79" w:space="0" w:sz="8" w:val="single"/>
        <w:right w:color="CF7B79" w:space="0" w:sz="8" w:val="single"/>
        <w:insideH w:color="CF7B79"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CF7B79" w:space="0" w:sz="8" w:val="single"/>
          <w:left w:color="CF7B79" w:space="0" w:sz="8" w:val="single"/>
          <w:bottom w:color="CF7B79" w:space="0" w:sz="8" w:val="single"/>
          <w:right w:color="CF7B79" w:space="0" w:sz="8"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val="double"/>
          <w:left w:color="CF7B79" w:space="0" w:sz="8" w:val="single"/>
          <w:bottom w:color="CF7B79" w:space="0" w:sz="8" w:val="single"/>
          <w:right w:color="CF7B79" w:space="0" w:sz="8"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val="single"/>
        <w:left w:color="B3CC82" w:space="0" w:sz="8" w:val="single"/>
        <w:bottom w:color="B3CC82" w:space="0" w:sz="8" w:val="single"/>
        <w:right w:color="B3CC82" w:space="0" w:sz="8" w:val="single"/>
        <w:insideH w:color="B3CC82"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B3CC82" w:space="0" w:sz="8" w:val="single"/>
          <w:left w:color="B3CC82" w:space="0" w:sz="8" w:val="single"/>
          <w:bottom w:color="B3CC82" w:space="0" w:sz="8" w:val="single"/>
          <w:right w:color="B3CC82" w:space="0" w:sz="8"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val="double"/>
          <w:left w:color="B3CC82" w:space="0" w:sz="8" w:val="single"/>
          <w:bottom w:color="B3CC82" w:space="0" w:sz="8" w:val="single"/>
          <w:right w:color="B3CC82" w:space="0" w:sz="8"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val="single"/>
        <w:left w:color="9F8AB9" w:space="0" w:sz="8" w:val="single"/>
        <w:bottom w:color="9F8AB9" w:space="0" w:sz="8" w:val="single"/>
        <w:right w:color="9F8AB9" w:space="0" w:sz="8" w:val="single"/>
        <w:insideH w:color="9F8AB9"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9F8AB9" w:space="0" w:sz="8" w:val="single"/>
          <w:left w:color="9F8AB9" w:space="0" w:sz="8" w:val="single"/>
          <w:bottom w:color="9F8AB9" w:space="0" w:sz="8" w:val="single"/>
          <w:right w:color="9F8AB9" w:space="0" w:sz="8"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val="double"/>
          <w:left w:color="9F8AB9" w:space="0" w:sz="8" w:val="single"/>
          <w:bottom w:color="9F8AB9" w:space="0" w:sz="8" w:val="single"/>
          <w:right w:color="9F8AB9" w:space="0" w:sz="8"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val="single"/>
        <w:left w:color="78C0D4" w:space="0" w:sz="8" w:val="single"/>
        <w:bottom w:color="78C0D4" w:space="0" w:sz="8" w:val="single"/>
        <w:right w:color="78C0D4" w:space="0" w:sz="8" w:val="single"/>
        <w:insideH w:color="78C0D4"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8C0D4" w:space="0" w:sz="8" w:val="single"/>
          <w:left w:color="78C0D4" w:space="0" w:sz="8" w:val="single"/>
          <w:bottom w:color="78C0D4" w:space="0" w:sz="8" w:val="single"/>
          <w:right w:color="78C0D4" w:space="0" w:sz="8"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val="double"/>
          <w:left w:color="78C0D4" w:space="0" w:sz="8" w:val="single"/>
          <w:bottom w:color="78C0D4" w:space="0" w:sz="8" w:val="single"/>
          <w:right w:color="78C0D4" w:space="0" w:sz="8"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val="single"/>
        <w:left w:color="F9B074" w:space="0" w:sz="8" w:val="single"/>
        <w:bottom w:color="F9B074" w:space="0" w:sz="8" w:val="single"/>
        <w:right w:color="F9B074" w:space="0" w:sz="8" w:val="single"/>
        <w:insideH w:color="F9B074"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F9B074" w:space="0" w:sz="8" w:val="single"/>
          <w:left w:color="F9B074" w:space="0" w:sz="8" w:val="single"/>
          <w:bottom w:color="F9B074" w:space="0" w:sz="8" w:val="single"/>
          <w:right w:color="F9B074" w:space="0" w:sz="8"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val="double"/>
          <w:left w:color="F9B074" w:space="0" w:sz="8" w:val="single"/>
          <w:bottom w:color="F9B074" w:space="0" w:sz="8" w:val="single"/>
          <w:right w:color="F9B074" w:space="0" w:sz="8"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val="000000"/>
    </w:rPr>
    <w:tblPr>
      <w:tblStyleRowBandSize w:val="1"/>
      <w:tblStyleColBandSize w:val="1"/>
      <w:tblInd w:type="dxa" w:w="0"/>
      <w:tblBorders>
        <w:top w:color="000000" w:space="0" w:sz="8" w:val="single"/>
        <w:bottom w:color="000000" w:space="0" w:sz="8" w:val="single"/>
      </w:tblBorders>
      <w:tblCellMar>
        <w:top w:type="dxa" w:w="0"/>
        <w:left w:type="dxa" w:w="108"/>
        <w:bottom w:type="dxa" w:w="0"/>
        <w:right w:type="dxa" w:w="108"/>
      </w:tblCellMar>
    </w:tblPr>
    <w:tblStylePr w:type="firstRow">
      <w:rPr>
        <w:rFonts/>
      </w:rPr>
      <w:tblPr/>
      <w:tcPr>
        <w:tcBorders>
          <w:top w:val="nil"/>
          <w:bottom w:color="000000" w:space="0" w:sz="8" w:val="single"/>
        </w:tcBorders>
      </w:tcPr>
    </w:tblStylePr>
    <w:tblStylePr w:type="lastRow">
      <w:rPr>
        <w:b/>
        <w:bCs/>
        <w:color w:val="1F497D"/>
      </w:rPr>
      <w:tblPr/>
      <w:tcPr>
        <w:tcBorders>
          <w:top w:color="000000" w:space="0" w:sz="8" w:val="single"/>
          <w:bottom w:color="000000" w:space="0" w:sz="8" w:val="single"/>
        </w:tcBorders>
      </w:tcPr>
    </w:tblStylePr>
    <w:tblStylePr w:type="firstCol">
      <w:rPr>
        <w:b/>
        <w:bCs/>
      </w:rPr>
    </w:tblStylePr>
    <w:tblStylePr w:type="lastCol">
      <w:rPr>
        <w:b/>
        <w:bCs/>
      </w:rPr>
      <w:tblPr/>
      <w:tcPr>
        <w:tcBorders>
          <w:top w:color="000000" w:space="0" w:sz="8" w:val="single"/>
          <w:bottom w:color="000000" w:space="0" w:sz="8"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val="000000"/>
    </w:rPr>
    <w:tblPr>
      <w:tblStyleRowBandSize w:val="1"/>
      <w:tblStyleColBandSize w:val="1"/>
      <w:tblInd w:type="dxa" w:w="0"/>
      <w:tblBorders>
        <w:top w:color="000000" w:space="0" w:sz="8" w:val="single"/>
        <w:bottom w:color="000000" w:space="0" w:sz="8" w:val="single"/>
      </w:tblBorders>
      <w:tblCellMar>
        <w:top w:type="dxa" w:w="0"/>
        <w:left w:type="dxa" w:w="108"/>
        <w:bottom w:type="dxa" w:w="0"/>
        <w:right w:type="dxa" w:w="108"/>
      </w:tblCellMar>
    </w:tblPr>
    <w:tblStylePr w:type="firstRow">
      <w:rPr>
        <w:rFonts/>
      </w:rPr>
      <w:tblPr/>
      <w:tcPr>
        <w:tcBorders>
          <w:top w:val="nil"/>
          <w:bottom w:color="000000" w:space="0" w:sz="8" w:val="single"/>
        </w:tcBorders>
      </w:tcPr>
    </w:tblStylePr>
    <w:tblStylePr w:type="lastRow">
      <w:rPr>
        <w:b/>
        <w:bCs/>
        <w:color w:val="1F497D"/>
      </w:rPr>
      <w:tblPr/>
      <w:tcPr>
        <w:tcBorders>
          <w:top w:color="000000" w:space="0" w:sz="8" w:val="single"/>
          <w:bottom w:color="000000" w:space="0" w:sz="8" w:val="single"/>
        </w:tcBorders>
      </w:tcPr>
    </w:tblStylePr>
    <w:tblStylePr w:type="firstCol">
      <w:rPr>
        <w:b/>
        <w:bCs/>
      </w:rPr>
    </w:tblStylePr>
    <w:tblStylePr w:type="lastCol">
      <w:rPr>
        <w:b/>
        <w:bCs/>
      </w:rPr>
      <w:tblPr/>
      <w:tcPr>
        <w:tcBorders>
          <w:top w:color="000000" w:space="0" w:sz="8" w:val="single"/>
          <w:bottom w:color="000000" w:space="0" w:sz="8"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val="000000"/>
    </w:rPr>
    <w:tblPr>
      <w:tblStyleRowBandSize w:val="1"/>
      <w:tblStyleColBandSize w:val="1"/>
      <w:tblInd w:type="dxa" w:w="0"/>
      <w:tblBorders>
        <w:top w:color="C0504D" w:space="0" w:sz="8" w:val="single"/>
        <w:bottom w:color="C0504D" w:space="0" w:sz="8" w:val="single"/>
      </w:tblBorders>
      <w:tblCellMar>
        <w:top w:type="dxa" w:w="0"/>
        <w:left w:type="dxa" w:w="108"/>
        <w:bottom w:type="dxa" w:w="0"/>
        <w:right w:type="dxa" w:w="108"/>
      </w:tblCellMar>
    </w:tblPr>
    <w:tblStylePr w:type="firstRow">
      <w:rPr>
        <w:rFonts/>
      </w:rPr>
      <w:tblPr/>
      <w:tcPr>
        <w:tcBorders>
          <w:top w:val="nil"/>
          <w:bottom w:color="C0504D" w:space="0" w:sz="8" w:val="single"/>
        </w:tcBorders>
      </w:tcPr>
    </w:tblStylePr>
    <w:tblStylePr w:type="lastRow">
      <w:rPr>
        <w:b/>
        <w:bCs/>
        <w:color w:val="1F497D"/>
      </w:rPr>
      <w:tblPr/>
      <w:tcPr>
        <w:tcBorders>
          <w:top w:color="C0504D" w:space="0" w:sz="8" w:val="single"/>
          <w:bottom w:color="C0504D" w:space="0" w:sz="8" w:val="single"/>
        </w:tcBorders>
      </w:tcPr>
    </w:tblStylePr>
    <w:tblStylePr w:type="firstCol">
      <w:rPr>
        <w:b/>
        <w:bCs/>
      </w:rPr>
    </w:tblStylePr>
    <w:tblStylePr w:type="lastCol">
      <w:rPr>
        <w:b/>
        <w:bCs/>
      </w:rPr>
      <w:tblPr/>
      <w:tcPr>
        <w:tcBorders>
          <w:top w:color="C0504D" w:space="0" w:sz="8" w:val="single"/>
          <w:bottom w:color="C0504D" w:space="0" w:sz="8"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val="000000"/>
    </w:rPr>
    <w:tblPr>
      <w:tblStyleRowBandSize w:val="1"/>
      <w:tblStyleColBandSize w:val="1"/>
      <w:tblInd w:type="dxa" w:w="0"/>
      <w:tblBorders>
        <w:top w:color="9BBB59" w:space="0" w:sz="8" w:val="single"/>
        <w:bottom w:color="9BBB59" w:space="0" w:sz="8" w:val="single"/>
      </w:tblBorders>
      <w:tblCellMar>
        <w:top w:type="dxa" w:w="0"/>
        <w:left w:type="dxa" w:w="108"/>
        <w:bottom w:type="dxa" w:w="0"/>
        <w:right w:type="dxa" w:w="108"/>
      </w:tblCellMar>
    </w:tblPr>
    <w:tblStylePr w:type="firstRow">
      <w:rPr>
        <w:rFonts/>
      </w:rPr>
      <w:tblPr/>
      <w:tcPr>
        <w:tcBorders>
          <w:top w:val="nil"/>
          <w:bottom w:color="9BBB59" w:space="0" w:sz="8" w:val="single"/>
        </w:tcBorders>
      </w:tcPr>
    </w:tblStylePr>
    <w:tblStylePr w:type="lastRow">
      <w:rPr>
        <w:b/>
        <w:bCs/>
        <w:color w:val="1F497D"/>
      </w:rPr>
      <w:tblPr/>
      <w:tcPr>
        <w:tcBorders>
          <w:top w:color="9BBB59" w:space="0" w:sz="8" w:val="single"/>
          <w:bottom w:color="9BBB59" w:space="0" w:sz="8" w:val="single"/>
        </w:tcBorders>
      </w:tcPr>
    </w:tblStylePr>
    <w:tblStylePr w:type="firstCol">
      <w:rPr>
        <w:b/>
        <w:bCs/>
      </w:rPr>
    </w:tblStylePr>
    <w:tblStylePr w:type="lastCol">
      <w:rPr>
        <w:b/>
        <w:bCs/>
      </w:rPr>
      <w:tblPr/>
      <w:tcPr>
        <w:tcBorders>
          <w:top w:color="9BBB59" w:space="0" w:sz="8" w:val="single"/>
          <w:bottom w:color="9BBB59" w:space="0" w:sz="8"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val="000000"/>
    </w:rPr>
    <w:tblPr>
      <w:tblStyleRowBandSize w:val="1"/>
      <w:tblStyleColBandSize w:val="1"/>
      <w:tblInd w:type="dxa" w:w="0"/>
      <w:tblBorders>
        <w:top w:color="8064A2" w:space="0" w:sz="8" w:val="single"/>
        <w:bottom w:color="8064A2" w:space="0" w:sz="8" w:val="single"/>
      </w:tblBorders>
      <w:tblCellMar>
        <w:top w:type="dxa" w:w="0"/>
        <w:left w:type="dxa" w:w="108"/>
        <w:bottom w:type="dxa" w:w="0"/>
        <w:right w:type="dxa" w:w="108"/>
      </w:tblCellMar>
    </w:tblPr>
    <w:tblStylePr w:type="firstRow">
      <w:rPr>
        <w:rFonts/>
      </w:rPr>
      <w:tblPr/>
      <w:tcPr>
        <w:tcBorders>
          <w:top w:val="nil"/>
          <w:bottom w:color="8064A2" w:space="0" w:sz="8" w:val="single"/>
        </w:tcBorders>
      </w:tcPr>
    </w:tblStylePr>
    <w:tblStylePr w:type="lastRow">
      <w:rPr>
        <w:b/>
        <w:bCs/>
        <w:color w:val="1F497D"/>
      </w:rPr>
      <w:tblPr/>
      <w:tcPr>
        <w:tcBorders>
          <w:top w:color="8064A2" w:space="0" w:sz="8" w:val="single"/>
          <w:bottom w:color="8064A2" w:space="0" w:sz="8" w:val="single"/>
        </w:tcBorders>
      </w:tcPr>
    </w:tblStylePr>
    <w:tblStylePr w:type="firstCol">
      <w:rPr>
        <w:b/>
        <w:bCs/>
      </w:rPr>
    </w:tblStylePr>
    <w:tblStylePr w:type="lastCol">
      <w:rPr>
        <w:b/>
        <w:bCs/>
      </w:rPr>
      <w:tblPr/>
      <w:tcPr>
        <w:tcBorders>
          <w:top w:color="8064A2" w:space="0" w:sz="8" w:val="single"/>
          <w:bottom w:color="8064A2" w:space="0" w:sz="8"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val="000000"/>
    </w:rPr>
    <w:tblPr>
      <w:tblStyleRowBandSize w:val="1"/>
      <w:tblStyleColBandSize w:val="1"/>
      <w:tblInd w:type="dxa" w:w="0"/>
      <w:tblBorders>
        <w:top w:color="4BACC6" w:space="0" w:sz="8" w:val="single"/>
        <w:bottom w:color="4BACC6" w:space="0" w:sz="8" w:val="single"/>
      </w:tblBorders>
      <w:tblCellMar>
        <w:top w:type="dxa" w:w="0"/>
        <w:left w:type="dxa" w:w="108"/>
        <w:bottom w:type="dxa" w:w="0"/>
        <w:right w:type="dxa" w:w="108"/>
      </w:tblCellMar>
    </w:tblPr>
    <w:tblStylePr w:type="firstRow">
      <w:rPr>
        <w:rFonts/>
      </w:rPr>
      <w:tblPr/>
      <w:tcPr>
        <w:tcBorders>
          <w:top w:val="nil"/>
          <w:bottom w:color="4BACC6" w:space="0" w:sz="8" w:val="single"/>
        </w:tcBorders>
      </w:tcPr>
    </w:tblStylePr>
    <w:tblStylePr w:type="lastRow">
      <w:rPr>
        <w:b/>
        <w:bCs/>
        <w:color w:val="1F497D"/>
      </w:rPr>
      <w:tblPr/>
      <w:tcPr>
        <w:tcBorders>
          <w:top w:color="4BACC6" w:space="0" w:sz="8" w:val="single"/>
          <w:bottom w:color="4BACC6" w:space="0" w:sz="8" w:val="single"/>
        </w:tcBorders>
      </w:tcPr>
    </w:tblStylePr>
    <w:tblStylePr w:type="firstCol">
      <w:rPr>
        <w:b/>
        <w:bCs/>
      </w:rPr>
    </w:tblStylePr>
    <w:tblStylePr w:type="lastCol">
      <w:rPr>
        <w:b/>
        <w:bCs/>
      </w:rPr>
      <w:tblPr/>
      <w:tcPr>
        <w:tcBorders>
          <w:top w:color="4BACC6" w:space="0" w:sz="8" w:val="single"/>
          <w:bottom w:color="4BACC6" w:space="0" w:sz="8"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val="000000"/>
    </w:rPr>
    <w:tblPr>
      <w:tblStyleRowBandSize w:val="1"/>
      <w:tblStyleColBandSize w:val="1"/>
      <w:tblInd w:type="dxa" w:w="0"/>
      <w:tblBorders>
        <w:top w:color="F79646" w:space="0" w:sz="8" w:val="single"/>
        <w:bottom w:color="F79646" w:space="0" w:sz="8" w:val="single"/>
      </w:tblBorders>
      <w:tblCellMar>
        <w:top w:type="dxa" w:w="0"/>
        <w:left w:type="dxa" w:w="108"/>
        <w:bottom w:type="dxa" w:w="0"/>
        <w:right w:type="dxa" w:w="108"/>
      </w:tblCellMar>
    </w:tblPr>
    <w:tblStylePr w:type="firstRow">
      <w:rPr>
        <w:rFonts/>
      </w:rPr>
      <w:tblPr/>
      <w:tcPr>
        <w:tcBorders>
          <w:top w:val="nil"/>
          <w:bottom w:color="F79646" w:space="0" w:sz="8" w:val="single"/>
        </w:tcBorders>
      </w:tcPr>
    </w:tblStylePr>
    <w:tblStylePr w:type="lastRow">
      <w:rPr>
        <w:b/>
        <w:bCs/>
        <w:color w:val="1F497D"/>
      </w:rPr>
      <w:tblPr/>
      <w:tcPr>
        <w:tcBorders>
          <w:top w:color="F79646" w:space="0" w:sz="8" w:val="single"/>
          <w:bottom w:color="F79646" w:space="0" w:sz="8" w:val="single"/>
        </w:tcBorders>
      </w:tcPr>
    </w:tblStylePr>
    <w:tblStylePr w:type="firstCol">
      <w:rPr>
        <w:b/>
        <w:bCs/>
      </w:rPr>
    </w:tblStylePr>
    <w:tblStylePr w:type="lastCol">
      <w:rPr>
        <w:b/>
        <w:bCs/>
      </w:rPr>
      <w:tblPr/>
      <w:tcPr>
        <w:tcBorders>
          <w:top w:color="F79646" w:space="0" w:sz="8" w:val="single"/>
          <w:bottom w:color="F79646" w:space="0" w:sz="8"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color w:val="000000"/>
    </w:rPr>
    <w:tblPr>
      <w:tblStyleRowBandSize w:val="1"/>
      <w:tblStyleColBandSize w:val="1"/>
      <w:tblInd w:type="dxa" w:w="0"/>
      <w:tblBorders>
        <w:top w:color="000000" w:space="0" w:sz="8" w:val="single"/>
        <w:left w:color="000000" w:space="0" w:sz="8" w:val="single"/>
        <w:bottom w:color="000000" w:space="0" w:sz="8" w:val="single"/>
        <w:right w:color="000000" w:space="0" w:sz="8"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val="single"/>
          <w:right w:val="nil"/>
          <w:insideH w:val="nil"/>
          <w:insideV w:val="nil"/>
        </w:tcBorders>
        <w:shd w:color="auto" w:fill="FFFFFF" w:themeFill="background1" w:val="clear"/>
      </w:tcPr>
    </w:tblStylePr>
    <w:tblStylePr w:type="lastRow">
      <w:tblPr/>
      <w:tcPr>
        <w:tcBorders>
          <w:top w:color="000000" w:space="0" w:sz="8"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val="single"/>
          <w:insideH w:val="nil"/>
          <w:insideV w:val="nil"/>
        </w:tcBorders>
        <w:shd w:color="auto" w:fill="FFFFFF" w:themeFill="background1" w:val="clear"/>
      </w:tcPr>
    </w:tblStylePr>
    <w:tblStylePr w:type="lastCol">
      <w:tblPr/>
      <w:tcPr>
        <w:tcBorders>
          <w:top w:val="nil"/>
          <w:left w:color="000000" w:space="0" w:sz="8"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color w:val="000000"/>
    </w:rPr>
    <w:tblPr>
      <w:tblStyleRowBandSize w:val="1"/>
      <w:tblStyleColBandSize w:val="1"/>
      <w:tblInd w:type="dxa" w:w="0"/>
      <w:tblBorders>
        <w:top w:color="000000" w:space="0" w:sz="8" w:val="single"/>
        <w:left w:color="000000" w:space="0" w:sz="8" w:val="single"/>
        <w:bottom w:color="000000" w:space="0" w:sz="8" w:val="single"/>
        <w:right w:color="000000" w:space="0" w:sz="8"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val="single"/>
          <w:right w:val="nil"/>
          <w:insideH w:val="nil"/>
          <w:insideV w:val="nil"/>
        </w:tcBorders>
        <w:shd w:color="auto" w:fill="FFFFFF" w:themeFill="background1" w:val="clear"/>
      </w:tcPr>
    </w:tblStylePr>
    <w:tblStylePr w:type="lastRow">
      <w:tblPr/>
      <w:tcPr>
        <w:tcBorders>
          <w:top w:color="000000" w:space="0" w:sz="8"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val="single"/>
          <w:insideH w:val="nil"/>
          <w:insideV w:val="nil"/>
        </w:tcBorders>
        <w:shd w:color="auto" w:fill="FFFFFF" w:themeFill="background1" w:val="clear"/>
      </w:tcPr>
    </w:tblStylePr>
    <w:tblStylePr w:type="lastCol">
      <w:tblPr/>
      <w:tcPr>
        <w:tcBorders>
          <w:top w:val="nil"/>
          <w:left w:color="000000" w:space="0" w:sz="8"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color w:val="000000"/>
    </w:rPr>
    <w:tblPr>
      <w:tblStyleRowBandSize w:val="1"/>
      <w:tblStyleColBandSize w:val="1"/>
      <w:tblInd w:type="dxa" w:w="0"/>
      <w:tblBorders>
        <w:top w:color="C0504D" w:space="0" w:sz="8" w:val="single"/>
        <w:left w:color="C0504D" w:space="0" w:sz="8" w:val="single"/>
        <w:bottom w:color="C0504D" w:space="0" w:sz="8" w:val="single"/>
        <w:right w:color="C0504D" w:space="0" w:sz="8"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val="single"/>
          <w:right w:val="nil"/>
          <w:insideH w:val="nil"/>
          <w:insideV w:val="nil"/>
        </w:tcBorders>
        <w:shd w:color="auto" w:fill="FFFFFF" w:themeFill="background1" w:val="clear"/>
      </w:tcPr>
    </w:tblStylePr>
    <w:tblStylePr w:type="lastRow">
      <w:tblPr/>
      <w:tcPr>
        <w:tcBorders>
          <w:top w:color="C0504D" w:space="0" w:sz="8"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val="single"/>
          <w:insideH w:val="nil"/>
          <w:insideV w:val="nil"/>
        </w:tcBorders>
        <w:shd w:color="auto" w:fill="FFFFFF" w:themeFill="background1" w:val="clear"/>
      </w:tcPr>
    </w:tblStylePr>
    <w:tblStylePr w:type="lastCol">
      <w:tblPr/>
      <w:tcPr>
        <w:tcBorders>
          <w:top w:val="nil"/>
          <w:left w:color="C0504D" w:space="0" w:sz="8"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color w:val="000000"/>
    </w:rPr>
    <w:tblPr>
      <w:tblStyleRowBandSize w:val="1"/>
      <w:tblStyleColBandSize w:val="1"/>
      <w:tblInd w:type="dxa" w:w="0"/>
      <w:tblBorders>
        <w:top w:color="9BBB59" w:space="0" w:sz="8" w:val="single"/>
        <w:left w:color="9BBB59" w:space="0" w:sz="8" w:val="single"/>
        <w:bottom w:color="9BBB59" w:space="0" w:sz="8" w:val="single"/>
        <w:right w:color="9BBB59" w:space="0" w:sz="8"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val="single"/>
          <w:right w:val="nil"/>
          <w:insideH w:val="nil"/>
          <w:insideV w:val="nil"/>
        </w:tcBorders>
        <w:shd w:color="auto" w:fill="FFFFFF" w:themeFill="background1" w:val="clear"/>
      </w:tcPr>
    </w:tblStylePr>
    <w:tblStylePr w:type="lastRow">
      <w:tblPr/>
      <w:tcPr>
        <w:tcBorders>
          <w:top w:color="9BBB59" w:space="0" w:sz="8"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val="single"/>
          <w:insideH w:val="nil"/>
          <w:insideV w:val="nil"/>
        </w:tcBorders>
        <w:shd w:color="auto" w:fill="FFFFFF" w:themeFill="background1" w:val="clear"/>
      </w:tcPr>
    </w:tblStylePr>
    <w:tblStylePr w:type="lastCol">
      <w:tblPr/>
      <w:tcPr>
        <w:tcBorders>
          <w:top w:val="nil"/>
          <w:left w:color="9BBB59" w:space="0" w:sz="8"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color w:val="000000"/>
    </w:rPr>
    <w:tblPr>
      <w:tblStyleRowBandSize w:val="1"/>
      <w:tblStyleColBandSize w:val="1"/>
      <w:tblInd w:type="dxa" w:w="0"/>
      <w:tblBorders>
        <w:top w:color="8064A2" w:space="0" w:sz="8" w:val="single"/>
        <w:left w:color="8064A2" w:space="0" w:sz="8" w:val="single"/>
        <w:bottom w:color="8064A2" w:space="0" w:sz="8" w:val="single"/>
        <w:right w:color="8064A2" w:space="0" w:sz="8"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val="single"/>
          <w:right w:val="nil"/>
          <w:insideH w:val="nil"/>
          <w:insideV w:val="nil"/>
        </w:tcBorders>
        <w:shd w:color="auto" w:fill="FFFFFF" w:themeFill="background1" w:val="clear"/>
      </w:tcPr>
    </w:tblStylePr>
    <w:tblStylePr w:type="lastRow">
      <w:tblPr/>
      <w:tcPr>
        <w:tcBorders>
          <w:top w:color="8064A2" w:space="0" w:sz="8"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val="single"/>
          <w:insideH w:val="nil"/>
          <w:insideV w:val="nil"/>
        </w:tcBorders>
        <w:shd w:color="auto" w:fill="FFFFFF" w:themeFill="background1" w:val="clear"/>
      </w:tcPr>
    </w:tblStylePr>
    <w:tblStylePr w:type="lastCol">
      <w:tblPr/>
      <w:tcPr>
        <w:tcBorders>
          <w:top w:val="nil"/>
          <w:left w:color="8064A2" w:space="0" w:sz="8"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color w:val="000000"/>
    </w:rPr>
    <w:tblPr>
      <w:tblStyleRowBandSize w:val="1"/>
      <w:tblStyleColBandSize w:val="1"/>
      <w:tblInd w:type="dxa" w:w="0"/>
      <w:tblBorders>
        <w:top w:color="4BACC6" w:space="0" w:sz="8" w:val="single"/>
        <w:left w:color="4BACC6" w:space="0" w:sz="8" w:val="single"/>
        <w:bottom w:color="4BACC6" w:space="0" w:sz="8" w:val="single"/>
        <w:right w:color="4BACC6" w:space="0" w:sz="8"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val="single"/>
          <w:right w:val="nil"/>
          <w:insideH w:val="nil"/>
          <w:insideV w:val="nil"/>
        </w:tcBorders>
        <w:shd w:color="auto" w:fill="FFFFFF" w:themeFill="background1" w:val="clear"/>
      </w:tcPr>
    </w:tblStylePr>
    <w:tblStylePr w:type="lastRow">
      <w:tblPr/>
      <w:tcPr>
        <w:tcBorders>
          <w:top w:color="4BACC6" w:space="0" w:sz="8"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val="single"/>
          <w:insideH w:val="nil"/>
          <w:insideV w:val="nil"/>
        </w:tcBorders>
        <w:shd w:color="auto" w:fill="FFFFFF" w:themeFill="background1" w:val="clear"/>
      </w:tcPr>
    </w:tblStylePr>
    <w:tblStylePr w:type="lastCol">
      <w:tblPr/>
      <w:tcPr>
        <w:tcBorders>
          <w:top w:val="nil"/>
          <w:left w:color="4BACC6" w:space="0" w:sz="8"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color w:val="000000"/>
    </w:rPr>
    <w:tblPr>
      <w:tblStyleRowBandSize w:val="1"/>
      <w:tblStyleColBandSize w:val="1"/>
      <w:tblInd w:type="dxa" w:w="0"/>
      <w:tblBorders>
        <w:top w:color="F79646" w:space="0" w:sz="8" w:val="single"/>
        <w:left w:color="F79646" w:space="0" w:sz="8" w:val="single"/>
        <w:bottom w:color="F79646" w:space="0" w:sz="8" w:val="single"/>
        <w:right w:color="F79646" w:space="0" w:sz="8"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val="single"/>
          <w:right w:val="nil"/>
          <w:insideH w:val="nil"/>
          <w:insideV w:val="nil"/>
        </w:tcBorders>
        <w:shd w:color="auto" w:fill="FFFFFF" w:themeFill="background1" w:val="clear"/>
      </w:tcPr>
    </w:tblStylePr>
    <w:tblStylePr w:type="lastRow">
      <w:tblPr/>
      <w:tcPr>
        <w:tcBorders>
          <w:top w:color="F79646" w:space="0" w:sz="8"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val="single"/>
          <w:insideH w:val="nil"/>
          <w:insideV w:val="nil"/>
        </w:tcBorders>
        <w:shd w:color="auto" w:fill="FFFFFF" w:themeFill="background1" w:val="clear"/>
      </w:tcPr>
    </w:tblStylePr>
    <w:tblStylePr w:type="lastCol">
      <w:tblPr/>
      <w:tcPr>
        <w:tcBorders>
          <w:top w:val="nil"/>
          <w:left w:color="F79646" w:space="0" w:sz="8"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val="single"/>
        <w:left w:color="404040" w:space="0" w:sz="8" w:val="single"/>
        <w:bottom w:color="404040" w:space="0" w:sz="8" w:val="single"/>
        <w:right w:color="404040" w:space="0" w:sz="8" w:val="single"/>
        <w:insideH w:color="404040" w:space="0" w:sz="8" w:val="single"/>
        <w:insideV w:color="404040" w:space="0" w:sz="8"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val="single"/>
        <w:left w:color="7BA0CD" w:space="0" w:sz="8" w:val="single"/>
        <w:bottom w:color="7BA0CD" w:space="0" w:sz="8" w:val="single"/>
        <w:right w:color="7BA0CD" w:space="0" w:sz="8" w:val="single"/>
        <w:insideH w:color="7BA0CD" w:space="0" w:sz="8" w:val="single"/>
        <w:insideV w:color="7BA0CD" w:space="0" w:sz="8"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val="single"/>
        <w:left w:color="CF7B79" w:space="0" w:sz="8" w:val="single"/>
        <w:bottom w:color="CF7B79" w:space="0" w:sz="8" w:val="single"/>
        <w:right w:color="CF7B79" w:space="0" w:sz="8" w:val="single"/>
        <w:insideH w:color="CF7B79" w:space="0" w:sz="8" w:val="single"/>
        <w:insideV w:color="CF7B79" w:space="0" w:sz="8"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val="single"/>
        <w:left w:color="B3CC82" w:space="0" w:sz="8" w:val="single"/>
        <w:bottom w:color="B3CC82" w:space="0" w:sz="8" w:val="single"/>
        <w:right w:color="B3CC82" w:space="0" w:sz="8" w:val="single"/>
        <w:insideH w:color="B3CC82" w:space="0" w:sz="8" w:val="single"/>
        <w:insideV w:color="B3CC82" w:space="0" w:sz="8"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val="single"/>
        <w:left w:color="9F8AB9" w:space="0" w:sz="8" w:val="single"/>
        <w:bottom w:color="9F8AB9" w:space="0" w:sz="8" w:val="single"/>
        <w:right w:color="9F8AB9" w:space="0" w:sz="8" w:val="single"/>
        <w:insideH w:color="9F8AB9" w:space="0" w:sz="8" w:val="single"/>
        <w:insideV w:color="9F8AB9" w:space="0" w:sz="8"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val="single"/>
        <w:left w:color="78C0D4" w:space="0" w:sz="8" w:val="single"/>
        <w:bottom w:color="78C0D4" w:space="0" w:sz="8" w:val="single"/>
        <w:right w:color="78C0D4" w:space="0" w:sz="8" w:val="single"/>
        <w:insideH w:color="78C0D4" w:space="0" w:sz="8" w:val="single"/>
        <w:insideV w:color="78C0D4" w:space="0" w:sz="8"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val="single"/>
        <w:left w:color="F9B074" w:space="0" w:sz="8" w:val="single"/>
        <w:bottom w:color="F9B074" w:space="0" w:sz="8" w:val="single"/>
        <w:right w:color="F9B074" w:space="0" w:sz="8" w:val="single"/>
        <w:insideH w:color="F9B074" w:space="0" w:sz="8" w:val="single"/>
        <w:insideV w:color="F9B074" w:space="0" w:sz="8"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color w:val="000000"/>
    </w:rPr>
    <w:tblPr>
      <w:tblStyleRowBandSize w:val="1"/>
      <w:tblStyleColBandSize w:val="1"/>
      <w:tblInd w:type="dxa" w:w="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108"/>
        <w:bottom w:type="dxa" w:w="0"/>
        <w:right w:type="dxa" w:w="108"/>
      </w:tblCellMar>
    </w:tblPr>
    <w:tcPr>
      <w:shd w:color="auto" w:fill="C0C0C0" w:themeFill="text1" w:themeFillTint="3F" w:val="clear"/>
    </w:tcPr>
    <w:tblStylePr w:type="firstRow">
      <w:rPr>
        <w:b/>
        <w:bCs/>
        <w:color w:val="000000"/>
      </w:rPr>
      <w:tblPr/>
      <w:tcPr>
        <w:shd w:color="auto" w:fill="E6E6E6" w:themeFill="text1" w:themeFillTint="19" w:val="clear"/>
      </w:tcPr>
    </w:tblStylePr>
    <w:tblStylePr w:type="lastRow">
      <w:rPr>
        <w:b/>
        <w:bCs/>
        <w:color w:val="000000"/>
      </w:rPr>
      <w:tblPr/>
      <w:tcPr>
        <w:tcBorders>
          <w:top w:color="000000" w:space="0" w:sz="12"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val="single"/>
          <w:insideV w:color="000000" w:space="0" w:sz="6"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color w:val="000000"/>
    </w:rPr>
    <w:tblPr>
      <w:tblStyleRowBandSize w:val="1"/>
      <w:tblStyleColBandSize w:val="1"/>
      <w:tblInd w:type="dxa" w:w="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108"/>
        <w:bottom w:type="dxa" w:w="0"/>
        <w:right w:type="dxa" w:w="108"/>
      </w:tblCellMar>
    </w:tblPr>
    <w:tcPr>
      <w:shd w:color="auto" w:fill="D3DFEE" w:themeFill="accent1" w:themeFillTint="3F" w:val="clear"/>
    </w:tcPr>
    <w:tblStylePr w:type="firstRow">
      <w:rPr>
        <w:b/>
        <w:bCs/>
        <w:color w:val="000000"/>
      </w:rPr>
      <w:tblPr/>
      <w:tcPr>
        <w:shd w:color="auto" w:fill="EDF2F8" w:themeFill="accent1" w:themeFillTint="19" w:val="clear"/>
      </w:tcPr>
    </w:tblStylePr>
    <w:tblStylePr w:type="lastRow">
      <w:rPr>
        <w:b/>
        <w:bCs/>
        <w:color w:val="000000"/>
      </w:rPr>
      <w:tblPr/>
      <w:tcPr>
        <w:tcBorders>
          <w:top w:color="000000" w:space="0" w:sz="12"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000000" w:space="0" w:sz="6" w:val="single"/>
          <w:insideV w:color="000000" w:space="0" w:sz="6"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color w:val="000000"/>
    </w:rPr>
    <w:tblPr>
      <w:tblStyleRowBandSize w:val="1"/>
      <w:tblStyleColBandSize w:val="1"/>
      <w:tblInd w:type="dxa" w:w="0"/>
      <w:tblBorders>
        <w:top w:color="C0504D" w:space="0" w:sz="8" w:val="single"/>
        <w:left w:color="C0504D" w:space="0" w:sz="8" w:val="single"/>
        <w:bottom w:color="C0504D" w:space="0" w:sz="8" w:val="single"/>
        <w:right w:color="C0504D" w:space="0" w:sz="8" w:val="single"/>
        <w:insideH w:color="C0504D" w:space="0" w:sz="8" w:val="single"/>
        <w:insideV w:color="C0504D" w:space="0" w:sz="8" w:val="single"/>
      </w:tblBorders>
      <w:tblCellMar>
        <w:top w:type="dxa" w:w="0"/>
        <w:left w:type="dxa" w:w="108"/>
        <w:bottom w:type="dxa" w:w="0"/>
        <w:right w:type="dxa" w:w="108"/>
      </w:tblCellMar>
    </w:tblPr>
    <w:tcPr>
      <w:shd w:color="auto" w:fill="EFD3D2" w:themeFill="accent2" w:themeFillTint="3F" w:val="clear"/>
    </w:tcPr>
    <w:tblStylePr w:type="firstRow">
      <w:rPr>
        <w:b/>
        <w:bCs/>
        <w:color w:val="000000"/>
      </w:rPr>
      <w:tblPr/>
      <w:tcPr>
        <w:shd w:color="auto" w:fill="F8EDED" w:themeFill="accent2" w:themeFillTint="19" w:val="clear"/>
      </w:tcPr>
    </w:tblStylePr>
    <w:tblStylePr w:type="lastRow">
      <w:rPr>
        <w:b/>
        <w:bCs/>
        <w:color w:val="000000"/>
      </w:rPr>
      <w:tblPr/>
      <w:tcPr>
        <w:tcBorders>
          <w:top w:color="000000" w:space="0" w:sz="12"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val="single"/>
          <w:insideV w:color="C0504D" w:space="0" w:sz="6"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color w:val="000000"/>
    </w:rPr>
    <w:tblPr>
      <w:tblStyleRowBandSize w:val="1"/>
      <w:tblStyleColBandSize w:val="1"/>
      <w:tblInd w:type="dxa" w:w="0"/>
      <w:tblBorders>
        <w:top w:color="9BBB59" w:space="0" w:sz="8" w:val="single"/>
        <w:left w:color="9BBB59" w:space="0" w:sz="8" w:val="single"/>
        <w:bottom w:color="9BBB59" w:space="0" w:sz="8" w:val="single"/>
        <w:right w:color="9BBB59" w:space="0" w:sz="8" w:val="single"/>
        <w:insideH w:color="9BBB59" w:space="0" w:sz="8" w:val="single"/>
        <w:insideV w:color="9BBB59" w:space="0" w:sz="8" w:val="single"/>
      </w:tblBorders>
      <w:tblCellMar>
        <w:top w:type="dxa" w:w="0"/>
        <w:left w:type="dxa" w:w="108"/>
        <w:bottom w:type="dxa" w:w="0"/>
        <w:right w:type="dxa" w:w="108"/>
      </w:tblCellMar>
    </w:tblPr>
    <w:tcPr>
      <w:shd w:color="auto" w:fill="E6EED5" w:themeFill="accent3" w:themeFillTint="3F" w:val="clear"/>
    </w:tcPr>
    <w:tblStylePr w:type="firstRow">
      <w:rPr>
        <w:b/>
        <w:bCs/>
        <w:color w:val="000000"/>
      </w:rPr>
      <w:tblPr/>
      <w:tcPr>
        <w:shd w:color="auto" w:fill="F5F8EE" w:themeFill="accent3" w:themeFillTint="19" w:val="clear"/>
      </w:tcPr>
    </w:tblStylePr>
    <w:tblStylePr w:type="lastRow">
      <w:rPr>
        <w:b/>
        <w:bCs/>
        <w:color w:val="000000"/>
      </w:rPr>
      <w:tblPr/>
      <w:tcPr>
        <w:tcBorders>
          <w:top w:color="000000" w:space="0" w:sz="12"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val="single"/>
          <w:insideV w:color="9BBB59" w:space="0" w:sz="6"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color w:val="000000"/>
    </w:rPr>
    <w:tblPr>
      <w:tblStyleRowBandSize w:val="1"/>
      <w:tblStyleColBandSize w:val="1"/>
      <w:tblInd w:type="dxa" w:w="0"/>
      <w:tblBorders>
        <w:top w:color="8064A2" w:space="0" w:sz="8" w:val="single"/>
        <w:left w:color="8064A2" w:space="0" w:sz="8" w:val="single"/>
        <w:bottom w:color="8064A2" w:space="0" w:sz="8" w:val="single"/>
        <w:right w:color="8064A2" w:space="0" w:sz="8" w:val="single"/>
        <w:insideH w:color="8064A2" w:space="0" w:sz="8" w:val="single"/>
        <w:insideV w:color="8064A2" w:space="0" w:sz="8" w:val="single"/>
      </w:tblBorders>
      <w:tblCellMar>
        <w:top w:type="dxa" w:w="0"/>
        <w:left w:type="dxa" w:w="108"/>
        <w:bottom w:type="dxa" w:w="0"/>
        <w:right w:type="dxa" w:w="108"/>
      </w:tblCellMar>
    </w:tblPr>
    <w:tcPr>
      <w:shd w:color="auto" w:fill="DFD8E8" w:themeFill="accent4" w:themeFillTint="3F" w:val="clear"/>
    </w:tcPr>
    <w:tblStylePr w:type="firstRow">
      <w:rPr>
        <w:b/>
        <w:bCs/>
        <w:color w:val="000000"/>
      </w:rPr>
      <w:tblPr/>
      <w:tcPr>
        <w:shd w:color="auto" w:fill="F2EFF6" w:themeFill="accent4" w:themeFillTint="19" w:val="clear"/>
      </w:tcPr>
    </w:tblStylePr>
    <w:tblStylePr w:type="lastRow">
      <w:rPr>
        <w:b/>
        <w:bCs/>
        <w:color w:val="000000"/>
      </w:rPr>
      <w:tblPr/>
      <w:tcPr>
        <w:tcBorders>
          <w:top w:color="000000" w:space="0" w:sz="12"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val="single"/>
          <w:insideV w:color="8064A2" w:space="0" w:sz="6"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color w:val="000000"/>
    </w:rPr>
    <w:tblPr>
      <w:tblStyleRowBandSize w:val="1"/>
      <w:tblStyleColBandSize w:val="1"/>
      <w:tblInd w:type="dxa" w:w="0"/>
      <w:tblBorders>
        <w:top w:color="4BACC6" w:space="0" w:sz="8" w:val="single"/>
        <w:left w:color="4BACC6" w:space="0" w:sz="8" w:val="single"/>
        <w:bottom w:color="4BACC6" w:space="0" w:sz="8" w:val="single"/>
        <w:right w:color="4BACC6" w:space="0" w:sz="8" w:val="single"/>
        <w:insideH w:color="4BACC6" w:space="0" w:sz="8" w:val="single"/>
        <w:insideV w:color="4BACC6" w:space="0" w:sz="8" w:val="single"/>
      </w:tblBorders>
      <w:tblCellMar>
        <w:top w:type="dxa" w:w="0"/>
        <w:left w:type="dxa" w:w="108"/>
        <w:bottom w:type="dxa" w:w="0"/>
        <w:right w:type="dxa" w:w="108"/>
      </w:tblCellMar>
    </w:tblPr>
    <w:tcPr>
      <w:shd w:color="auto" w:fill="D2EAF1" w:themeFill="accent5" w:themeFillTint="3F" w:val="clear"/>
    </w:tcPr>
    <w:tblStylePr w:type="firstRow">
      <w:rPr>
        <w:b/>
        <w:bCs/>
        <w:color w:val="000000"/>
      </w:rPr>
      <w:tblPr/>
      <w:tcPr>
        <w:shd w:color="auto" w:fill="EDF6F9" w:themeFill="accent5" w:themeFillTint="19" w:val="clear"/>
      </w:tcPr>
    </w:tblStylePr>
    <w:tblStylePr w:type="lastRow">
      <w:rPr>
        <w:b/>
        <w:bCs/>
        <w:color w:val="000000"/>
      </w:rPr>
      <w:tblPr/>
      <w:tcPr>
        <w:tcBorders>
          <w:top w:color="000000" w:space="0" w:sz="12"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val="single"/>
          <w:insideV w:color="4BACC6" w:space="0" w:sz="6"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color w:val="000000"/>
    </w:rPr>
    <w:tblPr>
      <w:tblStyleRowBandSize w:val="1"/>
      <w:tblStyleColBandSize w:val="1"/>
      <w:tblInd w:type="dxa" w:w="0"/>
      <w:tblBorders>
        <w:top w:color="F79646" w:space="0" w:sz="8" w:val="single"/>
        <w:left w:color="F79646" w:space="0" w:sz="8" w:val="single"/>
        <w:bottom w:color="F79646" w:space="0" w:sz="8" w:val="single"/>
        <w:right w:color="F79646" w:space="0" w:sz="8" w:val="single"/>
        <w:insideH w:color="F79646" w:space="0" w:sz="8" w:val="single"/>
        <w:insideV w:color="F79646" w:space="0" w:sz="8" w:val="single"/>
      </w:tblBorders>
      <w:tblCellMar>
        <w:top w:type="dxa" w:w="0"/>
        <w:left w:type="dxa" w:w="108"/>
        <w:bottom w:type="dxa" w:w="0"/>
        <w:right w:type="dxa" w:w="108"/>
      </w:tblCellMar>
    </w:tblPr>
    <w:tcPr>
      <w:shd w:color="auto" w:fill="FDE4D0" w:themeFill="accent6" w:themeFillTint="3F" w:val="clear"/>
    </w:tcPr>
    <w:tblStylePr w:type="firstRow">
      <w:rPr>
        <w:b/>
        <w:bCs/>
        <w:color w:val="000000"/>
      </w:rPr>
      <w:tblPr/>
      <w:tcPr>
        <w:shd w:color="auto" w:fill="FEF4EC" w:themeFill="accent6" w:themeFillTint="19" w:val="clear"/>
      </w:tcPr>
    </w:tblStylePr>
    <w:tblStylePr w:type="lastRow">
      <w:rPr>
        <w:b/>
        <w:bCs/>
        <w:color w:val="000000"/>
      </w:rPr>
      <w:tblPr/>
      <w:tcPr>
        <w:tcBorders>
          <w:top w:color="000000" w:space="0" w:sz="12" w:val="single"/>
          <w:left w:val="nil"/>
          <w:bottom w:val="nil"/>
          <w:right w:val="nil"/>
          <w:insideH w:val="nil"/>
          <w:insideV w:val="nil"/>
        </w:tcBorders>
        <w:shd w:color="auto" w:fill="FFFFFF" w:themeFill="background1" w:val="clear"/>
      </w:tcPr>
    </w:tblStylePr>
    <w:tblStylePr w:type="firstCol">
      <w:rPr>
        <w:b/>
        <w:bCs/>
        <w:color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val="single"/>
          <w:insideV w:color="F79646" w:space="0" w:sz="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000000" w:themeFill="text1"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000000" w:themeFill="text1"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000000" w:themeFill="text1"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000000" w:themeFill="text1"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808080" w:themeFill="text1" w:themeFillTint="7F"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4F81BD" w:themeFill="accent1"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4F81BD" w:themeFill="accent1"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4F81BD" w:themeFill="accent1"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4F81BD" w:themeFill="accent1"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A7BFDE" w:themeFill="accent1" w:themeFillTint="7F"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C0504D" w:themeFill="accent2"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C0504D" w:themeFill="accent2"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C0504D" w:themeFill="accent2"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C0504D" w:themeFill="accent2"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DFA7A6" w:themeFill="accent2" w:themeFillTint="7F"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9BBB59" w:themeFill="accent3"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9BBB59" w:themeFill="accent3"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9BBB59" w:themeFill="accent3"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9BBB59" w:themeFill="accent3"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CDDDAC" w:themeFill="accent3" w:themeFillTint="7F"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8064A2" w:themeFill="accent4"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8064A2" w:themeFill="accent4"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8064A2" w:themeFill="accent4"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8064A2" w:themeFill="accent4"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BFB1D0" w:themeFill="accent4" w:themeFillTint="7F"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4BACC6" w:themeFill="accent5"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4BACC6" w:themeFill="accent5"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4BACC6" w:themeFill="accent5"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4BACC6" w:themeFill="accent5"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A5D5E2" w:themeFill="accent5" w:themeFillTint="7F"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F79646" w:themeFill="accent6"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F79646" w:themeFill="accent6"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F79646" w:themeFill="accent6"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F79646" w:themeFill="accent6"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FBCAA2" w:themeFill="accent6" w:themeFillTint="7F"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val="single"/>
          <w:right w:val="nil"/>
          <w:insideH w:val="nil"/>
          <w:insideV w:val="nil"/>
        </w:tcBorders>
        <w:shd w:color="auto" w:fill="000000" w:themeFill="text1" w:val="clear"/>
      </w:tcPr>
    </w:tblStylePr>
    <w:tblStylePr w:type="lastRow">
      <w:tblPr/>
      <w:tcPr>
        <w:tcBorders>
          <w:top w:color="FFFFFF" w:space="0" w:sz="18"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val="single"/>
          <w:insideH w:val="nil"/>
          <w:insideV w:val="nil"/>
        </w:tcBorders>
        <w:shd w:color="auto" w:fill="000000" w:themeFill="text1" w:themeFillShade="BF" w:val="clear"/>
      </w:tcPr>
    </w:tblStylePr>
    <w:tblStylePr w:type="lastCol">
      <w:tblPr/>
      <w:tcPr>
        <w:tcBorders>
          <w:top w:val="nil"/>
          <w:left w:color="FFFFFF" w:space="0" w:sz="18"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val="single"/>
          <w:right w:val="nil"/>
          <w:insideH w:val="nil"/>
          <w:insideV w:val="nil"/>
        </w:tcBorders>
        <w:shd w:color="auto" w:fill="000000" w:themeFill="text1" w:val="clear"/>
      </w:tcPr>
    </w:tblStylePr>
    <w:tblStylePr w:type="lastRow">
      <w:tblPr/>
      <w:tcPr>
        <w:tcBorders>
          <w:top w:color="FFFFFF" w:space="0" w:sz="18"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val="single"/>
          <w:insideH w:val="nil"/>
          <w:insideV w:val="nil"/>
        </w:tcBorders>
        <w:shd w:color="auto" w:fill="365F91" w:themeFill="accent1" w:themeFillShade="BF" w:val="clear"/>
      </w:tcPr>
    </w:tblStylePr>
    <w:tblStylePr w:type="lastCol">
      <w:tblPr/>
      <w:tcPr>
        <w:tcBorders>
          <w:top w:val="nil"/>
          <w:left w:color="FFFFFF" w:space="0" w:sz="18"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val="single"/>
          <w:right w:val="nil"/>
          <w:insideH w:val="nil"/>
          <w:insideV w:val="nil"/>
        </w:tcBorders>
        <w:shd w:color="auto" w:fill="000000" w:themeFill="text1" w:val="clear"/>
      </w:tcPr>
    </w:tblStylePr>
    <w:tblStylePr w:type="lastRow">
      <w:tblPr/>
      <w:tcPr>
        <w:tcBorders>
          <w:top w:color="FFFFFF" w:space="0" w:sz="18"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val="single"/>
          <w:insideH w:val="nil"/>
          <w:insideV w:val="nil"/>
        </w:tcBorders>
        <w:shd w:color="auto" w:fill="943634" w:themeFill="accent2" w:themeFillShade="BF" w:val="clear"/>
      </w:tcPr>
    </w:tblStylePr>
    <w:tblStylePr w:type="lastCol">
      <w:tblPr/>
      <w:tcPr>
        <w:tcBorders>
          <w:top w:val="nil"/>
          <w:left w:color="FFFFFF" w:space="0" w:sz="18"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val="single"/>
          <w:right w:val="nil"/>
          <w:insideH w:val="nil"/>
          <w:insideV w:val="nil"/>
        </w:tcBorders>
        <w:shd w:color="auto" w:fill="000000" w:themeFill="text1" w:val="clear"/>
      </w:tcPr>
    </w:tblStylePr>
    <w:tblStylePr w:type="lastRow">
      <w:tblPr/>
      <w:tcPr>
        <w:tcBorders>
          <w:top w:color="FFFFFF" w:space="0" w:sz="18"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val="single"/>
          <w:insideH w:val="nil"/>
          <w:insideV w:val="nil"/>
        </w:tcBorders>
        <w:shd w:color="auto" w:fill="76923C" w:themeFill="accent3" w:themeFillShade="BF" w:val="clear"/>
      </w:tcPr>
    </w:tblStylePr>
    <w:tblStylePr w:type="lastCol">
      <w:tblPr/>
      <w:tcPr>
        <w:tcBorders>
          <w:top w:val="nil"/>
          <w:left w:color="FFFFFF" w:space="0" w:sz="18"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val="single"/>
          <w:right w:val="nil"/>
          <w:insideH w:val="nil"/>
          <w:insideV w:val="nil"/>
        </w:tcBorders>
        <w:shd w:color="auto" w:fill="000000" w:themeFill="text1" w:val="clear"/>
      </w:tcPr>
    </w:tblStylePr>
    <w:tblStylePr w:type="lastRow">
      <w:tblPr/>
      <w:tcPr>
        <w:tcBorders>
          <w:top w:color="FFFFFF" w:space="0" w:sz="18"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val="single"/>
          <w:insideH w:val="nil"/>
          <w:insideV w:val="nil"/>
        </w:tcBorders>
        <w:shd w:color="auto" w:fill="5F497A" w:themeFill="accent4" w:themeFillShade="BF" w:val="clear"/>
      </w:tcPr>
    </w:tblStylePr>
    <w:tblStylePr w:type="lastCol">
      <w:tblPr/>
      <w:tcPr>
        <w:tcBorders>
          <w:top w:val="nil"/>
          <w:left w:color="FFFFFF" w:space="0" w:sz="18"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val="single"/>
          <w:right w:val="nil"/>
          <w:insideH w:val="nil"/>
          <w:insideV w:val="nil"/>
        </w:tcBorders>
        <w:shd w:color="auto" w:fill="000000" w:themeFill="text1" w:val="clear"/>
      </w:tcPr>
    </w:tblStylePr>
    <w:tblStylePr w:type="lastRow">
      <w:tblPr/>
      <w:tcPr>
        <w:tcBorders>
          <w:top w:color="FFFFFF" w:space="0" w:sz="18"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val="single"/>
          <w:insideH w:val="nil"/>
          <w:insideV w:val="nil"/>
        </w:tcBorders>
        <w:shd w:color="auto" w:fill="31849B" w:themeFill="accent5" w:themeFillShade="BF" w:val="clear"/>
      </w:tcPr>
    </w:tblStylePr>
    <w:tblStylePr w:type="lastCol">
      <w:tblPr/>
      <w:tcPr>
        <w:tcBorders>
          <w:top w:val="nil"/>
          <w:left w:color="FFFFFF" w:space="0" w:sz="18"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val="single"/>
          <w:right w:val="nil"/>
          <w:insideH w:val="nil"/>
          <w:insideV w:val="nil"/>
        </w:tcBorders>
        <w:shd w:color="auto" w:fill="000000" w:themeFill="text1" w:val="clear"/>
      </w:tcPr>
    </w:tblStylePr>
    <w:tblStylePr w:type="lastRow">
      <w:tblPr/>
      <w:tcPr>
        <w:tcBorders>
          <w:top w:color="FFFFFF" w:space="0" w:sz="18"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val="single"/>
          <w:insideH w:val="nil"/>
          <w:insideV w:val="nil"/>
        </w:tcBorders>
        <w:shd w:color="auto" w:fill="E36C0A" w:themeFill="accent6" w:themeFillShade="BF" w:val="clear"/>
      </w:tcPr>
    </w:tblStylePr>
    <w:tblStylePr w:type="lastCol">
      <w:tblPr/>
      <w:tcPr>
        <w:tcBorders>
          <w:top w:val="nil"/>
          <w:left w:color="FFFFFF" w:space="0" w:sz="18"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val="000000"/>
    </w:rPr>
    <w:tblPr>
      <w:tblStyleRowBandSize w:val="1"/>
      <w:tblStyleColBandSize w:val="1"/>
      <w:tblInd w:type="dxa" w:w="0"/>
      <w:tblBorders>
        <w:top w:color="C0504D" w:space="0" w:sz="24" w:val="single"/>
        <w:left w:color="000000" w:space="0" w:sz="4" w:val="single"/>
        <w:bottom w:color="000000" w:space="0" w:sz="4" w:val="single"/>
        <w:right w:color="000000" w:space="0" w:sz="4" w:val="single"/>
        <w:insideH w:color="FFFFFF" w:space="0" w:sz="4" w:val="single"/>
        <w:insideV w:color="FFFFFF" w:space="0" w:sz="4"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val="single"/>
          <w:right w:val="nil"/>
          <w:insideH w:val="nil"/>
          <w:insideV w:val="nil"/>
        </w:tcBorders>
        <w:shd w:color="auto" w:fill="FFFFFF" w:themeFill="background1" w:val="clear"/>
      </w:tcPr>
    </w:tblStylePr>
    <w:tblStylePr w:type="lastRow">
      <w:rPr>
        <w:b/>
        <w:bCs/>
        <w:color w:val="FFFFFF"/>
      </w:rPr>
      <w:tblPr/>
      <w:tcPr>
        <w:tcBorders>
          <w:top w:color="FFFFFF" w:space="0" w:sz="6" w:val="single"/>
        </w:tcBorders>
        <w:shd w:color="auto" w:fill="000000" w:themeFill="text1" w:themeFillShade="99" w:val="clear"/>
      </w:tcPr>
    </w:tblStylePr>
    <w:tblStylePr w:type="firstCol">
      <w:rPr>
        <w:color w:val="FFFFFF"/>
      </w:rPr>
      <w:tblPr/>
      <w:tcPr>
        <w:tcBorders>
          <w:top w:val="nil"/>
          <w:left w:val="nil"/>
          <w:bottom w:val="nil"/>
          <w:right w:val="nil"/>
          <w:insideH w:color="000000" w:space="0" w:sz="4" w:val="single"/>
          <w:insideV w:val="nil"/>
        </w:tcBorders>
        <w:shd w:color="auto" w:fill="000000" w:themeFill="text1" w:themeFillShade="99" w:val="clear"/>
      </w:tcPr>
    </w:tblStylePr>
    <w:tblStylePr w:type="lastCol">
      <w:rPr>
        <w:color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val="000000"/>
      </w:rPr>
    </w:tblStylePr>
    <w:tblStylePr w:type="nwCell">
      <w:rPr>
        <w:color w:val="000000"/>
      </w:rPr>
    </w:tblStylePr>
  </w:style>
  <w:style w:styleId="ColorfulShading-Accent1" w:type="table">
    <w:name w:val="Colorful Shading Accent 1"/>
    <w:basedOn w:val="TableNormal"/>
    <w:uiPriority w:val="71"/>
    <w:rsid w:val="00CB0664"/>
    <w:pPr>
      <w:spacing w:after="0" w:line="240" w:lineRule="auto"/>
    </w:pPr>
    <w:rPr>
      <w:color w:val="000000"/>
    </w:rPr>
    <w:tblPr>
      <w:tblStyleRowBandSize w:val="1"/>
      <w:tblStyleColBandSize w:val="1"/>
      <w:tblInd w:type="dxa" w:w="0"/>
      <w:tblBorders>
        <w:top w:color="C0504D" w:space="0" w:sz="24" w:val="single"/>
        <w:left w:color="000000" w:space="0" w:sz="4" w:val="single"/>
        <w:bottom w:color="000000" w:space="0" w:sz="4" w:val="single"/>
        <w:right w:color="000000" w:space="0" w:sz="4" w:val="single"/>
        <w:insideH w:color="FFFFFF" w:space="0" w:sz="4" w:val="single"/>
        <w:insideV w:color="FFFFFF" w:space="0" w:sz="4"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val="single"/>
          <w:right w:val="nil"/>
          <w:insideH w:val="nil"/>
          <w:insideV w:val="nil"/>
        </w:tcBorders>
        <w:shd w:color="auto" w:fill="FFFFFF" w:themeFill="background1" w:val="clear"/>
      </w:tcPr>
    </w:tblStylePr>
    <w:tblStylePr w:type="lastRow">
      <w:rPr>
        <w:b/>
        <w:bCs/>
        <w:color w:val="FFFFFF"/>
      </w:rPr>
      <w:tblPr/>
      <w:tcPr>
        <w:tcBorders>
          <w:top w:color="FFFFFF" w:space="0" w:sz="6" w:val="single"/>
        </w:tcBorders>
        <w:shd w:color="auto" w:fill="2C4C74" w:themeFill="accent1" w:themeFillShade="99" w:val="clear"/>
      </w:tcPr>
    </w:tblStylePr>
    <w:tblStylePr w:type="firstCol">
      <w:rPr>
        <w:color w:val="FFFFFF"/>
      </w:rPr>
      <w:tblPr/>
      <w:tcPr>
        <w:tcBorders>
          <w:top w:val="nil"/>
          <w:left w:val="nil"/>
          <w:bottom w:val="nil"/>
          <w:right w:val="nil"/>
          <w:insideH w:color="2C4C74" w:space="0" w:sz="4" w:val="single"/>
          <w:insideV w:val="nil"/>
        </w:tcBorders>
        <w:shd w:color="auto" w:fill="2C4C74" w:themeFill="accent1" w:themeFillShade="99" w:val="clear"/>
      </w:tcPr>
    </w:tblStylePr>
    <w:tblStylePr w:type="lastCol">
      <w:rPr>
        <w:color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val="000000"/>
      </w:rPr>
    </w:tblStylePr>
    <w:tblStylePr w:type="nwCell">
      <w:rPr>
        <w:color w:val="000000"/>
      </w:rPr>
    </w:tblStylePr>
  </w:style>
  <w:style w:styleId="ColorfulShading-Accent2" w:type="table">
    <w:name w:val="Colorful Shading Accent 2"/>
    <w:basedOn w:val="TableNormal"/>
    <w:uiPriority w:val="71"/>
    <w:rsid w:val="00CB0664"/>
    <w:pPr>
      <w:spacing w:after="0" w:line="240" w:lineRule="auto"/>
    </w:pPr>
    <w:rPr>
      <w:color w:val="000000"/>
    </w:rPr>
    <w:tblPr>
      <w:tblStyleRowBandSize w:val="1"/>
      <w:tblStyleColBandSize w:val="1"/>
      <w:tblInd w:type="dxa" w:w="0"/>
      <w:tblBorders>
        <w:top w:color="C0504D" w:space="0" w:sz="24" w:val="single"/>
        <w:left w:color="C0504D" w:space="0" w:sz="4" w:val="single"/>
        <w:bottom w:color="C0504D" w:space="0" w:sz="4" w:val="single"/>
        <w:right w:color="C0504D" w:space="0" w:sz="4" w:val="single"/>
        <w:insideH w:color="FFFFFF" w:space="0" w:sz="4" w:val="single"/>
        <w:insideV w:color="FFFFFF" w:space="0" w:sz="4"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val="single"/>
          <w:right w:val="nil"/>
          <w:insideH w:val="nil"/>
          <w:insideV w:val="nil"/>
        </w:tcBorders>
        <w:shd w:color="auto" w:fill="FFFFFF" w:themeFill="background1" w:val="clear"/>
      </w:tcPr>
    </w:tblStylePr>
    <w:tblStylePr w:type="lastRow">
      <w:rPr>
        <w:b/>
        <w:bCs/>
        <w:color w:val="FFFFFF"/>
      </w:rPr>
      <w:tblPr/>
      <w:tcPr>
        <w:tcBorders>
          <w:top w:color="FFFFFF" w:space="0" w:sz="6" w:val="single"/>
        </w:tcBorders>
        <w:shd w:color="auto" w:fill="772C2A" w:themeFill="accent2" w:themeFillShade="99" w:val="clear"/>
      </w:tcPr>
    </w:tblStylePr>
    <w:tblStylePr w:type="firstCol">
      <w:rPr>
        <w:color w:val="FFFFFF"/>
      </w:rPr>
      <w:tblPr/>
      <w:tcPr>
        <w:tcBorders>
          <w:top w:val="nil"/>
          <w:left w:val="nil"/>
          <w:bottom w:val="nil"/>
          <w:right w:val="nil"/>
          <w:insideH w:color="772C2A" w:space="0" w:sz="4" w:val="single"/>
          <w:insideV w:val="nil"/>
        </w:tcBorders>
        <w:shd w:color="auto" w:fill="772C2A" w:themeFill="accent2" w:themeFillShade="99" w:val="clear"/>
      </w:tcPr>
    </w:tblStylePr>
    <w:tblStylePr w:type="lastCol">
      <w:rPr>
        <w:color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val="000000"/>
      </w:rPr>
    </w:tblStylePr>
    <w:tblStylePr w:type="nwCell">
      <w:rPr>
        <w:color w:val="000000"/>
      </w:rPr>
    </w:tblStylePr>
  </w:style>
  <w:style w:styleId="ColorfulShading-Accent3" w:type="table">
    <w:name w:val="Colorful Shading Accent 3"/>
    <w:basedOn w:val="TableNormal"/>
    <w:uiPriority w:val="71"/>
    <w:rsid w:val="00CB0664"/>
    <w:pPr>
      <w:spacing w:after="0" w:line="240" w:lineRule="auto"/>
    </w:pPr>
    <w:rPr>
      <w:color w:val="000000"/>
    </w:rPr>
    <w:tblPr>
      <w:tblStyleRowBandSize w:val="1"/>
      <w:tblStyleColBandSize w:val="1"/>
      <w:tblInd w:type="dxa" w:w="0"/>
      <w:tblBorders>
        <w:top w:color="8064A2" w:space="0" w:sz="24" w:val="single"/>
        <w:left w:color="9BBB59" w:space="0" w:sz="4" w:val="single"/>
        <w:bottom w:color="9BBB59" w:space="0" w:sz="4" w:val="single"/>
        <w:right w:color="9BBB59" w:space="0" w:sz="4" w:val="single"/>
        <w:insideH w:color="FFFFFF" w:space="0" w:sz="4" w:val="single"/>
        <w:insideV w:color="FFFFFF" w:space="0" w:sz="4"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val="single"/>
          <w:right w:val="nil"/>
          <w:insideH w:val="nil"/>
          <w:insideV w:val="nil"/>
        </w:tcBorders>
        <w:shd w:color="auto" w:fill="FFFFFF" w:themeFill="background1" w:val="clear"/>
      </w:tcPr>
    </w:tblStylePr>
    <w:tblStylePr w:type="lastRow">
      <w:rPr>
        <w:b/>
        <w:bCs/>
        <w:color w:val="FFFFFF"/>
      </w:rPr>
      <w:tblPr/>
      <w:tcPr>
        <w:tcBorders>
          <w:top w:color="FFFFFF" w:space="0" w:sz="6" w:val="single"/>
        </w:tcBorders>
        <w:shd w:color="auto" w:fill="5E7530" w:themeFill="accent3" w:themeFillShade="99" w:val="clear"/>
      </w:tcPr>
    </w:tblStylePr>
    <w:tblStylePr w:type="firstCol">
      <w:rPr>
        <w:color w:val="FFFFFF"/>
      </w:rPr>
      <w:tblPr/>
      <w:tcPr>
        <w:tcBorders>
          <w:top w:val="nil"/>
          <w:left w:val="nil"/>
          <w:bottom w:val="nil"/>
          <w:right w:val="nil"/>
          <w:insideH w:color="5E7530" w:space="0" w:sz="4" w:val="single"/>
          <w:insideV w:val="nil"/>
        </w:tcBorders>
        <w:shd w:color="auto" w:fill="5E7530" w:themeFill="accent3" w:themeFillShade="99" w:val="clear"/>
      </w:tcPr>
    </w:tblStylePr>
    <w:tblStylePr w:type="lastCol">
      <w:rPr>
        <w:color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val="000000"/>
    </w:rPr>
    <w:tblPr>
      <w:tblStyleRowBandSize w:val="1"/>
      <w:tblStyleColBandSize w:val="1"/>
      <w:tblInd w:type="dxa" w:w="0"/>
      <w:tblBorders>
        <w:top w:color="9BBB59" w:space="0" w:sz="24" w:val="single"/>
        <w:left w:color="8064A2" w:space="0" w:sz="4" w:val="single"/>
        <w:bottom w:color="8064A2" w:space="0" w:sz="4" w:val="single"/>
        <w:right w:color="8064A2" w:space="0" w:sz="4" w:val="single"/>
        <w:insideH w:color="FFFFFF" w:space="0" w:sz="4" w:val="single"/>
        <w:insideV w:color="FFFFFF" w:space="0" w:sz="4"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val="single"/>
          <w:right w:val="nil"/>
          <w:insideH w:val="nil"/>
          <w:insideV w:val="nil"/>
        </w:tcBorders>
        <w:shd w:color="auto" w:fill="FFFFFF" w:themeFill="background1" w:val="clear"/>
      </w:tcPr>
    </w:tblStylePr>
    <w:tblStylePr w:type="lastRow">
      <w:rPr>
        <w:b/>
        <w:bCs/>
        <w:color w:val="FFFFFF"/>
      </w:rPr>
      <w:tblPr/>
      <w:tcPr>
        <w:tcBorders>
          <w:top w:color="FFFFFF" w:space="0" w:sz="6" w:val="single"/>
        </w:tcBorders>
        <w:shd w:color="auto" w:fill="4C3B62" w:themeFill="accent4" w:themeFillShade="99" w:val="clear"/>
      </w:tcPr>
    </w:tblStylePr>
    <w:tblStylePr w:type="firstCol">
      <w:rPr>
        <w:color w:val="FFFFFF"/>
      </w:rPr>
      <w:tblPr/>
      <w:tcPr>
        <w:tcBorders>
          <w:top w:val="nil"/>
          <w:left w:val="nil"/>
          <w:bottom w:val="nil"/>
          <w:right w:val="nil"/>
          <w:insideH w:color="4C3B62" w:space="0" w:sz="4" w:val="single"/>
          <w:insideV w:val="nil"/>
        </w:tcBorders>
        <w:shd w:color="auto" w:fill="4C3B62" w:themeFill="accent4" w:themeFillShade="99" w:val="clear"/>
      </w:tcPr>
    </w:tblStylePr>
    <w:tblStylePr w:type="lastCol">
      <w:rPr>
        <w:color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val="000000"/>
      </w:rPr>
    </w:tblStylePr>
    <w:tblStylePr w:type="nwCell">
      <w:rPr>
        <w:color w:val="000000"/>
      </w:rPr>
    </w:tblStylePr>
  </w:style>
  <w:style w:styleId="ColorfulShading-Accent5" w:type="table">
    <w:name w:val="Colorful Shading Accent 5"/>
    <w:basedOn w:val="TableNormal"/>
    <w:uiPriority w:val="71"/>
    <w:rsid w:val="00CB0664"/>
    <w:pPr>
      <w:spacing w:after="0" w:line="240" w:lineRule="auto"/>
    </w:pPr>
    <w:rPr>
      <w:color w:val="000000"/>
    </w:rPr>
    <w:tblPr>
      <w:tblStyleRowBandSize w:val="1"/>
      <w:tblStyleColBandSize w:val="1"/>
      <w:tblInd w:type="dxa" w:w="0"/>
      <w:tblBorders>
        <w:top w:color="F79646" w:space="0" w:sz="24" w:val="single"/>
        <w:left w:color="4BACC6" w:space="0" w:sz="4" w:val="single"/>
        <w:bottom w:color="4BACC6" w:space="0" w:sz="4" w:val="single"/>
        <w:right w:color="4BACC6" w:space="0" w:sz="4" w:val="single"/>
        <w:insideH w:color="FFFFFF" w:space="0" w:sz="4" w:val="single"/>
        <w:insideV w:color="FFFFFF" w:space="0" w:sz="4"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val="single"/>
          <w:right w:val="nil"/>
          <w:insideH w:val="nil"/>
          <w:insideV w:val="nil"/>
        </w:tcBorders>
        <w:shd w:color="auto" w:fill="FFFFFF" w:themeFill="background1" w:val="clear"/>
      </w:tcPr>
    </w:tblStylePr>
    <w:tblStylePr w:type="lastRow">
      <w:rPr>
        <w:b/>
        <w:bCs/>
        <w:color w:val="FFFFFF"/>
      </w:rPr>
      <w:tblPr/>
      <w:tcPr>
        <w:tcBorders>
          <w:top w:color="FFFFFF" w:space="0" w:sz="6" w:val="single"/>
        </w:tcBorders>
        <w:shd w:color="auto" w:fill="276A7C" w:themeFill="accent5" w:themeFillShade="99" w:val="clear"/>
      </w:tcPr>
    </w:tblStylePr>
    <w:tblStylePr w:type="firstCol">
      <w:rPr>
        <w:color w:val="FFFFFF"/>
      </w:rPr>
      <w:tblPr/>
      <w:tcPr>
        <w:tcBorders>
          <w:top w:val="nil"/>
          <w:left w:val="nil"/>
          <w:bottom w:val="nil"/>
          <w:right w:val="nil"/>
          <w:insideH w:color="276A7C" w:space="0" w:sz="4" w:val="single"/>
          <w:insideV w:val="nil"/>
        </w:tcBorders>
        <w:shd w:color="auto" w:fill="276A7C" w:themeFill="accent5" w:themeFillShade="99" w:val="clear"/>
      </w:tcPr>
    </w:tblStylePr>
    <w:tblStylePr w:type="lastCol">
      <w:rPr>
        <w:color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val="000000"/>
      </w:rPr>
    </w:tblStylePr>
    <w:tblStylePr w:type="nwCell">
      <w:rPr>
        <w:color w:val="000000"/>
      </w:rPr>
    </w:tblStylePr>
  </w:style>
  <w:style w:styleId="ColorfulShading-Accent6" w:type="table">
    <w:name w:val="Colorful Shading Accent 6"/>
    <w:basedOn w:val="TableNormal"/>
    <w:uiPriority w:val="71"/>
    <w:rsid w:val="00CB0664"/>
    <w:pPr>
      <w:spacing w:after="0" w:line="240" w:lineRule="auto"/>
    </w:pPr>
    <w:rPr>
      <w:color w:val="000000"/>
    </w:rPr>
    <w:tblPr>
      <w:tblStyleRowBandSize w:val="1"/>
      <w:tblStyleColBandSize w:val="1"/>
      <w:tblInd w:type="dxa" w:w="0"/>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val="single"/>
          <w:right w:val="nil"/>
          <w:insideH w:val="nil"/>
          <w:insideV w:val="nil"/>
        </w:tcBorders>
        <w:shd w:color="auto" w:fill="FFFFFF" w:themeFill="background1" w:val="clear"/>
      </w:tcPr>
    </w:tblStylePr>
    <w:tblStylePr w:type="lastRow">
      <w:rPr>
        <w:b/>
        <w:bCs/>
        <w:color w:val="FFFFFF"/>
      </w:rPr>
      <w:tblPr/>
      <w:tcPr>
        <w:tcBorders>
          <w:top w:color="FFFFFF" w:space="0" w:sz="6" w:val="single"/>
        </w:tcBorders>
        <w:shd w:color="auto" w:fill="B65608" w:themeFill="accent6" w:themeFillShade="99" w:val="clear"/>
      </w:tcPr>
    </w:tblStylePr>
    <w:tblStylePr w:type="firstCol">
      <w:rPr>
        <w:color w:val="FFFFFF"/>
      </w:rPr>
      <w:tblPr/>
      <w:tcPr>
        <w:tcBorders>
          <w:top w:val="nil"/>
          <w:left w:val="nil"/>
          <w:bottom w:val="nil"/>
          <w:right w:val="nil"/>
          <w:insideH w:color="B65608" w:space="0" w:sz="4" w:val="single"/>
          <w:insideV w:val="nil"/>
        </w:tcBorders>
        <w:shd w:color="auto" w:fill="B65608" w:themeFill="accent6" w:themeFillShade="99" w:val="clear"/>
      </w:tcPr>
    </w:tblStylePr>
    <w:tblStylePr w:type="lastCol">
      <w:rPr>
        <w:color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val="000000"/>
      </w:rPr>
    </w:tblStylePr>
    <w:tblStylePr w:type="nwCell">
      <w:rPr>
        <w:color w:val="000000"/>
      </w:rPr>
    </w:tblStylePr>
  </w:style>
  <w:style w:styleId="ColorfulList" w:type="table">
    <w:name w:val="Colorful List"/>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val="FFFFFF"/>
      </w:rPr>
      <w:tblPr/>
      <w:tcPr>
        <w:tcBorders>
          <w:bottom w:color="FFFFFF" w:space="0" w:sz="12" w:val="single"/>
        </w:tcBorders>
        <w:shd w:color="auto" w:fill="9E3A38" w:themeFill="accent2" w:themeFillShade="CC" w:val="clear"/>
      </w:tcPr>
    </w:tblStylePr>
    <w:tblStylePr w:type="lastRow">
      <w:rPr>
        <w:b/>
        <w:bCs/>
        <w:color w:val="9E3A38"/>
      </w:rPr>
      <w:tblPr/>
      <w:tcPr>
        <w:tcBorders>
          <w:top w:color="000000" w:space="0" w:sz="12"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val="FFFFFF"/>
      </w:rPr>
      <w:tblPr/>
      <w:tcPr>
        <w:tcBorders>
          <w:bottom w:color="FFFFFF" w:space="0" w:sz="12" w:val="single"/>
        </w:tcBorders>
        <w:shd w:color="auto" w:fill="9E3A38" w:themeFill="accent2" w:themeFillShade="CC" w:val="clear"/>
      </w:tcPr>
    </w:tblStylePr>
    <w:tblStylePr w:type="lastRow">
      <w:rPr>
        <w:b/>
        <w:bCs/>
        <w:color w:val="9E3A38"/>
      </w:rPr>
      <w:tblPr/>
      <w:tcPr>
        <w:tcBorders>
          <w:top w:color="000000" w:space="0" w:sz="12"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val="FFFFFF"/>
      </w:rPr>
      <w:tblPr/>
      <w:tcPr>
        <w:tcBorders>
          <w:bottom w:color="FFFFFF" w:space="0" w:sz="12" w:val="single"/>
        </w:tcBorders>
        <w:shd w:color="auto" w:fill="9E3A38" w:themeFill="accent2" w:themeFillShade="CC" w:val="clear"/>
      </w:tcPr>
    </w:tblStylePr>
    <w:tblStylePr w:type="lastRow">
      <w:rPr>
        <w:b/>
        <w:bCs/>
        <w:color w:val="9E3A38"/>
      </w:rPr>
      <w:tblPr/>
      <w:tcPr>
        <w:tcBorders>
          <w:top w:color="000000" w:space="0" w:sz="12"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val="FFFFFF"/>
      </w:rPr>
      <w:tblPr/>
      <w:tcPr>
        <w:tcBorders>
          <w:bottom w:color="FFFFFF" w:space="0" w:sz="12" w:val="single"/>
        </w:tcBorders>
        <w:shd w:color="auto" w:fill="664E82" w:themeFill="accent4" w:themeFillShade="CC" w:val="clear"/>
      </w:tcPr>
    </w:tblStylePr>
    <w:tblStylePr w:type="lastRow">
      <w:rPr>
        <w:b/>
        <w:bCs/>
        <w:color w:val="664E82"/>
      </w:rPr>
      <w:tblPr/>
      <w:tcPr>
        <w:tcBorders>
          <w:top w:color="000000" w:space="0" w:sz="12"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val="FFFFFF"/>
      </w:rPr>
      <w:tblPr/>
      <w:tcPr>
        <w:tcBorders>
          <w:bottom w:color="FFFFFF" w:space="0" w:sz="12" w:val="single"/>
        </w:tcBorders>
        <w:shd w:color="auto" w:fill="7E9C40" w:themeFill="accent3" w:themeFillShade="CC" w:val="clear"/>
      </w:tcPr>
    </w:tblStylePr>
    <w:tblStylePr w:type="lastRow">
      <w:rPr>
        <w:b/>
        <w:bCs/>
        <w:color w:val="7E9C40"/>
      </w:rPr>
      <w:tblPr/>
      <w:tcPr>
        <w:tcBorders>
          <w:top w:color="000000" w:space="0" w:sz="12"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val="FFFFFF"/>
      </w:rPr>
      <w:tblPr/>
      <w:tcPr>
        <w:tcBorders>
          <w:bottom w:color="FFFFFF" w:space="0" w:sz="12" w:val="single"/>
        </w:tcBorders>
        <w:shd w:color="auto" w:fill="F2730A" w:themeFill="accent6" w:themeFillShade="CC" w:val="clear"/>
      </w:tcPr>
    </w:tblStylePr>
    <w:tblStylePr w:type="lastRow">
      <w:rPr>
        <w:b/>
        <w:bCs/>
        <w:color w:val="F2730A"/>
      </w:rPr>
      <w:tblPr/>
      <w:tcPr>
        <w:tcBorders>
          <w:top w:color="000000" w:space="0" w:sz="12"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val="FFFFFF"/>
      </w:rPr>
      <w:tblPr/>
      <w:tcPr>
        <w:tcBorders>
          <w:bottom w:color="FFFFFF" w:space="0" w:sz="12" w:val="single"/>
        </w:tcBorders>
        <w:shd w:color="auto" w:fill="348DA5" w:themeFill="accent5" w:themeFillShade="CC" w:val="clear"/>
      </w:tcPr>
    </w:tblStylePr>
    <w:tblStylePr w:type="lastRow">
      <w:rPr>
        <w:b/>
        <w:bCs/>
        <w:color w:val="348DA5"/>
      </w:rPr>
      <w:tblPr/>
      <w:tcPr>
        <w:tcBorders>
          <w:top w:color="000000" w:space="0" w:sz="12"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val="000000"/>
      </w:rPr>
      <w:tblPr/>
      <w:tcPr>
        <w:shd w:color="auto" w:fill="999999" w:themeFill="text1" w:themeFillTint="66" w:val="clear"/>
      </w:tcPr>
    </w:tblStylePr>
    <w:tblStylePr w:type="firstCol">
      <w:rPr>
        <w:color w:val="FFFFFF"/>
      </w:rPr>
      <w:tblPr/>
      <w:tcPr>
        <w:shd w:color="auto" w:fill="000000" w:themeFill="text1" w:themeFillShade="BF" w:val="clear"/>
      </w:tcPr>
    </w:tblStylePr>
    <w:tblStylePr w:type="lastCol">
      <w:rPr>
        <w:color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val="000000"/>
      </w:rPr>
      <w:tblPr/>
      <w:tcPr>
        <w:shd w:color="auto" w:fill="B8CCE4" w:themeFill="accent1" w:themeFillTint="66" w:val="clear"/>
      </w:tcPr>
    </w:tblStylePr>
    <w:tblStylePr w:type="firstCol">
      <w:rPr>
        <w:color w:val="FFFFFF"/>
      </w:rPr>
      <w:tblPr/>
      <w:tcPr>
        <w:shd w:color="auto" w:fill="365F91" w:themeFill="accent1" w:themeFillShade="BF" w:val="clear"/>
      </w:tcPr>
    </w:tblStylePr>
    <w:tblStylePr w:type="lastCol">
      <w:rPr>
        <w:color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val="000000"/>
      </w:rPr>
      <w:tblPr/>
      <w:tcPr>
        <w:shd w:color="auto" w:fill="E5B8B7" w:themeFill="accent2" w:themeFillTint="66" w:val="clear"/>
      </w:tcPr>
    </w:tblStylePr>
    <w:tblStylePr w:type="firstCol">
      <w:rPr>
        <w:color w:val="FFFFFF"/>
      </w:rPr>
      <w:tblPr/>
      <w:tcPr>
        <w:shd w:color="auto" w:fill="943634" w:themeFill="accent2" w:themeFillShade="BF" w:val="clear"/>
      </w:tcPr>
    </w:tblStylePr>
    <w:tblStylePr w:type="lastCol">
      <w:rPr>
        <w:color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val="000000"/>
      </w:rPr>
      <w:tblPr/>
      <w:tcPr>
        <w:shd w:color="auto" w:fill="D6E3BC" w:themeFill="accent3" w:themeFillTint="66" w:val="clear"/>
      </w:tcPr>
    </w:tblStylePr>
    <w:tblStylePr w:type="firstCol">
      <w:rPr>
        <w:color w:val="FFFFFF"/>
      </w:rPr>
      <w:tblPr/>
      <w:tcPr>
        <w:shd w:color="auto" w:fill="76923C" w:themeFill="accent3" w:themeFillShade="BF" w:val="clear"/>
      </w:tcPr>
    </w:tblStylePr>
    <w:tblStylePr w:type="lastCol">
      <w:rPr>
        <w:color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val="000000"/>
      </w:rPr>
      <w:tblPr/>
      <w:tcPr>
        <w:shd w:color="auto" w:fill="CCC0D9" w:themeFill="accent4" w:themeFillTint="66" w:val="clear"/>
      </w:tcPr>
    </w:tblStylePr>
    <w:tblStylePr w:type="firstCol">
      <w:rPr>
        <w:color w:val="FFFFFF"/>
      </w:rPr>
      <w:tblPr/>
      <w:tcPr>
        <w:shd w:color="auto" w:fill="5F497A" w:themeFill="accent4" w:themeFillShade="BF" w:val="clear"/>
      </w:tcPr>
    </w:tblStylePr>
    <w:tblStylePr w:type="lastCol">
      <w:rPr>
        <w:color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val="000000"/>
      </w:rPr>
      <w:tblPr/>
      <w:tcPr>
        <w:shd w:color="auto" w:fill="B6DDE8" w:themeFill="accent5" w:themeFillTint="66" w:val="clear"/>
      </w:tcPr>
    </w:tblStylePr>
    <w:tblStylePr w:type="firstCol">
      <w:rPr>
        <w:color w:val="FFFFFF"/>
      </w:rPr>
      <w:tblPr/>
      <w:tcPr>
        <w:shd w:color="auto" w:fill="31849B" w:themeFill="accent5" w:themeFillShade="BF" w:val="clear"/>
      </w:tcPr>
    </w:tblStylePr>
    <w:tblStylePr w:type="lastCol">
      <w:rPr>
        <w:color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val="000000"/>
      </w:rPr>
      <w:tblPr/>
      <w:tcPr>
        <w:shd w:color="auto" w:fill="FBD4B4" w:themeFill="accent6" w:themeFillTint="66" w:val="clear"/>
      </w:tcPr>
    </w:tblStylePr>
    <w:tblStylePr w:type="firstCol">
      <w:rPr>
        <w:color w:val="FFFFFF"/>
      </w:rPr>
      <w:tblPr/>
      <w:tcPr>
        <w:shd w:color="auto" w:fill="E36C0A" w:themeFill="accent6" w:themeFillShade="BF" w:val="clear"/>
      </w:tcPr>
    </w:tblStylePr>
    <w:tblStylePr w:type="lastCol">
      <w:rPr>
        <w:color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Author" w:type="paragraph">
    <w:name w:val="Author"/>
    <w:pPr>
      <w:spacing w:after="120" w:line="480" w:lineRule="auto"/>
      <w:jc w:val="center"/>
    </w:pPr>
    <w:rPr>
      <w:rFonts w:ascii="Times New Roman" w:hAnsi="Times New Roman"/>
      <w:sz w:val="24"/>
    </w:rPr>
  </w:style>
  <w:style w:customStyle="1" w:styleId="Date" w:type="paragraph">
    <w:name w:val="Date"/>
    <w:pPr>
      <w:spacing w:line="480" w:lineRule="auto"/>
      <w:jc w:val="center"/>
    </w:pPr>
    <w:rPr>
      <w:rFonts w:ascii="Times New Roman" w:hAnsi="Times New Roman"/>
      <w:sz w:val="24"/>
    </w:rPr>
  </w:style>
  <w:style w:customStyle="1" w:styleId="FirstParagraph" w:type="paragraph">
    <w:name w:val="First Paragraph"/>
    <w:basedOn w:val="Normal"/>
    <w:pPr>
      <w:spacing w:line="480" w:lineRule="auto"/>
      <w:ind w:firstLine="0"/>
    </w:pPr>
    <w:rPr>
      <w:rFonts w:ascii="Times New Roman" w:hAnsi="Times New Roman"/>
      <w:sz w:val="24"/>
    </w:rPr>
  </w:style>
  <w:style w:customStyle="1" w:styleId="BlockText" w:type="paragraph">
    <w:name w:val="Block Text"/>
    <w:pPr>
      <w:spacing w:line="480" w:lineRule="auto"/>
      <w:ind w:left="720" w:right="720"/>
    </w:pPr>
    <w:rPr>
      <w:rFonts w:ascii="Times New Roman" w:hAnsi="Times New Roman"/>
      <w:sz w:val="24"/>
    </w:rPr>
  </w:style>
  <w:style w:customStyle="1" w:styleId="Bibliography" w:type="paragraph">
    <w:name w:val="Bibliography"/>
    <w:pPr>
      <w:spacing w:after="0" w:line="480" w:lineRule="auto"/>
      <w:ind w:hanging="720" w:left="720"/>
    </w:pPr>
    <w:rPr>
      <w:rFonts w:ascii="Times New Roman" w:hAnsi="Times New Roman"/>
      <w:sz w:val="24"/>
    </w:rPr>
  </w:style>
  <w:style w:customStyle="1" w:styleId="TableCaption" w:type="paragraph">
    <w:name w:val="Table Caption"/>
    <w:pPr>
      <w:spacing w:after="120" w:before="240" w:line="480" w:lineRule="auto"/>
    </w:pPr>
    <w:rPr>
      <w:rFonts w:ascii="Times New Roman" w:hAnsi="Times New Roman"/>
      <w:b/>
      <w:sz w:val="24"/>
    </w:rPr>
  </w:style>
  <w:style w:customStyle="1" w:styleId="ImageCaption" w:type="paragraph">
    <w:name w:val="Image Caption"/>
    <w:pPr>
      <w:spacing w:line="480" w:lineRule="auto"/>
    </w:pPr>
    <w:rPr>
      <w:rFonts w:ascii="Times New Roman" w:hAnsi="Times New Roman"/>
      <w:sz w:val="24"/>
    </w:rPr>
  </w:style>
  <w:style w:customStyle="1" w:styleId="FootnoteText" w:type="paragraph">
    <w:name w:val="Footnote Text"/>
    <w:pPr>
      <w:spacing w:line="480" w:lineRule="auto"/>
    </w:pPr>
    <w:rPr>
      <w:rFonts w:ascii="Times New Roman" w:hAnsi="Times New Roman"/>
      <w:sz w:val="20"/>
    </w:rPr>
  </w:style>
  <w:style w:customStyle="1" w:styleId="Compact" w:type="paragraph">
    <w:name w:val="Compact"/>
    <w:pPr>
      <w:spacing w:after="0" w:before="0" w:line="480" w:lineRule="auto"/>
    </w:pPr>
    <w:rPr>
      <w:rFonts w:ascii="Times New Roman" w:hAnsi="Times New Roman"/>
      <w:sz w:val="24"/>
    </w:rPr>
  </w:style>
  <w:style w:customStyle="1" w:styleId="DefinitionTerm" w:type="paragraph">
    <w:name w:val="Definition Term"/>
    <w:pPr>
      <w:spacing w:line="480" w:lineRule="auto"/>
    </w:pPr>
    <w:rPr>
      <w:rFonts w:ascii="Times New Roman" w:hAnsi="Times New Roman"/>
      <w:b/>
      <w:sz w:val="24"/>
    </w:rPr>
  </w:style>
  <w:style w:customStyle="1" w:styleId="Definition" w:type="paragraph">
    <w:name w:val="Definition"/>
    <w:pPr>
      <w:spacing w:line="480" w:lineRule="auto"/>
      <w:ind w:left="720"/>
    </w:pPr>
    <w:rPr>
      <w:rFonts w:ascii="Times New Roman" w:hAnsi="Times New Roman"/>
      <w:sz w:val="24"/>
    </w:rPr>
  </w:style>
  <w:style w:customStyle="1" w:styleId="SourceCode" w:type="paragraph">
    <w:name w:val="Source Code"/>
    <w:pPr>
      <w:spacing w:line="240" w:lineRule="auto"/>
    </w:pPr>
    <w:rPr>
      <w:rFonts w:ascii="Courier New" w:hAnsi="Courier New"/>
      <w:sz w:val="20"/>
    </w:rPr>
  </w:style>
  <w:style w:customStyle="1" w:styleId="VerbatimChar" w:type="character">
    <w:name w:val="Verbatim Char"/>
    <w:rPr>
      <w:rFonts w:ascii="Courier New" w:hAnsi="Courier New"/>
      <w:sz w:val="20"/>
    </w:rPr>
  </w:style>
  <w:style w:customStyle="1" w:styleId="Abstract" w:type="paragraph">
    <w:name w:val="Abstract"/>
    <w:pPr>
      <w:spacing w:line="480" w:lineRule="auto"/>
      <w:ind w:firstLine="0"/>
    </w:pPr>
    <w:rPr>
      <w:rFonts w:ascii="Times New Roman" w:hAnsi="Times New Roman"/>
      <w:sz w:val="24"/>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2025-12-02T06:24:24Z</dcterms:created>
  <dcterms:modified xsi:type="dcterms:W3CDTF">2025-12-02T06:24:24Z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