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3262" w14:textId="77777777" w:rsidR="00F778EB" w:rsidRDefault="00000000">
      <w:r>
        <w:rPr>
          <w:rFonts w:ascii="Times New Roman" w:hAnsi="Times New Roman"/>
          <w:b/>
        </w:rPr>
        <w:t>Table 1. Systematic Review Characteristics</w:t>
      </w:r>
    </w:p>
    <w:tbl>
      <w:tblPr>
        <w:tblStyle w:val="PRStables"/>
        <w:tblW w:w="0" w:type="auto"/>
        <w:tblLook w:val="04A0" w:firstRow="1" w:lastRow="0" w:firstColumn="1" w:lastColumn="0" w:noHBand="0" w:noVBand="1"/>
      </w:tblPr>
      <w:tblGrid>
        <w:gridCol w:w="1783"/>
        <w:gridCol w:w="2296"/>
        <w:gridCol w:w="1927"/>
        <w:gridCol w:w="1753"/>
        <w:gridCol w:w="1169"/>
        <w:gridCol w:w="1305"/>
        <w:gridCol w:w="1677"/>
        <w:gridCol w:w="1266"/>
      </w:tblGrid>
      <w:tr w:rsidR="006723C1" w14:paraId="7424B4E6" w14:textId="77777777" w:rsidTr="00672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tcW w:w="1783" w:type="dxa"/>
          </w:tcPr>
          <w:p w14:paraId="43A2CEB7" w14:textId="77777777" w:rsidR="00F778EB" w:rsidRDefault="00000000">
            <w:r>
              <w:rPr>
                <w:sz w:val="20"/>
              </w:rPr>
              <w:t>Review</w:t>
            </w:r>
          </w:p>
        </w:tc>
        <w:tc>
          <w:tcPr>
            <w:tcW w:w="2296" w:type="dxa"/>
          </w:tcPr>
          <w:p w14:paraId="57E118A6" w14:textId="77777777" w:rsidR="00F778EB" w:rsidRDefault="00000000">
            <w:pPr>
              <w:jc w:val="center"/>
            </w:pPr>
            <w:r>
              <w:rPr>
                <w:sz w:val="20"/>
              </w:rPr>
              <w:t>Clinical Topic</w:t>
            </w:r>
          </w:p>
        </w:tc>
        <w:tc>
          <w:tcPr>
            <w:tcW w:w="1927" w:type="dxa"/>
          </w:tcPr>
          <w:p w14:paraId="717B6DCC" w14:textId="77777777" w:rsidR="00F778EB" w:rsidRDefault="00000000">
            <w:pPr>
              <w:jc w:val="center"/>
            </w:pPr>
            <w:r>
              <w:rPr>
                <w:sz w:val="20"/>
              </w:rPr>
              <w:t>Subspecialty</w:t>
            </w:r>
          </w:p>
        </w:tc>
        <w:tc>
          <w:tcPr>
            <w:tcW w:w="1753" w:type="dxa"/>
          </w:tcPr>
          <w:p w14:paraId="27300E9E" w14:textId="77777777" w:rsidR="00F778EB" w:rsidRDefault="00000000">
            <w:pPr>
              <w:jc w:val="center"/>
            </w:pPr>
            <w:r>
              <w:rPr>
                <w:sz w:val="20"/>
              </w:rPr>
              <w:t>Database(s)</w:t>
            </w:r>
          </w:p>
        </w:tc>
        <w:tc>
          <w:tcPr>
            <w:tcW w:w="1169" w:type="dxa"/>
          </w:tcPr>
          <w:p w14:paraId="79AD7F43" w14:textId="77777777" w:rsidR="00F778EB" w:rsidRDefault="00000000">
            <w:pPr>
              <w:jc w:val="center"/>
            </w:pPr>
            <w:r>
              <w:rPr>
                <w:sz w:val="20"/>
              </w:rPr>
              <w:t>Years</w:t>
            </w:r>
          </w:p>
        </w:tc>
        <w:tc>
          <w:tcPr>
            <w:tcW w:w="1305" w:type="dxa"/>
          </w:tcPr>
          <w:p w14:paraId="0FF83291" w14:textId="77777777" w:rsidR="00F778EB" w:rsidRDefault="00000000">
            <w:pPr>
              <w:jc w:val="center"/>
            </w:pPr>
            <w:r>
              <w:rPr>
                <w:sz w:val="20"/>
              </w:rPr>
              <w:t>Papers Identified</w:t>
            </w:r>
          </w:p>
        </w:tc>
        <w:tc>
          <w:tcPr>
            <w:tcW w:w="1677" w:type="dxa"/>
          </w:tcPr>
          <w:p w14:paraId="3FB89681" w14:textId="77777777" w:rsidR="00F778EB" w:rsidRDefault="00000000">
            <w:pPr>
              <w:jc w:val="center"/>
            </w:pPr>
            <w:r>
              <w:rPr>
                <w:sz w:val="20"/>
              </w:rPr>
              <w:t>Gold Standard</w:t>
            </w:r>
          </w:p>
        </w:tc>
        <w:tc>
          <w:tcPr>
            <w:tcW w:w="1266" w:type="dxa"/>
          </w:tcPr>
          <w:p w14:paraId="2772A4B0" w14:textId="77777777" w:rsidR="00F778EB" w:rsidRDefault="00000000">
            <w:pPr>
              <w:jc w:val="center"/>
            </w:pPr>
            <w:r>
              <w:rPr>
                <w:sz w:val="20"/>
              </w:rPr>
              <w:t>Inclusion Rate (%)</w:t>
            </w:r>
          </w:p>
        </w:tc>
      </w:tr>
      <w:tr w:rsidR="006723C1" w14:paraId="3904C902" w14:textId="77777777" w:rsidTr="006723C1">
        <w:trPr>
          <w:trHeight w:val="473"/>
        </w:trPr>
        <w:tc>
          <w:tcPr>
            <w:tcW w:w="1783" w:type="dxa"/>
          </w:tcPr>
          <w:p w14:paraId="3F3CC7E7" w14:textId="77777777" w:rsidR="00F778EB" w:rsidRDefault="00000000">
            <w:r>
              <w:rPr>
                <w:rFonts w:ascii="Times New Roman" w:hAnsi="Times New Roman"/>
                <w:sz w:val="20"/>
              </w:rPr>
              <w:t>Sebastin et al. 2011</w:t>
            </w:r>
          </w:p>
        </w:tc>
        <w:tc>
          <w:tcPr>
            <w:tcW w:w="2296" w:type="dxa"/>
          </w:tcPr>
          <w:p w14:paraId="19CDB56C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Distal digit replantation</w:t>
            </w:r>
          </w:p>
        </w:tc>
        <w:tc>
          <w:tcPr>
            <w:tcW w:w="1927" w:type="dxa"/>
          </w:tcPr>
          <w:p w14:paraId="03B5B52C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Microsurgery</w:t>
            </w:r>
          </w:p>
        </w:tc>
        <w:tc>
          <w:tcPr>
            <w:tcW w:w="1753" w:type="dxa"/>
          </w:tcPr>
          <w:p w14:paraId="6CF410A7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MEDLINE</w:t>
            </w:r>
          </w:p>
        </w:tc>
        <w:tc>
          <w:tcPr>
            <w:tcW w:w="1169" w:type="dxa"/>
          </w:tcPr>
          <w:p w14:paraId="6A2FD54B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1965-2010</w:t>
            </w:r>
          </w:p>
        </w:tc>
        <w:tc>
          <w:tcPr>
            <w:tcW w:w="1305" w:type="dxa"/>
          </w:tcPr>
          <w:p w14:paraId="48169D66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530</w:t>
            </w:r>
          </w:p>
        </w:tc>
        <w:tc>
          <w:tcPr>
            <w:tcW w:w="1677" w:type="dxa"/>
          </w:tcPr>
          <w:p w14:paraId="26A13543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30/30 searchable</w:t>
            </w:r>
          </w:p>
        </w:tc>
        <w:tc>
          <w:tcPr>
            <w:tcW w:w="1266" w:type="dxa"/>
          </w:tcPr>
          <w:p w14:paraId="118511B3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5.7</w:t>
            </w:r>
          </w:p>
        </w:tc>
      </w:tr>
      <w:tr w:rsidR="006723C1" w14:paraId="13B3CF1C" w14:textId="77777777" w:rsidTr="006723C1">
        <w:trPr>
          <w:trHeight w:val="702"/>
        </w:trPr>
        <w:tc>
          <w:tcPr>
            <w:tcW w:w="1783" w:type="dxa"/>
          </w:tcPr>
          <w:p w14:paraId="07A0286C" w14:textId="77777777" w:rsidR="00F778EB" w:rsidRDefault="00000000">
            <w:r>
              <w:rPr>
                <w:rFonts w:ascii="Times New Roman" w:hAnsi="Times New Roman"/>
                <w:sz w:val="20"/>
              </w:rPr>
              <w:t>Arshad et al. 2016</w:t>
            </w:r>
          </w:p>
        </w:tc>
        <w:tc>
          <w:tcPr>
            <w:tcW w:w="2296" w:type="dxa"/>
          </w:tcPr>
          <w:p w14:paraId="263B70C8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Cell-assisted lipotransfer</w:t>
            </w:r>
          </w:p>
        </w:tc>
        <w:tc>
          <w:tcPr>
            <w:tcW w:w="1927" w:type="dxa"/>
          </w:tcPr>
          <w:p w14:paraId="51626F50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Aesthetic</w:t>
            </w:r>
          </w:p>
        </w:tc>
        <w:tc>
          <w:tcPr>
            <w:tcW w:w="1753" w:type="dxa"/>
          </w:tcPr>
          <w:p w14:paraId="485534EA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MEDLINE, Embase</w:t>
            </w:r>
          </w:p>
        </w:tc>
        <w:tc>
          <w:tcPr>
            <w:tcW w:w="1169" w:type="dxa"/>
          </w:tcPr>
          <w:p w14:paraId="07DBE195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1990-2015</w:t>
            </w:r>
          </w:p>
        </w:tc>
        <w:tc>
          <w:tcPr>
            <w:tcW w:w="1305" w:type="dxa"/>
          </w:tcPr>
          <w:p w14:paraId="1969CC2D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1247</w:t>
            </w:r>
          </w:p>
        </w:tc>
        <w:tc>
          <w:tcPr>
            <w:tcW w:w="1677" w:type="dxa"/>
          </w:tcPr>
          <w:p w14:paraId="0ACA92EC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11/11 searchable</w:t>
            </w:r>
          </w:p>
        </w:tc>
        <w:tc>
          <w:tcPr>
            <w:tcW w:w="1266" w:type="dxa"/>
          </w:tcPr>
          <w:p w14:paraId="18732088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</w:t>
            </w:r>
          </w:p>
        </w:tc>
      </w:tr>
      <w:tr w:rsidR="006723C1" w14:paraId="43130572" w14:textId="77777777" w:rsidTr="006723C1">
        <w:trPr>
          <w:trHeight w:val="948"/>
        </w:trPr>
        <w:tc>
          <w:tcPr>
            <w:tcW w:w="1783" w:type="dxa"/>
          </w:tcPr>
          <w:p w14:paraId="741D2682" w14:textId="77777777" w:rsidR="00F778EB" w:rsidRDefault="00000000">
            <w:r>
              <w:rPr>
                <w:rFonts w:ascii="Times New Roman" w:hAnsi="Times New Roman"/>
                <w:sz w:val="20"/>
              </w:rPr>
              <w:t>Ling et al. 2012</w:t>
            </w:r>
          </w:p>
        </w:tc>
        <w:tc>
          <w:tcPr>
            <w:tcW w:w="2296" w:type="dxa"/>
          </w:tcPr>
          <w:p w14:paraId="1D5B320E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Free fibula flap donor morbidity</w:t>
            </w:r>
          </w:p>
        </w:tc>
        <w:tc>
          <w:tcPr>
            <w:tcW w:w="1927" w:type="dxa"/>
          </w:tcPr>
          <w:p w14:paraId="4E9BFB0F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Reconstructive</w:t>
            </w:r>
          </w:p>
        </w:tc>
        <w:tc>
          <w:tcPr>
            <w:tcW w:w="1753" w:type="dxa"/>
          </w:tcPr>
          <w:p w14:paraId="50FB3C39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MEDLINE, Embase, CINAHL, Cochrane</w:t>
            </w:r>
          </w:p>
        </w:tc>
        <w:tc>
          <w:tcPr>
            <w:tcW w:w="1169" w:type="dxa"/>
          </w:tcPr>
          <w:p w14:paraId="51424560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1950-2011</w:t>
            </w:r>
          </w:p>
        </w:tc>
        <w:tc>
          <w:tcPr>
            <w:tcW w:w="1305" w:type="dxa"/>
          </w:tcPr>
          <w:p w14:paraId="766C5893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1789</w:t>
            </w:r>
          </w:p>
        </w:tc>
        <w:tc>
          <w:tcPr>
            <w:tcW w:w="1677" w:type="dxa"/>
          </w:tcPr>
          <w:p w14:paraId="358F0467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36/36 searchable</w:t>
            </w:r>
          </w:p>
        </w:tc>
        <w:tc>
          <w:tcPr>
            <w:tcW w:w="1266" w:type="dxa"/>
          </w:tcPr>
          <w:p w14:paraId="4AA8A6C7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</w:t>
            </w:r>
          </w:p>
        </w:tc>
      </w:tr>
      <w:tr w:rsidR="006723C1" w14:paraId="47CE9358" w14:textId="77777777" w:rsidTr="006723C1">
        <w:trPr>
          <w:trHeight w:val="931"/>
        </w:trPr>
        <w:tc>
          <w:tcPr>
            <w:tcW w:w="1783" w:type="dxa"/>
          </w:tcPr>
          <w:p w14:paraId="4BC4C87F" w14:textId="77777777" w:rsidR="00F778EB" w:rsidRDefault="00000000">
            <w:r>
              <w:rPr>
                <w:rFonts w:ascii="Times New Roman" w:hAnsi="Times New Roman"/>
                <w:sz w:val="20"/>
              </w:rPr>
              <w:t>Fattah et al. 2015</w:t>
            </w:r>
          </w:p>
        </w:tc>
        <w:tc>
          <w:tcPr>
            <w:tcW w:w="2296" w:type="dxa"/>
          </w:tcPr>
          <w:p w14:paraId="574C810F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Facial nerve grading instruments</w:t>
            </w:r>
          </w:p>
        </w:tc>
        <w:tc>
          <w:tcPr>
            <w:tcW w:w="1927" w:type="dxa"/>
          </w:tcPr>
          <w:p w14:paraId="2CFFFCE2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Validation/Outcomes</w:t>
            </w:r>
          </w:p>
        </w:tc>
        <w:tc>
          <w:tcPr>
            <w:tcW w:w="1753" w:type="dxa"/>
          </w:tcPr>
          <w:p w14:paraId="73953B2C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PubMed, NHS Evidence</w:t>
            </w:r>
          </w:p>
        </w:tc>
        <w:tc>
          <w:tcPr>
            <w:tcW w:w="1169" w:type="dxa"/>
          </w:tcPr>
          <w:p w14:paraId="3F0BF55B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1946-2013</w:t>
            </w:r>
          </w:p>
        </w:tc>
        <w:tc>
          <w:tcPr>
            <w:tcW w:w="1305" w:type="dxa"/>
          </w:tcPr>
          <w:p w14:paraId="48D06CF7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666</w:t>
            </w:r>
          </w:p>
        </w:tc>
        <w:tc>
          <w:tcPr>
            <w:tcW w:w="1677" w:type="dxa"/>
          </w:tcPr>
          <w:p w14:paraId="7EF10F73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33/38 searchable*</w:t>
            </w:r>
          </w:p>
        </w:tc>
        <w:tc>
          <w:tcPr>
            <w:tcW w:w="1266" w:type="dxa"/>
          </w:tcPr>
          <w:p w14:paraId="00EAB92D" w14:textId="77777777" w:rsidR="00F778EB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6.8</w:t>
            </w:r>
          </w:p>
        </w:tc>
      </w:tr>
    </w:tbl>
    <w:p w14:paraId="5AF75FF3" w14:textId="77777777" w:rsidR="00F778EB" w:rsidRDefault="00000000">
      <w:r>
        <w:rPr>
          <w:rFonts w:ascii="Times New Roman" w:hAnsi="Times New Roman"/>
          <w:i/>
          <w:sz w:val="18"/>
        </w:rPr>
        <w:t>*5 Fattah papers not indexed in PubMed; searchable gold standard = papers retrievable via our literature search replication.</w:t>
      </w:r>
    </w:p>
    <w:sectPr w:rsidR="00F778EB" w:rsidSect="006723C1"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420209">
    <w:abstractNumId w:val="8"/>
  </w:num>
  <w:num w:numId="2" w16cid:durableId="219293407">
    <w:abstractNumId w:val="6"/>
  </w:num>
  <w:num w:numId="3" w16cid:durableId="731778842">
    <w:abstractNumId w:val="5"/>
  </w:num>
  <w:num w:numId="4" w16cid:durableId="913975402">
    <w:abstractNumId w:val="4"/>
  </w:num>
  <w:num w:numId="5" w16cid:durableId="847712874">
    <w:abstractNumId w:val="7"/>
  </w:num>
  <w:num w:numId="6" w16cid:durableId="1170946580">
    <w:abstractNumId w:val="3"/>
  </w:num>
  <w:num w:numId="7" w16cid:durableId="270626822">
    <w:abstractNumId w:val="2"/>
  </w:num>
  <w:num w:numId="8" w16cid:durableId="1303851916">
    <w:abstractNumId w:val="1"/>
  </w:num>
  <w:num w:numId="9" w16cid:durableId="145289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3C1"/>
    <w:rsid w:val="00AA1D8D"/>
    <w:rsid w:val="00B47730"/>
    <w:rsid w:val="00CB0664"/>
    <w:rsid w:val="00EB1359"/>
    <w:rsid w:val="00F778EB"/>
    <w:rsid w:val="00FC693F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955B3"/>
  <w14:defaultImageDpi w14:val="300"/>
  <w15:docId w15:val="{E02B2ABB-9F0D-1848-9632-83B733B6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RStables">
    <w:name w:val="PRS_tables"/>
    <w:basedOn w:val="TableNormal"/>
    <w:uiPriority w:val="99"/>
    <w:rsid w:val="006723C1"/>
    <w:pPr>
      <w:spacing w:after="0" w:line="240" w:lineRule="auto"/>
    </w:pPr>
    <w:tblPr>
      <w:tblBorders>
        <w:bottom w:val="single" w:sz="4" w:space="0" w:color="auto"/>
      </w:tblBorders>
    </w:tblPr>
    <w:tblStylePr w:type="firstRow">
      <w:rPr>
        <w:rFonts w:ascii="Times New Roman" w:hAnsi="Times New Roman"/>
        <w:b/>
      </w:rPr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table" w:customStyle="1" w:styleId="academic">
    <w:name w:val="academic"/>
    <w:basedOn w:val="TableNormal"/>
    <w:uiPriority w:val="99"/>
    <w:rsid w:val="00EB1359"/>
    <w:pPr>
      <w:spacing w:after="0" w:line="240" w:lineRule="auto"/>
    </w:pPr>
    <w:tblPr>
      <w:tblBorders>
        <w:bottom w:val="single" w:sz="4" w:space="0" w:color="auto"/>
      </w:tblBorders>
    </w:tblPr>
    <w:tblStylePr w:type="firstRow">
      <w:rPr>
        <w:rFonts w:ascii="Times New Roman" w:hAnsi="Times New Roman"/>
        <w:b/>
      </w:rPr>
      <w:tblPr/>
      <w:tcPr>
        <w:tcBorders>
          <w:top w:val="single" w:sz="4" w:space="0" w:color="auto"/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Moreen Njoroge</cp:lastModifiedBy>
  <cp:revision>3</cp:revision>
  <dcterms:created xsi:type="dcterms:W3CDTF">2013-12-23T23:15:00Z</dcterms:created>
  <dcterms:modified xsi:type="dcterms:W3CDTF">2025-11-28T04:25:00Z</dcterms:modified>
  <cp:category/>
</cp:coreProperties>
</file>