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3. False Negative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Review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PMID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Year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Reason for AI Exclusion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Criterion Failed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Classification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Ling et al. 2012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2734406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Vascularized bone graft for treatment of infected delayed union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Minimal quantitative data; foundational methodology paper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Quantitative outcome data requirement (N≥10 with denominators)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Acceptable miss - correctly applied stated criteria</w:t>
            </w:r>
          </w:p>
        </w:tc>
      </w:tr>
    </w:tbl>
    <w:p>
      <w:r>
        <w:rPr>
          <w:rFonts w:ascii="Times New Roman" w:hAnsi="Times New Roman"/>
          <w:i/>
          <w:sz w:val="18"/>
        </w:rPr>
        <w:t>All false negatives correctly failed stated quantitative criteria from original review Methods sections.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