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Supplementary Table S1. Inclusion and Exclusion Criteria for Validated Systematic Reviews</w:t>
      </w:r>
    </w:p>
    <w:p>
      <w:r>
        <w:rPr>
          <w:i/>
          <w:sz w:val="20"/>
        </w:rPr>
        <w:t>Expert-defined eligibility criteria extracted verbatim from each original systematic review's Methods section. These criteria were translated into AI screening prompts without modification, ensuring the AI applied the same inclusion/exclusion rules as the original human reviewers.</w:t>
      </w:r>
    </w:p>
    <w:p/>
    <w:p>
      <w:r>
        <w:rPr>
          <w:b/>
          <w:sz w:val="22"/>
        </w:rPr>
        <w:t>Sebastin et al. 2011 — Distal Digit Replantation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  <w:sz w:val="20"/>
              </w:rPr>
              <w:t>Inclusion Criteria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  <w:sz w:val="20"/>
              </w:rPr>
              <w:t>Exclusion Criteria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• Primary data</w:t>
            </w:r>
          </w:p>
          <w:p>
            <w:r>
              <w:rPr>
                <w:sz w:val="18"/>
              </w:rPr>
              <w:t>• English language publication</w:t>
            </w:r>
          </w:p>
          <w:p>
            <w:r>
              <w:rPr>
                <w:sz w:val="18"/>
              </w:rPr>
              <w:t>• Single/multiple distal replantations (through or distal to distal interphalangeal joint)</w:t>
            </w:r>
          </w:p>
          <w:p>
            <w:r>
              <w:rPr>
                <w:sz w:val="18"/>
              </w:rPr>
              <w:t>• Extractable survival data for distal replantations</w:t>
            </w:r>
          </w:p>
          <w:p>
            <w:r>
              <w:rPr>
                <w:sz w:val="18"/>
              </w:rPr>
              <w:t>• Report ≥5 single or multiple distal replantations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Not on humans</w:t>
            </w:r>
          </w:p>
          <w:p>
            <w:r>
              <w:rPr>
                <w:sz w:val="18"/>
              </w:rPr>
              <w:t>• Review or case report articles</w:t>
            </w:r>
          </w:p>
          <w:p>
            <w:r>
              <w:rPr>
                <w:sz w:val="18"/>
              </w:rPr>
              <w:t>• Incomplete amputations or revascularization</w:t>
            </w:r>
          </w:p>
          <w:p>
            <w:r>
              <w:rPr>
                <w:sz w:val="18"/>
              </w:rPr>
              <w:t>• Unclear injury diagnosis (total vs incomplete amputation)</w:t>
            </w:r>
          </w:p>
          <w:p>
            <w:r>
              <w:rPr>
                <w:sz w:val="18"/>
              </w:rPr>
              <w:t>• Unclear procedure (unable to separate replantation vs revascularization outcomes)</w:t>
            </w:r>
          </w:p>
          <w:p>
            <w:r>
              <w:rPr>
                <w:sz w:val="18"/>
              </w:rPr>
              <w:t>• Report only successful cases</w:t>
            </w:r>
          </w:p>
        </w:tc>
      </w:tr>
    </w:tbl>
    <w:p/>
    <w:p>
      <w:r>
        <w:rPr>
          <w:b/>
          <w:sz w:val="22"/>
        </w:rPr>
        <w:t>Ling et al. 2012 — Free Fibula Flap Donor-Site Morbidity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  <w:sz w:val="20"/>
              </w:rPr>
              <w:t>Inclusion Criteria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  <w:sz w:val="20"/>
              </w:rPr>
              <w:t>Exclusion Criteria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• Subjects who had undergone free fibula flap surgery</w:t>
            </w:r>
          </w:p>
          <w:p>
            <w:r>
              <w:rPr>
                <w:sz w:val="18"/>
              </w:rPr>
              <w:t>• Studies with or without intervention to prevent donor-site morbidities</w:t>
            </w:r>
          </w:p>
          <w:p>
            <w:r>
              <w:rPr>
                <w:sz w:val="18"/>
              </w:rPr>
              <w:t>• Studies published in English or Chinese</w:t>
            </w:r>
          </w:p>
          <w:p>
            <w:r>
              <w:rPr>
                <w:sz w:val="18"/>
              </w:rPr>
              <w:t>• Studies that provided data on donor-site morbidity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Not on humans</w:t>
            </w:r>
          </w:p>
          <w:p>
            <w:r>
              <w:rPr>
                <w:sz w:val="18"/>
              </w:rPr>
              <w:t>• Single case reports</w:t>
            </w:r>
          </w:p>
          <w:p>
            <w:r>
              <w:rPr>
                <w:sz w:val="18"/>
              </w:rPr>
              <w:t>• Languages other than English and Chinese</w:t>
            </w:r>
          </w:p>
          <w:p>
            <w:r>
              <w:rPr>
                <w:sz w:val="18"/>
              </w:rPr>
              <w:t>• Studies with fewer than 10 patients</w:t>
            </w:r>
          </w:p>
        </w:tc>
      </w:tr>
    </w:tbl>
    <w:p/>
    <w:p>
      <w:r>
        <w:rPr>
          <w:b/>
          <w:sz w:val="22"/>
        </w:rPr>
        <w:t>Fattah et al. 2015 — Facial Nerve Grading Instruments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  <w:sz w:val="20"/>
              </w:rPr>
              <w:t>Inclusion Criteria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  <w:sz w:val="20"/>
              </w:rPr>
              <w:t>Exclusion Criteria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• Description of an original facial nerve grading system</w:t>
            </w:r>
          </w:p>
          <w:p>
            <w:r>
              <w:rPr>
                <w:sz w:val="18"/>
              </w:rPr>
              <w:t>• Studies published in English</w:t>
            </w:r>
          </w:p>
          <w:p>
            <w:r>
              <w:rPr>
                <w:sz w:val="18"/>
              </w:rPr>
              <w:t>• Evaluation of a new/existing facial nerve grading system</w:t>
            </w:r>
          </w:p>
          <w:p>
            <w:r>
              <w:rPr>
                <w:sz w:val="18"/>
              </w:rPr>
              <w:t>• Comparison of facial nerve grading systems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Systems requiring computer/specialist equipment (unless comparison/validation study)</w:t>
            </w:r>
          </w:p>
          <w:p>
            <w:r>
              <w:rPr>
                <w:sz w:val="18"/>
              </w:rPr>
              <w:t>• Focus on patient-reported outcome measures only</w:t>
            </w:r>
          </w:p>
          <w:p>
            <w:r>
              <w:rPr>
                <w:sz w:val="18"/>
              </w:rPr>
              <w:t>• Qualitative reviews</w:t>
            </w:r>
          </w:p>
          <w:p>
            <w:r>
              <w:rPr>
                <w:sz w:val="18"/>
              </w:rPr>
              <w:t>• Abstracts with no subsequent full publication</w:t>
            </w:r>
          </w:p>
        </w:tc>
      </w:tr>
    </w:tbl>
    <w:p/>
    <w:p>
      <w:r>
        <w:rPr>
          <w:b/>
          <w:sz w:val="22"/>
        </w:rPr>
        <w:t>Arshad et al. 2016 — Cell-Assisted Lipotransfer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8E8"/>
          </w:tcPr>
          <w:p>
            <w:r>
              <w:rPr>
                <w:b/>
                <w:sz w:val="20"/>
              </w:rPr>
              <w:t>Inclusion Criteria</w:t>
            </w:r>
          </w:p>
        </w:tc>
        <w:tc>
          <w:tcPr>
            <w:tcW w:type="dxa" w:w="4320"/>
            <w:shd w:fill="E8E8E8"/>
          </w:tcPr>
          <w:p>
            <w:r>
              <w:rPr>
                <w:b/>
                <w:sz w:val="20"/>
              </w:rPr>
              <w:t>Exclusion Criteria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• Study about cell-assisted lipotransfer (CAL) for breast augmentation or reconstruction</w:t>
            </w:r>
          </w:p>
          <w:p>
            <w:r>
              <w:rPr>
                <w:sz w:val="18"/>
              </w:rPr>
              <w:t>• Female patients who underwent breast surgery utilizing adipose-derived stem cells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• Not on humans</w:t>
            </w:r>
          </w:p>
          <w:p>
            <w:r>
              <w:rPr>
                <w:sz w:val="18"/>
              </w:rPr>
              <w:t>• Not related to breast augmentation or reconstruction</w:t>
            </w:r>
          </w:p>
          <w:p>
            <w:r>
              <w:rPr>
                <w:sz w:val="18"/>
              </w:rPr>
              <w:t>• Not about use of stem cells</w:t>
            </w:r>
          </w:p>
          <w:p>
            <w:r>
              <w:rPr>
                <w:sz w:val="18"/>
              </w:rPr>
              <w:t>• Not clinical (e.g., basic science only)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