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Supplementary Table S2. Example AI Screening Decisions with Reasoning</w:t>
      </w:r>
    </w:p>
    <w:p>
      <w:r>
        <w:rPr>
          <w:i/>
          <w:sz w:val="20"/>
        </w:rPr>
        <w:t>Representative examples of AI screening decisions demonstrating the two-stage workflow. Stage 1 (GPT-4.1-mini) performs initial screening; Stage 2 (GPT-4.1) validates with enhanced context. Each decision includes explicit per-criterion reasoning and supporting quotes from the abstract.</w:t>
      </w:r>
    </w:p>
    <w:p/>
    <w:p>
      <w:r>
        <w:rPr>
          <w:b/>
          <w:sz w:val="22"/>
        </w:rPr>
        <w:t>Long-term evaluation of donor site morbidity after free fibula transfer</w:t>
      </w:r>
    </w:p>
    <w:p>
      <w:r>
        <w:rPr>
          <w:sz w:val="18"/>
        </w:rPr>
        <w:t xml:space="preserve">PMID: 19716215 | Review: Ling et al. 2012 | Gold Standard: INCLUDED | Outcome: </w:t>
      </w:r>
      <w:r>
        <w:rPr>
          <w:b/>
          <w:sz w:val="18"/>
        </w:rPr>
        <w:t>True Positive</w:t>
      </w:r>
    </w:p>
    <w:p>
      <w:r>
        <w:rPr>
          <w:sz w:val="18"/>
        </w:rPr>
        <w:t xml:space="preserve">Abstract excerpt: </w:t>
      </w:r>
      <w:r>
        <w:rPr>
          <w:i/>
          <w:sz w:val="18"/>
        </w:rPr>
        <w:t>"Our aim was to evaluate the long-term morbidity at the donor site after harvest of free fibular flaps. From a total of 165 patients, we were able to examine 62 donor regions in 57 patients 2-167 months after fibular transfer. Thirteen donor regions displayed prolonged wound healing. The median Kitao..."</w:t>
      </w:r>
    </w:p>
    <w:tbl>
      <w:tblPr>
        <w:tblStyle w:val="TableGrid"/>
        <w:tblW w:type="auto" w:w="0"/>
        <w:tblLook w:firstColumn="1" w:firstRow="1" w:lastColumn="0" w:lastRow="0" w:noHBand="0" w:noVBand="1" w:val="04A0"/>
      </w:tblPr>
      <w:tblGrid>
        <w:gridCol w:w="4320"/>
        <w:gridCol w:w="4320"/>
      </w:tblGrid>
      <w:tr>
        <w:tc>
          <w:tcPr>
            <w:tcW w:type="dxa" w:w="4320"/>
            <w:shd w:fill="E8E8E8"/>
          </w:tcPr>
          <w:p>
            <w:r>
              <w:rPr>
                <w:b/>
                <w:sz w:val="18"/>
              </w:rPr>
              <w:t>Stage 1 (GPT-4.1-mini)</w:t>
            </w:r>
          </w:p>
        </w:tc>
        <w:tc>
          <w:tcPr>
            <w:tcW w:type="dxa" w:w="4320"/>
            <w:shd w:fill="E8E8E8"/>
          </w:tcPr>
          <w:p>
            <w:r>
              <w:rPr>
                <w:b/>
                <w:sz w:val="18"/>
              </w:rPr>
              <w:t>Stage 2 (GPT-4.1)</w:t>
            </w:r>
          </w:p>
        </w:tc>
      </w:tr>
      <w:tr>
        <w:tc>
          <w:tcPr>
            <w:tcW w:type="dxa" w:w="4320"/>
          </w:tcPr>
          <w:p>
            <w:r>
              <w:rPr>
                <w:sz w:val="16"/>
              </w:rPr>
              <w:t>Decision: INCLUDE (conf: 0.92)</w:t>
            </w:r>
          </w:p>
        </w:tc>
        <w:tc>
          <w:tcPr>
            <w:tcW w:type="dxa" w:w="4320"/>
          </w:tcPr>
          <w:p>
            <w:r>
              <w:rPr>
                <w:sz w:val="16"/>
              </w:rPr>
              <w:t>Decision: INCLUDE (conf: 0.97)</w:t>
            </w:r>
          </w:p>
        </w:tc>
      </w:tr>
      <w:tr>
        <w:tc>
          <w:tcPr>
            <w:tcW w:type="dxa" w:w="4320"/>
          </w:tcPr>
          <w:p>
            <w:r>
              <w:rPr>
                <w:sz w:val="16"/>
              </w:rPr>
              <w:t>Reasoning: Meets all inclusion criteria: primary data on free fibula flap surgery with donor-site morbidity outcomes in &gt;10 patients.</w:t>
            </w:r>
          </w:p>
        </w:tc>
        <w:tc>
          <w:tcPr>
            <w:tcW w:type="dxa" w:w="4320"/>
          </w:tcPr>
          <w:p>
            <w:r>
              <w:rPr>
                <w:sz w:val="16"/>
              </w:rPr>
              <w:t>Reasoning: Confirmed. Study reports quantitative donor-site morbidity data (wound healing, Kitaoka scores, sensory deficits) in 57 patients after free fibula transfer.</w:t>
              <w:br/>
              <w:br/>
              <w:t>Criteria Check:</w:t>
              <w:br/>
              <w:t>• Primary Data: Yes - prospective evaluation</w:t>
              <w:br/>
              <w:t>• Free Fibula Flap: Yes - 'free fibular flaps'</w:t>
              <w:br/>
              <w:t>• Donor Site Morbidity: Yes - wound healing, functional scores</w:t>
              <w:br/>
              <w:t>• Sample Size ≥10: Yes - 57 patients</w:t>
              <w:br/>
            </w:r>
          </w:p>
        </w:tc>
      </w:tr>
    </w:tbl>
    <w:p/>
    <w:p>
      <w:r>
        <w:rPr>
          <w:b/>
          <w:sz w:val="22"/>
        </w:rPr>
        <w:t>Gait analysis of donor leg after free fibular flap transfer</w:t>
      </w:r>
    </w:p>
    <w:p>
      <w:r>
        <w:rPr>
          <w:sz w:val="18"/>
        </w:rPr>
        <w:t xml:space="preserve">PMID: 18499401 | Review: Ling et al. 2012 | Gold Standard: INCLUDED | Outcome: </w:t>
      </w:r>
      <w:r>
        <w:rPr>
          <w:b/>
          <w:sz w:val="18"/>
        </w:rPr>
        <w:t>True Positive (Stage 2 correction)</w:t>
      </w:r>
    </w:p>
    <w:p>
      <w:r>
        <w:rPr>
          <w:sz w:val="18"/>
        </w:rPr>
        <w:t xml:space="preserve">Abstract excerpt: </w:t>
      </w:r>
      <w:r>
        <w:rPr>
          <w:i/>
          <w:sz w:val="18"/>
        </w:rPr>
        <w:t>"The purpose of this study was to demonstrate gait disturbance after fibular flap transfer using preoperative and postoperative gait analysis. The gait performance of 20 patients was assessed. One month postoperatively, a significant decrease in the time-distance parameter was seen. Peak plantarflexi..."</w:t>
      </w:r>
    </w:p>
    <w:tbl>
      <w:tblPr>
        <w:tblStyle w:val="TableGrid"/>
        <w:tblW w:type="auto" w:w="0"/>
        <w:tblLook w:firstColumn="1" w:firstRow="1" w:lastColumn="0" w:lastRow="0" w:noHBand="0" w:noVBand="1" w:val="04A0"/>
      </w:tblPr>
      <w:tblGrid>
        <w:gridCol w:w="4320"/>
        <w:gridCol w:w="4320"/>
      </w:tblGrid>
      <w:tr>
        <w:tc>
          <w:tcPr>
            <w:tcW w:type="dxa" w:w="4320"/>
            <w:shd w:fill="E8E8E8"/>
          </w:tcPr>
          <w:p>
            <w:r>
              <w:rPr>
                <w:b/>
                <w:sz w:val="18"/>
              </w:rPr>
              <w:t>Stage 1 (GPT-4.1-mini)</w:t>
            </w:r>
          </w:p>
        </w:tc>
        <w:tc>
          <w:tcPr>
            <w:tcW w:type="dxa" w:w="4320"/>
            <w:shd w:fill="E8E8E8"/>
          </w:tcPr>
          <w:p>
            <w:r>
              <w:rPr>
                <w:b/>
                <w:sz w:val="18"/>
              </w:rPr>
              <w:t>Stage 2 (GPT-4.1)</w:t>
            </w:r>
          </w:p>
        </w:tc>
      </w:tr>
      <w:tr>
        <w:tc>
          <w:tcPr>
            <w:tcW w:type="dxa" w:w="4320"/>
          </w:tcPr>
          <w:p>
            <w:r>
              <w:rPr>
                <w:sz w:val="16"/>
              </w:rPr>
              <w:t>Decision: EXCLUDE (conf: 0.65)</w:t>
            </w:r>
          </w:p>
        </w:tc>
        <w:tc>
          <w:tcPr>
            <w:tcW w:type="dxa" w:w="4320"/>
          </w:tcPr>
          <w:p>
            <w:r>
              <w:rPr>
                <w:sz w:val="16"/>
              </w:rPr>
              <w:t>Decision: INCLUDE (conf: 0.85)</w:t>
            </w:r>
          </w:p>
        </w:tc>
      </w:tr>
      <w:tr>
        <w:tc>
          <w:tcPr>
            <w:tcW w:type="dxa" w:w="4320"/>
          </w:tcPr>
          <w:p>
            <w:r>
              <w:rPr>
                <w:sz w:val="16"/>
              </w:rPr>
              <w:t>Reasoning: Uncertain if gait analysis constitutes 'donor-site morbidity' as defined in criteria.</w:t>
            </w:r>
          </w:p>
        </w:tc>
        <w:tc>
          <w:tcPr>
            <w:tcW w:type="dxa" w:w="4320"/>
          </w:tcPr>
          <w:p>
            <w:r>
              <w:rPr>
                <w:sz w:val="16"/>
              </w:rPr>
              <w:t>Reasoning: Stage 1 error corrected. Gait disturbance IS a form of donor-site morbidity. Study provides quantitative functional outcomes in 20 patients.</w:t>
              <w:br/>
              <w:br/>
              <w:t>Criteria Check:</w:t>
              <w:br/>
              <w:t>• Primary Data: Yes - gait analysis data</w:t>
              <w:br/>
              <w:t>• Free Fibula Flap: Yes - 'fibular flap transfer'</w:t>
              <w:br/>
              <w:t>• Donor Site Morbidity: Yes - gait disturbance is functional morbidity</w:t>
              <w:br/>
              <w:t>• Sample Size ≥10: Yes - 20 patients</w:t>
              <w:br/>
            </w:r>
          </w:p>
        </w:tc>
      </w:tr>
    </w:tbl>
    <w:p/>
    <w:p>
      <w:r>
        <w:rPr>
          <w:b/>
          <w:sz w:val="22"/>
        </w:rPr>
        <w:t>Bipedicled vascularized fibula flap for proximal humerus defect in a child</w:t>
      </w:r>
    </w:p>
    <w:p>
      <w:r>
        <w:rPr>
          <w:sz w:val="18"/>
        </w:rPr>
        <w:t xml:space="preserve">PMID: 11176616 | Review: Ling et al. 2012 | Gold Standard: EXCLUDED | Outcome: </w:t>
      </w:r>
      <w:r>
        <w:rPr>
          <w:b/>
          <w:sz w:val="18"/>
        </w:rPr>
        <w:t>True Negative</w:t>
      </w:r>
    </w:p>
    <w:p>
      <w:r>
        <w:rPr>
          <w:sz w:val="18"/>
        </w:rPr>
        <w:t xml:space="preserve">Abstract excerpt: </w:t>
      </w:r>
      <w:r>
        <w:rPr>
          <w:i/>
          <w:sz w:val="18"/>
        </w:rPr>
        <w:t>"We report a case of subtotal resection of the humerus due to osteosarcoma in a child that was reconstructed by this method. The child recovered well and showed good progress in rehabilitation...."</w:t>
      </w:r>
    </w:p>
    <w:tbl>
      <w:tblPr>
        <w:tblStyle w:val="TableGrid"/>
        <w:tblW w:type="auto" w:w="0"/>
        <w:tblLook w:firstColumn="1" w:firstRow="1" w:lastColumn="0" w:lastRow="0" w:noHBand="0" w:noVBand="1" w:val="04A0"/>
      </w:tblPr>
      <w:tblGrid>
        <w:gridCol w:w="4320"/>
        <w:gridCol w:w="4320"/>
      </w:tblGrid>
      <w:tr>
        <w:tc>
          <w:tcPr>
            <w:tcW w:type="dxa" w:w="4320"/>
            <w:shd w:fill="E8E8E8"/>
          </w:tcPr>
          <w:p>
            <w:r>
              <w:rPr>
                <w:b/>
                <w:sz w:val="18"/>
              </w:rPr>
              <w:t>Stage 1 (GPT-4.1-mini)</w:t>
            </w:r>
          </w:p>
        </w:tc>
        <w:tc>
          <w:tcPr>
            <w:tcW w:type="dxa" w:w="4320"/>
            <w:shd w:fill="E8E8E8"/>
          </w:tcPr>
          <w:p>
            <w:r>
              <w:rPr>
                <w:b/>
                <w:sz w:val="18"/>
              </w:rPr>
              <w:t>Stage 2 (GPT-4.1)</w:t>
            </w:r>
          </w:p>
        </w:tc>
      </w:tr>
      <w:tr>
        <w:tc>
          <w:tcPr>
            <w:tcW w:type="dxa" w:w="4320"/>
          </w:tcPr>
          <w:p>
            <w:r>
              <w:rPr>
                <w:sz w:val="16"/>
              </w:rPr>
              <w:t>Decision: EXCLUDE (conf: 0.95)</w:t>
            </w:r>
          </w:p>
        </w:tc>
        <w:tc>
          <w:tcPr>
            <w:tcW w:type="dxa" w:w="4320"/>
          </w:tcPr>
          <w:p>
            <w:r>
              <w:rPr>
                <w:sz w:val="16"/>
              </w:rPr>
              <w:t>Decision: EXCLUDE (conf: 0.98)</w:t>
            </w:r>
          </w:p>
        </w:tc>
      </w:tr>
      <w:tr>
        <w:tc>
          <w:tcPr>
            <w:tcW w:type="dxa" w:w="4320"/>
          </w:tcPr>
          <w:p>
            <w:r>
              <w:rPr>
                <w:sz w:val="16"/>
              </w:rPr>
              <w:t>Reasoning: Single case report - violates exclusion criterion.</w:t>
            </w:r>
          </w:p>
        </w:tc>
        <w:tc>
          <w:tcPr>
            <w:tcW w:type="dxa" w:w="4320"/>
          </w:tcPr>
          <w:p>
            <w:r>
              <w:rPr>
                <w:sz w:val="16"/>
              </w:rPr>
              <w:t>Reasoning: Confirmed exclusion. Single case report with no systematic donor-site morbidity data.</w:t>
              <w:br/>
              <w:br/>
              <w:t>Criteria Check:</w:t>
              <w:br/>
              <w:t>• Primary Data: No - case report</w:t>
              <w:br/>
              <w:t>• Free Fibula Flap: Yes - vascularized fibula</w:t>
              <w:br/>
              <w:t>• Donor Site Morbidity: No - not systematically reported</w:t>
              <w:br/>
              <w:t>• Sample Size ≥10: No - single case</w:t>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