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Supplementary Table S3. Large Language Model Specifications</w:t>
      </w:r>
    </w:p>
    <w:p>
      <w:r>
        <w:rPr>
          <w:i/>
          <w:sz w:val="20"/>
        </w:rPr>
        <w:t>Technical specifications for the GPT-4.1 model family used in the two-stage screening workflow. All models accessed via OpenAI API with temperature=0.0 for deterministic outputs.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18"/>
              </w:rPr>
              <w:t>Context Window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18"/>
              </w:rPr>
              <w:t>Cost per 1M tokens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18"/>
              </w:rPr>
              <w:t>Known Limitations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GPT-4.1-mini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 1 (Fast Screening)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128K tokens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$0.40 input / $1.60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May miss nuanced eligibility; lower confidence on ambiguous abstracts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 2 (Validation)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1M tokens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$2.00 input / $8.00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 latency; cost constraints for large-scale deployment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Configuration Assistant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1M tokens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$2.00 input / $8.00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expert validation of generated criteria</w:t>
            </w:r>
          </w:p>
        </w:tc>
      </w:tr>
    </w:tbl>
    <w:p/>
    <w:p>
      <w:r>
        <w:rPr>
          <w:i/>
          <w:sz w:val="18"/>
        </w:rPr>
        <w:t>Notes: Model version gpt-4.1-2024-08-06. Costs as of November 2024. Context window refers to maximum input tokens. Temperature=0.0 ensures reproducible outputs across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