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When the Evaluator Decides the Result: Measuring Faithfulness in Retrieval-Augmented Generation</w:t>
      </w:r>
    </w:p>
    <w:p>
      <w:pPr>
        <w:spacing w:after="40" w:before="0" w:line="276"/>
        <w:jc w:val="center"/>
      </w:pPr>
      <w:r>
        <w:rPr>
          <w:rFonts w:ascii="Times New Roman" w:cs="Times New Roman" w:eastAsia="Times New Roman" w:hAnsi="Times New Roman"/>
          <w:sz w:val="22"/>
          <w:szCs w:val="22"/>
        </w:rPr>
        <w:t xml:space="preserve">Shakhriyorbek Boltabaev</w:t>
      </w:r>
    </w:p>
    <w:p>
      <w:pPr>
        <w:spacing w:after="40" w:before="0" w:line="276"/>
        <w:jc w:val="center"/>
      </w:pPr>
      <w:r>
        <w:rPr>
          <w:rFonts w:ascii="Times New Roman" w:cs="Times New Roman" w:eastAsia="Times New Roman" w:hAnsi="Times New Roman"/>
          <w:sz w:val="20"/>
          <w:szCs w:val="20"/>
        </w:rPr>
        <w:t xml:space="preserve">Institute of Informatics, University of Szeged</w:t>
      </w:r>
    </w:p>
    <w:p>
      <w:pPr>
        <w:spacing w:after="300" w:before="0" w:line="276"/>
        <w:jc w:val="center"/>
      </w:pPr>
      <w:r>
        <w:rPr>
          <w:rFonts w:ascii="Times New Roman" w:cs="Times New Roman" w:eastAsia="Times New Roman" w:hAnsi="Times New Roman"/>
          <w:sz w:val="20"/>
          <w:szCs w:val="20"/>
        </w:rPr>
        <w:t xml:space="preserve">Szeged, Hungary</w:t>
      </w:r>
    </w:p>
    <w:p>
      <w:pPr>
        <w:pStyle w:val="Heading1"/>
        <w:spacing w:after="120" w:before="260"/>
      </w:pPr>
      <w:r>
        <w:rPr>
          <w:rFonts w:ascii="Times New Roman" w:cs="Times New Roman" w:eastAsia="Times New Roman" w:hAnsi="Times New Roman"/>
          <w:b/>
          <w:bCs/>
          <w:sz w:val="26"/>
          <w:szCs w:val="26"/>
        </w:rPr>
        <w:t xml:space="preserve">Abstract</w:t>
      </w:r>
    </w:p>
    <w:p>
      <w:pPr>
        <w:spacing w:after="240" w:before="0" w:line="276"/>
      </w:pPr>
      <w:r>
        <w:rPr>
          <w:rFonts w:ascii="Times New Roman" w:cs="Times New Roman" w:eastAsia="Times New Roman" w:hAnsi="Times New Roman"/>
          <w:sz w:val="20"/>
          <w:szCs w:val="20"/>
        </w:rPr>
        <w:t xml:space="preserve">Faithfulness in retrieval-augmented generation is commonly measured by asking a natural language inference model whether the generated answer is entailed by the retrieved context, aggregated by taking the maximum over retrieved chunks. We hold a generation grid fixed — four embedding models, two question answering datasets, two generators, 16,000 generated answers — and vary only the faithfulness evaluator. Across four dataset-generator cells, the conclusion about whether embedding choice affects faithfulness changes in two of them depending on which evaluator is used. We trace this to measured properties of the evaluators rather than to the retrieval systems. Replacing a grounded value in an answer with one absent from the context — the failure a document question answering system most needs to detect — moves the entailment score by 0.038 on one generator and 0.456 on the other, and is caught by a fixed threshold 4% of the time against 58%. The gap is explained by answer structure: the score falls monotonically as the number of assertions in an answer grows, and the two generators average 2.99 and 1.18 assertions per answer. Claim-level aggregation and an alternative evaluator each recover part of the sensitivity but neither removes the effect. We also show that including refusals in the evaluation population produces an apparent relationship between retrieval quality and faithfulness that disappears when they are excluded. We report what these measurement choices do to a concrete equivalence claim, and give the conditions under which such a claim can be stated.</w:t>
      </w:r>
    </w:p>
    <w:p>
      <w:pPr>
        <w:pStyle w:val="Heading1"/>
        <w:spacing w:after="120" w:before="260"/>
      </w:pPr>
      <w:r>
        <w:rPr>
          <w:rFonts w:ascii="Times New Roman" w:cs="Times New Roman" w:eastAsia="Times New Roman" w:hAnsi="Times New Roman"/>
          <w:b/>
          <w:bCs/>
          <w:sz w:val="26"/>
          <w:szCs w:val="26"/>
        </w:rPr>
        <w:t xml:space="preserve">I. Introduction</w:t>
      </w:r>
    </w:p>
    <w:p>
      <w:pPr>
        <w:spacing w:after="120" w:before="0" w:line="276"/>
      </w:pPr>
      <w:r>
        <w:rPr>
          <w:rFonts w:ascii="Times New Roman" w:cs="Times New Roman" w:eastAsia="Times New Roman" w:hAnsi="Times New Roman"/>
          <w:sz w:val="20"/>
          <w:szCs w:val="20"/>
        </w:rPr>
        <w:t xml:space="preserve">A document question answering system is given a set of uploaded files and must answer from them. If an invoice records a project budget of $1,000, an answer stating $1,500 is a failure of a specific kind: it is fluent, on topic, cites the right document, and is wrong in the one place that matters. Systems of this kind are typically guarded by a faithfulness score — a measure of whether the generated answer is supported by the retrieved text — with answers below a threshold suppressed or flagged.</w:t>
      </w:r>
    </w:p>
    <w:p>
      <w:pPr>
        <w:spacing w:after="120" w:before="0" w:line="276"/>
      </w:pPr>
      <w:r>
        <w:rPr>
          <w:rFonts w:ascii="Times New Roman" w:cs="Times New Roman" w:eastAsia="Times New Roman" w:hAnsi="Times New Roman"/>
          <w:sz w:val="20"/>
          <w:szCs w:val="20"/>
        </w:rPr>
        <w:t xml:space="preserve">This paper asks what such a score actually measures. We do not propose a new evaluator. We take a fixed set of 16,000 generated answers and vary the measurement, and report where the measurement rather than the system determines the conclusion.</w:t>
      </w:r>
    </w:p>
    <w:p>
      <w:pPr>
        <w:spacing w:after="80" w:before="0" w:line="276"/>
      </w:pPr>
      <w:r>
        <w:rPr>
          <w:rFonts w:ascii="Times New Roman" w:cs="Times New Roman" w:eastAsia="Times New Roman" w:hAnsi="Times New Roman"/>
          <w:sz w:val="20"/>
          <w:szCs w:val="20"/>
        </w:rPr>
        <w:t xml:space="preserve">Our contributions are:</w:t>
      </w:r>
    </w:p>
    <w:p>
      <w:pPr>
        <w:pStyle w:val="ListParagraph"/>
        <w:numPr>
          <w:ilvl w:val="0"/>
          <w:numId w:val="1"/>
        </w:numPr>
        <w:spacing w:after="60" w:line="276"/>
      </w:pPr>
      <w:r>
        <w:rPr>
          <w:rFonts w:ascii="Times New Roman" w:cs="Times New Roman" w:eastAsia="Times New Roman" w:hAnsi="Times New Roman"/>
          <w:sz w:val="20"/>
          <w:szCs w:val="20"/>
        </w:rPr>
        <w:t xml:space="preserve">A controlled falsification experiment. Replacing one grounded value in an answer with a value absent from the retrieved context, holding everything else fixed, gives a direct measurement of evaluator sensitivity to the error type that matters (Section V).</w:t>
      </w:r>
    </w:p>
    <w:p>
      <w:pPr>
        <w:pStyle w:val="ListParagraph"/>
        <w:numPr>
          <w:ilvl w:val="0"/>
          <w:numId w:val="1"/>
        </w:numPr>
        <w:spacing w:after="60" w:line="276"/>
      </w:pPr>
      <w:r>
        <w:rPr>
          <w:rFonts w:ascii="Times New Roman" w:cs="Times New Roman" w:eastAsia="Times New Roman" w:hAnsi="Times New Roman"/>
          <w:sz w:val="20"/>
          <w:szCs w:val="20"/>
        </w:rPr>
        <w:t xml:space="preserve">Evidence that the sensitivity depends strongly on answer structure, not only on the evaluator: entailment scores fall as the number of assertions per answer grows, for both generators tested (Section V-C).</w:t>
      </w:r>
    </w:p>
    <w:p>
      <w:pPr>
        <w:pStyle w:val="ListParagraph"/>
        <w:numPr>
          <w:ilvl w:val="0"/>
          <w:numId w:val="1"/>
        </w:numPr>
        <w:spacing w:after="60" w:line="276"/>
      </w:pPr>
      <w:r>
        <w:rPr>
          <w:rFonts w:ascii="Times New Roman" w:cs="Times New Roman" w:eastAsia="Times New Roman" w:hAnsi="Times New Roman"/>
          <w:sz w:val="20"/>
          <w:szCs w:val="20"/>
        </w:rPr>
        <w:t xml:space="preserve">A demonstration that the choice of evaluation population — specifically, whether refusals are included — can produce an apparent relationship between retrieval quality and faithfulness where none survives their exclusion (Section VI).</w:t>
      </w:r>
    </w:p>
    <w:p>
      <w:pPr>
        <w:pStyle w:val="ListParagraph"/>
        <w:numPr>
          <w:ilvl w:val="0"/>
          <w:numId w:val="1"/>
        </w:numPr>
        <w:spacing w:after="60" w:line="276"/>
      </w:pPr>
      <w:r>
        <w:rPr>
          <w:rFonts w:ascii="Times New Roman" w:cs="Times New Roman" w:eastAsia="Times New Roman" w:hAnsi="Times New Roman"/>
          <w:sz w:val="20"/>
          <w:szCs w:val="20"/>
        </w:rPr>
        <w:t xml:space="preserve">A statement of what an equivalence claim about faithfulness requires: naming the evaluator, reporting the margin as a curve rather than a point, and anchoring that margin to a measured effect size (Section VIII).</w:t>
      </w:r>
    </w:p>
    <w:p>
      <w:pPr>
        <w:spacing w:after="160" w:before="0" w:line="276"/>
      </w:pPr>
      <w:r>
        <w:rPr>
          <w:rFonts w:ascii="Times New Roman" w:cs="Times New Roman" w:eastAsia="Times New Roman" w:hAnsi="Times New Roman"/>
          <w:sz w:val="20"/>
          <w:szCs w:val="20"/>
        </w:rPr>
        <w:t xml:space="preserve">The embedding-model grid is a testbed, not the object of study. It supplies a set of retrieval systems spanning 4.4 and 11.9 NDCG@5 points on the two datasets, with generation and prompting held constant, which is what makes the measurement comparison controlled.</w:t>
      </w:r>
    </w:p>
    <w:p>
      <w:pPr>
        <w:pStyle w:val="Heading1"/>
        <w:spacing w:after="120" w:before="260"/>
      </w:pPr>
      <w:r>
        <w:rPr>
          <w:rFonts w:ascii="Times New Roman" w:cs="Times New Roman" w:eastAsia="Times New Roman" w:hAnsi="Times New Roman"/>
          <w:b/>
          <w:bCs/>
          <w:sz w:val="26"/>
          <w:szCs w:val="26"/>
        </w:rPr>
        <w:t xml:space="preserve">II. Related Work</w:t>
      </w:r>
    </w:p>
    <w:p>
      <w:pPr>
        <w:pStyle w:val="Heading2"/>
        <w:spacing w:after="120" w:before="260"/>
      </w:pPr>
      <w:r>
        <w:rPr>
          <w:rFonts w:ascii="Times New Roman" w:cs="Times New Roman" w:eastAsia="Times New Roman" w:hAnsi="Times New Roman"/>
          <w:b/>
          <w:bCs/>
          <w:sz w:val="22"/>
          <w:szCs w:val="22"/>
        </w:rPr>
        <w:t xml:space="preserve">A. Retrieval quality and downstream outcome</w:t>
      </w:r>
    </w:p>
    <w:p>
      <w:pPr>
        <w:spacing w:after="120" w:before="0" w:line="276"/>
      </w:pPr>
      <w:r>
        <w:rPr>
          <w:rFonts w:ascii="Times New Roman" w:cs="Times New Roman" w:eastAsia="Times New Roman" w:hAnsi="Times New Roman"/>
          <w:sz w:val="20"/>
          <w:szCs w:val="20"/>
        </w:rPr>
        <w:t xml:space="preserve">Salemi and Zamani [1] report that query-document relevance labels correlate only weakly with downstream retrieval-augmented generation performance, and propose evaluating each retrieved document by the downstream result it produces. Our starting point is downstream of theirs: we take as given that retrieval metrics do not directly predict generation quality, and ask which downstream property a given measurement instrument can resolve at all.</w:t>
      </w:r>
    </w:p>
    <w:p>
      <w:pPr>
        <w:pStyle w:val="Heading2"/>
        <w:spacing w:after="120" w:before="260"/>
      </w:pPr>
      <w:r>
        <w:rPr>
          <w:rFonts w:ascii="Times New Roman" w:cs="Times New Roman" w:eastAsia="Times New Roman" w:hAnsi="Times New Roman"/>
          <w:b/>
          <w:bCs/>
          <w:sz w:val="22"/>
          <w:szCs w:val="22"/>
        </w:rPr>
        <w:t xml:space="preserve">B. Faithfulness measurement</w:t>
      </w:r>
    </w:p>
    <w:p>
      <w:pPr>
        <w:spacing w:after="120" w:before="0" w:line="276"/>
      </w:pPr>
      <w:r>
        <w:rPr>
          <w:rFonts w:ascii="Times New Roman" w:cs="Times New Roman" w:eastAsia="Times New Roman" w:hAnsi="Times New Roman"/>
          <w:sz w:val="20"/>
          <w:szCs w:val="20"/>
        </w:rPr>
        <w:t xml:space="preserve">Entailment-based faithfulness scoring is standard: a natural language inference model is asked whether the retrieved context entails the generated answer. RAGAS [2] packages this alongside context and answer relevance metrics. AlignScore [3] trains a unified alignment function over several factual-consistency tasks rather than relying on a general-purpose inference model. FaithJudge [4] uses a language model as the judge. Our work is orthogonal to proposing another such metric: we measure how three of them respond to a controlled, known error, and report the consequences for conclusions drawn with them.</w:t>
      </w:r>
    </w:p>
    <w:p>
      <w:pPr>
        <w:pStyle w:val="Heading2"/>
        <w:spacing w:after="120" w:before="260"/>
      </w:pPr>
      <w:r>
        <w:rPr>
          <w:rFonts w:ascii="Times New Roman" w:cs="Times New Roman" w:eastAsia="Times New Roman" w:hAnsi="Times New Roman"/>
          <w:b/>
          <w:bCs/>
          <w:sz w:val="22"/>
          <w:szCs w:val="22"/>
        </w:rPr>
        <w:t xml:space="preserve">C. Hallucination and grounding analysis</w:t>
      </w:r>
    </w:p>
    <w:p>
      <w:pPr>
        <w:spacing w:after="160" w:before="0" w:line="276"/>
      </w:pPr>
      <w:r>
        <w:rPr>
          <w:rFonts w:ascii="Times New Roman" w:cs="Times New Roman" w:eastAsia="Times New Roman" w:hAnsi="Times New Roman"/>
          <w:sz w:val="20"/>
          <w:szCs w:val="20"/>
        </w:rPr>
        <w:t xml:space="preserve">ReDeEP [5] localises hallucination to attention heads and feed-forward components. Sinha [6] analyses cases where a generated answer appears supported by the retrieved context without being entailed by it. Chen [7] examines how different retrievers suit different generators. Our analysis is correlational and behavioural rather than mechanistic: we do not probe model internals.</w:t>
      </w:r>
    </w:p>
    <w:p>
      <w:pPr>
        <w:pStyle w:val="Heading1"/>
        <w:spacing w:after="120" w:before="260"/>
      </w:pPr>
      <w:r>
        <w:rPr>
          <w:rFonts w:ascii="Times New Roman" w:cs="Times New Roman" w:eastAsia="Times New Roman" w:hAnsi="Times New Roman"/>
          <w:b/>
          <w:bCs/>
          <w:sz w:val="26"/>
          <w:szCs w:val="26"/>
        </w:rPr>
        <w:t xml:space="preserve">III. Definitions</w:t>
      </w:r>
    </w:p>
    <w:p>
      <w:pPr>
        <w:pStyle w:val="Heading2"/>
        <w:spacing w:after="120" w:before="260"/>
      </w:pPr>
      <w:r>
        <w:rPr>
          <w:rFonts w:ascii="Times New Roman" w:cs="Times New Roman" w:eastAsia="Times New Roman" w:hAnsi="Times New Roman"/>
          <w:b/>
          <w:bCs/>
          <w:sz w:val="22"/>
          <w:szCs w:val="22"/>
        </w:rPr>
        <w:t xml:space="preserve">A. Faithfulness</w:t>
      </w:r>
    </w:p>
    <w:p>
      <w:pPr>
        <w:spacing w:after="60" w:before="0" w:line="276"/>
      </w:pPr>
      <w:r>
        <w:rPr>
          <w:rFonts w:ascii="Times New Roman" w:cs="Times New Roman" w:eastAsia="Times New Roman" w:hAnsi="Times New Roman"/>
          <w:sz w:val="20"/>
          <w:szCs w:val="20"/>
        </w:rPr>
        <w:t xml:space="preserve">For a generated answer a and retrieved context R = {d1, ..., dk}, the standard aggregate is:</w:t>
      </w:r>
    </w:p>
    <w:p>
      <w:pPr>
        <w:spacing w:after="120" w:before="120"/>
        <w:jc w:val="center"/>
      </w:pPr>
      <w:r>
        <w:rPr>
          <w:rFonts w:ascii="Times New Roman" w:cs="Times New Roman" w:eastAsia="Times New Roman" w:hAnsi="Times New Roman"/>
          <w:i/>
          <w:iCs/>
          <w:sz w:val="20"/>
          <w:szCs w:val="20"/>
        </w:rPr>
        <w:t xml:space="preserve">F_max(a, R) = max over d in R of NLI(d entails a)          (1)</w:t>
      </w:r>
    </w:p>
    <w:p>
      <w:pPr>
        <w:spacing w:after="60" w:before="0" w:line="276"/>
      </w:pPr>
      <w:r>
        <w:rPr>
          <w:rFonts w:ascii="Times New Roman" w:cs="Times New Roman" w:eastAsia="Times New Roman" w:hAnsi="Times New Roman"/>
          <w:sz w:val="20"/>
          <w:szCs w:val="20"/>
        </w:rPr>
        <w:t xml:space="preserve">We also evaluate a claim-level aggregate. Writing C(a) for the assertions in a:</w:t>
      </w:r>
    </w:p>
    <w:p>
      <w:pPr>
        <w:spacing w:after="120" w:before="120"/>
        <w:jc w:val="center"/>
      </w:pPr>
      <w:r>
        <w:rPr>
          <w:rFonts w:ascii="Times New Roman" w:cs="Times New Roman" w:eastAsia="Times New Roman" w:hAnsi="Times New Roman"/>
          <w:i/>
          <w:iCs/>
          <w:sz w:val="20"/>
          <w:szCs w:val="20"/>
        </w:rPr>
        <w:t xml:space="preserve">F_claim(a, R) = min over c in C(a) of max over d in R of NLI(d entails c)     (2)</w:t>
      </w:r>
    </w:p>
    <w:p>
      <w:pPr>
        <w:spacing w:after="120" w:before="0" w:line="276"/>
      </w:pPr>
      <w:r>
        <w:rPr>
          <w:rFonts w:ascii="Times New Roman" w:cs="Times New Roman" w:eastAsia="Times New Roman" w:hAnsi="Times New Roman"/>
          <w:sz w:val="20"/>
          <w:szCs w:val="20"/>
        </w:rPr>
        <w:t xml:space="preserve">The maximum over chunks is appropriate — any retrieved document may support a claim. The maximum over claims, implicit in (1), is not: an answer is only as supported as its least supported assertion, so one unsupported claim should not be masked by several supported ones. Faithfulness is measured against the generated answer and the retrieved context only; the gold answer is never used.</w:t>
      </w:r>
    </w:p>
    <w:p>
      <w:pPr>
        <w:pStyle w:val="Heading2"/>
        <w:spacing w:after="120" w:before="260"/>
      </w:pPr>
      <w:r>
        <w:rPr>
          <w:rFonts w:ascii="Times New Roman" w:cs="Times New Roman" w:eastAsia="Times New Roman" w:hAnsi="Times New Roman"/>
          <w:b/>
          <w:bCs/>
          <w:sz w:val="22"/>
          <w:szCs w:val="22"/>
        </w:rPr>
        <w:t xml:space="preserve">B. Correctness and retrieval hit</w:t>
      </w:r>
    </w:p>
    <w:p>
      <w:pPr>
        <w:spacing w:after="120" w:before="0" w:line="276"/>
      </w:pPr>
      <w:r>
        <w:rPr>
          <w:rFonts w:ascii="Times New Roman" w:cs="Times New Roman" w:eastAsia="Times New Roman" w:hAnsi="Times New Roman"/>
          <w:sz w:val="20"/>
          <w:szCs w:val="20"/>
        </w:rPr>
        <w:t xml:space="preserve">Correctness is measured against the gold answer and never against the context, so that a grounded wrong answer and an ungrounded right answer remain distinguishable. A retrieval hit means the gold answer string appears in the retrieved context. This is a strong definition of retrieval success, and Section X notes what it does not capture.</w:t>
      </w:r>
    </w:p>
    <w:p>
      <w:pPr>
        <w:pStyle w:val="Heading2"/>
        <w:spacing w:after="120" w:before="260"/>
      </w:pPr>
      <w:r>
        <w:rPr>
          <w:rFonts w:ascii="Times New Roman" w:cs="Times New Roman" w:eastAsia="Times New Roman" w:hAnsi="Times New Roman"/>
          <w:b/>
          <w:bCs/>
          <w:sz w:val="22"/>
          <w:szCs w:val="22"/>
        </w:rPr>
        <w:t xml:space="preserve">C. On differencing retrieval quality and faithfulness</w:t>
      </w:r>
    </w:p>
    <w:p>
      <w:pPr>
        <w:spacing w:after="160" w:before="0" w:line="276"/>
      </w:pPr>
      <w:r>
        <w:rPr>
          <w:rFonts w:ascii="Times New Roman" w:cs="Times New Roman" w:eastAsia="Times New Roman" w:hAnsi="Times New Roman"/>
          <w:sz w:val="20"/>
          <w:szCs w:val="20"/>
        </w:rPr>
        <w:t xml:space="preserve">An earlier version of this work defined a gap metric as the difference between NDCG@5 and faithfulness, with a normalised variant dividing by retrieval quality. We report the properties of that family here because they are general rather than specific to our implementation. First, the difference has no common unit: a rank-based retrieval metric and an entailment probability are not commensurable. Second, on our data the difference is negative for every model on Natural Questions, since faithfulness (0.85) exceeds retrieval quality (0.79) — the metric presumes generation loses fidelity relative to retrieval, and it does not. Third, any metric of the form 1 - F/RQ reproduces the retrieval ranking whenever F is near-constant across systems, so apparent agreement of such a metric across generators is uninformative: retrieval quality is generator-invariant by construction. We therefore report absolute faithfulness throughout.</w:t>
      </w:r>
    </w:p>
    <w:p>
      <w:pPr>
        <w:pStyle w:val="Heading1"/>
        <w:spacing w:after="120" w:before="260"/>
      </w:pPr>
      <w:r>
        <w:rPr>
          <w:rFonts w:ascii="Times New Roman" w:cs="Times New Roman" w:eastAsia="Times New Roman" w:hAnsi="Times New Roman"/>
          <w:b/>
          <w:bCs/>
          <w:sz w:val="26"/>
          <w:szCs w:val="26"/>
        </w:rPr>
        <w:t xml:space="preserve">IV. Experimental Setup</w:t>
      </w:r>
    </w:p>
    <w:p>
      <w:pPr>
        <w:spacing w:after="120" w:before="0" w:line="276"/>
      </w:pPr>
      <w:r>
        <w:rPr>
          <w:rFonts w:ascii="Times New Roman" w:cs="Times New Roman" w:eastAsia="Times New Roman" w:hAnsi="Times New Roman"/>
          <w:sz w:val="20"/>
          <w:szCs w:val="20"/>
        </w:rPr>
        <w:t xml:space="preserve">Four embedding models index each corpus; retrieval takes the top five chunks of 256 tokens with 32-token overlap; two generators produce an answer from a byte-identical prompt at temperature 0. This yields 4 x 2 x 2 x 1,000 = 16,000 generated answers, each re-scored by every evaluator. Prompt parity across generators is enforced by construction — a single prompt builder, one user turn, no system message — because a prompt difference would confound every cross-generator comparison in Section 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50"/>
        <w:gridCol w:w="2050"/>
      </w:tblGrid>
      <w:tr>
        <w:trPr>
          <w:tblHeader/>
        </w:trPr>
        <w:tc>
          <w:tcPr>
            <w:tcW w:type="dxa" w:w="29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Embedding model</w:t>
            </w:r>
          </w:p>
        </w:tc>
        <w:tc>
          <w:tcPr>
            <w:tcW w:type="dxa" w:w="20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Paradigm</w:t>
            </w:r>
          </w:p>
        </w:tc>
        <w:tc>
          <w:tcPr>
            <w:tcW w:type="dxa" w:w="20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NDCG@5 (NQ)</w:t>
            </w:r>
          </w:p>
        </w:tc>
        <w:tc>
          <w:tcPr>
            <w:tcW w:type="dxa" w:w="20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NDCG@5 (HotpotQA)</w:t>
            </w:r>
          </w:p>
        </w:tc>
      </w:tr>
      <w:tr>
        <w:trPr>
          <w:tblHeader w:val="false"/>
        </w:trPr>
        <w:tc>
          <w:tcPr>
            <w:tcW w:type="dxa" w:w="29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all-mpnet-base-v2</w:t>
            </w:r>
          </w:p>
        </w:tc>
        <w:tc>
          <w:tcPr>
            <w:tcW w:type="dxa" w:w="2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contrastive</w:t>
            </w:r>
          </w:p>
        </w:tc>
        <w:tc>
          <w:tcPr>
            <w:tcW w:type="dxa" w:w="20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0.786</w:t>
            </w:r>
          </w:p>
        </w:tc>
        <w:tc>
          <w:tcPr>
            <w:tcW w:type="dxa" w:w="20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0.705</w:t>
            </w:r>
          </w:p>
        </w:tc>
      </w:tr>
      <w:tr>
        <w:trPr>
          <w:tblHeader w:val="false"/>
        </w:trPr>
        <w:tc>
          <w:tcPr>
            <w:tcW w:type="dxa" w:w="29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BGE-M3</w:t>
            </w:r>
          </w:p>
        </w:tc>
        <w:tc>
          <w:tcPr>
            <w:tcW w:type="dxa" w:w="2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multilingual</w:t>
            </w:r>
          </w:p>
        </w:tc>
        <w:tc>
          <w:tcPr>
            <w:tcW w:type="dxa" w:w="20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0.794</w:t>
            </w:r>
          </w:p>
        </w:tc>
        <w:tc>
          <w:tcPr>
            <w:tcW w:type="dxa" w:w="20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0.809</w:t>
            </w:r>
          </w:p>
        </w:tc>
      </w:tr>
      <w:tr>
        <w:trPr>
          <w:tblHeader w:val="false"/>
        </w:trPr>
        <w:tc>
          <w:tcPr>
            <w:tcW w:type="dxa" w:w="29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E5-large-instruct</w:t>
            </w:r>
          </w:p>
        </w:tc>
        <w:tc>
          <w:tcPr>
            <w:tcW w:type="dxa" w:w="2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instruction-tuned</w:t>
            </w:r>
          </w:p>
        </w:tc>
        <w:tc>
          <w:tcPr>
            <w:tcW w:type="dxa" w:w="20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0.806</w:t>
            </w:r>
          </w:p>
        </w:tc>
        <w:tc>
          <w:tcPr>
            <w:tcW w:type="dxa" w:w="20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0.824</w:t>
            </w:r>
          </w:p>
        </w:tc>
      </w:tr>
      <w:tr>
        <w:trPr>
          <w:tblHeader w:val="false"/>
        </w:trPr>
        <w:tc>
          <w:tcPr>
            <w:tcW w:type="dxa" w:w="29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text-embedding-3-small</w:t>
            </w:r>
          </w:p>
        </w:tc>
        <w:tc>
          <w:tcPr>
            <w:tcW w:type="dxa" w:w="2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proprietary</w:t>
            </w:r>
          </w:p>
        </w:tc>
        <w:tc>
          <w:tcPr>
            <w:tcW w:type="dxa" w:w="20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0.830</w:t>
            </w:r>
          </w:p>
        </w:tc>
        <w:tc>
          <w:tcPr>
            <w:tcW w:type="dxa" w:w="20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0.767</w:t>
            </w:r>
          </w:p>
        </w:tc>
      </w:tr>
      <w:tr>
        <w:trPr>
          <w:tblHeader w:val="false"/>
        </w:trPr>
        <w:tc>
          <w:tcPr>
            <w:tcW w:type="dxa" w:w="29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spread</w:t>
            </w:r>
          </w:p>
        </w:tc>
        <w:tc>
          <w:tcPr>
            <w:tcW w:type="dxa" w:w="2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
            </w:r>
          </w:p>
        </w:tc>
        <w:tc>
          <w:tcPr>
            <w:tcW w:type="dxa" w:w="20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4.4 pts</w:t>
            </w:r>
          </w:p>
        </w:tc>
        <w:tc>
          <w:tcPr>
            <w:tcW w:type="dxa" w:w="20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11.9 pts</w:t>
            </w:r>
          </w:p>
        </w:tc>
      </w:tr>
    </w:tbl>
    <w:p>
      <w:pPr>
        <w:spacing w:after="180" w:before="100"/>
      </w:pPr>
      <w:r>
        <w:rPr>
          <w:rFonts w:ascii="Times New Roman" w:cs="Times New Roman" w:eastAsia="Times New Roman" w:hAnsi="Times New Roman"/>
          <w:i/>
          <w:iCs/>
          <w:sz w:val="17"/>
          <w:szCs w:val="17"/>
        </w:rPr>
        <w:t xml:space="preserve">Table I. Retrieval quality of the four systems in the testbed. The ranking differs between datasets, and the spread is far larger on HotpotQA.</w:t>
      </w:r>
    </w:p>
    <w:p>
      <w:pPr>
        <w:spacing w:after="160" w:before="0" w:line="276"/>
      </w:pPr>
      <w:r>
        <w:rPr>
          <w:rFonts w:ascii="Times New Roman" w:cs="Times New Roman" w:eastAsia="Times New Roman" w:hAnsi="Times New Roman"/>
          <w:sz w:val="20"/>
          <w:szCs w:val="20"/>
        </w:rPr>
        <w:t xml:space="preserve">Three evaluators are compared. NLI-max is (1) with a DeBERTa-v3-large inference model, the common choice. Claim-min is (2) with the same inference model and sentence-level claim segmentation, chosen so that no second generator enters the measurement loop. AlignScore [3] is an independently trained alignment model. All three score identical inputs.</w:t>
      </w:r>
    </w:p>
    <w:p>
      <w:pPr>
        <w:pStyle w:val="Heading1"/>
        <w:spacing w:after="120" w:before="260"/>
      </w:pPr>
      <w:r>
        <w:rPr>
          <w:rFonts w:ascii="Times New Roman" w:cs="Times New Roman" w:eastAsia="Times New Roman" w:hAnsi="Times New Roman"/>
          <w:b/>
          <w:bCs/>
          <w:sz w:val="26"/>
          <w:szCs w:val="26"/>
        </w:rPr>
        <w:t xml:space="preserve">V. How Sensitive Are These Evaluators to a Known Error?</w:t>
      </w:r>
    </w:p>
    <w:p>
      <w:pPr>
        <w:pStyle w:val="Heading2"/>
        <w:spacing w:after="120" w:before="260"/>
      </w:pPr>
      <w:r>
        <w:rPr>
          <w:rFonts w:ascii="Times New Roman" w:cs="Times New Roman" w:eastAsia="Times New Roman" w:hAnsi="Times New Roman"/>
          <w:b/>
          <w:bCs/>
          <w:sz w:val="22"/>
          <w:szCs w:val="22"/>
        </w:rPr>
        <w:t xml:space="preserve">A. A controlled falsification</w:t>
      </w:r>
    </w:p>
    <w:p>
      <w:pPr>
        <w:spacing w:after="120" w:before="0" w:line="276"/>
      </w:pPr>
      <w:r>
        <w:rPr>
          <w:rFonts w:ascii="Times New Roman" w:cs="Times New Roman" w:eastAsia="Times New Roman" w:hAnsi="Times New Roman"/>
          <w:sz w:val="20"/>
          <w:szCs w:val="20"/>
        </w:rPr>
        <w:t xml:space="preserve">A faithfulness score is only useful if it responds when an answer stops being faithful. We construct that condition directly. For each answer containing a numeric value that appears in the retrieved context, we replace that value with one that does not appear in the context, preserving surface format, and re-score against the same chunks. Two eligibility rules are load-bearing: the original value must be present in the context, or the answer was never grounded in it; and the replacement must be absent, or the altered answer is accidentally supported and a low response is correct behaviour.</w:t>
      </w:r>
    </w:p>
    <w:p>
      <w:pPr>
        <w:spacing w:after="120" w:before="0" w:line="276"/>
      </w:pPr>
      <w:r>
        <w:rPr>
          <w:rFonts w:ascii="Times New Roman" w:cs="Times New Roman" w:eastAsia="Times New Roman" w:hAnsi="Times New Roman"/>
          <w:sz w:val="20"/>
          <w:szCs w:val="20"/>
        </w:rPr>
        <w:t xml:space="preserve">Two controls accompany it. An entity substitution replaces a grounded named entity instead of a value, giving a comparable edit. Scoring the untouched answer against another query's retrieved context gives the floor of each evaluator's scale on this data. 200 paired cases per cell, rebuilt deterministically so all three evaluators see identical inputs.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50"/>
        <w:gridCol w:w="1550"/>
        <w:gridCol w:w="1250"/>
        <w:gridCol w:w="1250"/>
        <w:gridCol w:w="1300"/>
        <w:gridCol w:w="1200"/>
      </w:tblGrid>
      <w:tr>
        <w:trPr>
          <w:tblHeader/>
        </w:trPr>
        <w:tc>
          <w:tcPr>
            <w:tcW w:type="dxa" w:w="24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Dataset / generator</w:t>
            </w:r>
          </w:p>
        </w:tc>
        <w:tc>
          <w:tcPr>
            <w:tcW w:type="dxa" w:w="15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Evaluator</w:t>
            </w:r>
          </w:p>
        </w:tc>
        <w:tc>
          <w:tcPr>
            <w:tcW w:type="dxa" w:w="12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Original</w:t>
            </w:r>
          </w:p>
        </w:tc>
        <w:tc>
          <w:tcPr>
            <w:tcW w:type="dxa" w:w="12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Falsified</w:t>
            </w:r>
          </w:p>
        </w:tc>
        <w:tc>
          <w:tcPr>
            <w:tcW w:type="dxa" w:w="13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Random ctx</w:t>
            </w:r>
          </w:p>
        </w:tc>
        <w:tc>
          <w:tcPr>
            <w:tcW w:type="dxa" w:w="12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Detected</w:t>
            </w:r>
          </w:p>
        </w:tc>
      </w:tr>
      <w:tr>
        <w:trPr>
          <w:tblHeader w:val="false"/>
        </w:trPr>
        <w:tc>
          <w:tcPr>
            <w:tcW w:type="dxa" w:w="24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NQ / Claude Haiku 4.5</w:t>
            </w:r>
          </w:p>
        </w:tc>
        <w:tc>
          <w:tcPr>
            <w:tcW w:type="dxa" w:w="15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NLI-max</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0.918</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0.880</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0.522</w:t>
            </w:r>
          </w:p>
        </w:tc>
        <w:tc>
          <w:tcPr>
            <w:tcW w:type="dxa" w:w="1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4%</w:t>
            </w:r>
          </w:p>
        </w:tc>
      </w:tr>
      <w:tr>
        <w:trPr>
          <w:tblHeader w:val="false"/>
        </w:trPr>
        <w:tc>
          <w:tcPr>
            <w:tcW w:type="dxa" w:w="24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
            </w:r>
          </w:p>
        </w:tc>
        <w:tc>
          <w:tcPr>
            <w:tcW w:type="dxa" w:w="15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Claim-min</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0.686</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0.535</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0.249</w:t>
            </w:r>
          </w:p>
        </w:tc>
        <w:tc>
          <w:tcPr>
            <w:tcW w:type="dxa" w:w="1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23%</w:t>
            </w:r>
          </w:p>
        </w:tc>
      </w:tr>
      <w:tr>
        <w:trPr>
          <w:tblHeader w:val="false"/>
        </w:trPr>
        <w:tc>
          <w:tcPr>
            <w:tcW w:type="dxa" w:w="24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
            </w:r>
          </w:p>
        </w:tc>
        <w:tc>
          <w:tcPr>
            <w:tcW w:type="dxa" w:w="15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AlignScore</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0.818</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0.586</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0.342</w:t>
            </w:r>
          </w:p>
        </w:tc>
        <w:tc>
          <w:tcPr>
            <w:tcW w:type="dxa" w:w="1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29%</w:t>
            </w:r>
          </w:p>
        </w:tc>
      </w:tr>
      <w:tr>
        <w:trPr>
          <w:tblHeader w:val="false"/>
        </w:trPr>
        <w:tc>
          <w:tcPr>
            <w:tcW w:type="dxa" w:w="24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NQ / GPT-4o-mini</w:t>
            </w:r>
          </w:p>
        </w:tc>
        <w:tc>
          <w:tcPr>
            <w:tcW w:type="dxa" w:w="15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NLI-max</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0.893</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0.436</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0.507</w:t>
            </w:r>
          </w:p>
        </w:tc>
        <w:tc>
          <w:tcPr>
            <w:tcW w:type="dxa" w:w="1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58%</w:t>
            </w:r>
          </w:p>
        </w:tc>
      </w:tr>
      <w:tr>
        <w:trPr>
          <w:tblHeader w:val="false"/>
        </w:trPr>
        <w:tc>
          <w:tcPr>
            <w:tcW w:type="dxa" w:w="24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
            </w:r>
          </w:p>
        </w:tc>
        <w:tc>
          <w:tcPr>
            <w:tcW w:type="dxa" w:w="15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Claim-min</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0.866</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0.391</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0.493</w:t>
            </w:r>
          </w:p>
        </w:tc>
        <w:tc>
          <w:tcPr>
            <w:tcW w:type="dxa" w:w="1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63%</w:t>
            </w:r>
          </w:p>
        </w:tc>
      </w:tr>
      <w:tr>
        <w:trPr>
          <w:tblHeader w:val="false"/>
        </w:trPr>
        <w:tc>
          <w:tcPr>
            <w:tcW w:type="dxa" w:w="24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
            </w:r>
          </w:p>
        </w:tc>
        <w:tc>
          <w:tcPr>
            <w:tcW w:type="dxa" w:w="15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AlignScore</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0.918</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0.266</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0.173</w:t>
            </w:r>
          </w:p>
        </w:tc>
        <w:tc>
          <w:tcPr>
            <w:tcW w:type="dxa" w:w="1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76%</w:t>
            </w:r>
          </w:p>
        </w:tc>
      </w:tr>
      <w:tr>
        <w:trPr>
          <w:tblHeader w:val="false"/>
        </w:trPr>
        <w:tc>
          <w:tcPr>
            <w:tcW w:type="dxa" w:w="24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HotpotQA / Claude</w:t>
            </w:r>
          </w:p>
        </w:tc>
        <w:tc>
          <w:tcPr>
            <w:tcW w:type="dxa" w:w="15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NLI-max</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0.739</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0.660</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0.468</w:t>
            </w:r>
          </w:p>
        </w:tc>
        <w:tc>
          <w:tcPr>
            <w:tcW w:type="dxa" w:w="1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13%</w:t>
            </w:r>
          </w:p>
        </w:tc>
      </w:tr>
      <w:tr>
        <w:trPr>
          <w:tblHeader w:val="false"/>
        </w:trPr>
        <w:tc>
          <w:tcPr>
            <w:tcW w:type="dxa" w:w="24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
            </w:r>
          </w:p>
        </w:tc>
        <w:tc>
          <w:tcPr>
            <w:tcW w:type="dxa" w:w="15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Claim-min</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0.367</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0.256</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0.149</w:t>
            </w:r>
          </w:p>
        </w:tc>
        <w:tc>
          <w:tcPr>
            <w:tcW w:type="dxa" w:w="1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33%</w:t>
            </w:r>
          </w:p>
        </w:tc>
      </w:tr>
      <w:tr>
        <w:trPr>
          <w:tblHeader w:val="false"/>
        </w:trPr>
        <w:tc>
          <w:tcPr>
            <w:tcW w:type="dxa" w:w="24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
            </w:r>
          </w:p>
        </w:tc>
        <w:tc>
          <w:tcPr>
            <w:tcW w:type="dxa" w:w="15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AlignScore</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0.770</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0.466</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0.498</w:t>
            </w:r>
          </w:p>
        </w:tc>
        <w:tc>
          <w:tcPr>
            <w:tcW w:type="dxa" w:w="1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45%</w:t>
            </w:r>
          </w:p>
        </w:tc>
      </w:tr>
      <w:tr>
        <w:trPr>
          <w:tblHeader w:val="false"/>
        </w:trPr>
        <w:tc>
          <w:tcPr>
            <w:tcW w:type="dxa" w:w="24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HotpotQA / GPT-4o-mini</w:t>
            </w:r>
          </w:p>
        </w:tc>
        <w:tc>
          <w:tcPr>
            <w:tcW w:type="dxa" w:w="15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NLI-max</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0.578</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0.185</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0.222</w:t>
            </w:r>
          </w:p>
        </w:tc>
        <w:tc>
          <w:tcPr>
            <w:tcW w:type="dxa" w:w="1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70%</w:t>
            </w:r>
          </w:p>
        </w:tc>
      </w:tr>
      <w:tr>
        <w:trPr>
          <w:tblHeader w:val="false"/>
        </w:trPr>
        <w:tc>
          <w:tcPr>
            <w:tcW w:type="dxa" w:w="24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
            </w:r>
          </w:p>
        </w:tc>
        <w:tc>
          <w:tcPr>
            <w:tcW w:type="dxa" w:w="15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Claim-min</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0.571</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0.182</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0.225</w:t>
            </w:r>
          </w:p>
        </w:tc>
        <w:tc>
          <w:tcPr>
            <w:tcW w:type="dxa" w:w="1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70%</w:t>
            </w:r>
          </w:p>
        </w:tc>
      </w:tr>
      <w:tr>
        <w:trPr>
          <w:tblHeader w:val="false"/>
        </w:trPr>
        <w:tc>
          <w:tcPr>
            <w:tcW w:type="dxa" w:w="24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
            </w:r>
          </w:p>
        </w:tc>
        <w:tc>
          <w:tcPr>
            <w:tcW w:type="dxa" w:w="15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AlignScore</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0.773</w:t>
            </w:r>
          </w:p>
        </w:tc>
        <w:tc>
          <w:tcPr>
            <w:tcW w:type="dxa" w:w="12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0.115</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0.223</w:t>
            </w:r>
          </w:p>
        </w:tc>
        <w:tc>
          <w:tcPr>
            <w:tcW w:type="dxa" w:w="1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90%</w:t>
            </w:r>
          </w:p>
        </w:tc>
      </w:tr>
    </w:tbl>
    <w:p>
      <w:pPr>
        <w:spacing w:after="180" w:before="100"/>
      </w:pPr>
      <w:r>
        <w:rPr>
          <w:rFonts w:ascii="Times New Roman" w:cs="Times New Roman" w:eastAsia="Times New Roman" w:hAnsi="Times New Roman"/>
          <w:i/>
          <w:iCs/>
          <w:sz w:val="17"/>
          <w:szCs w:val="17"/>
        </w:rPr>
        <w:t xml:space="preserve">Table II. Response of three evaluators to a falsified value, on identical inputs. "Detected" is the share of answers that passed a 0.5 threshold before falsification and fail it after. Random-context scores anchor the floor of each scale.</w:t>
      </w:r>
    </w:p>
    <w:p>
      <w:pPr>
        <w:spacing w:after="120" w:before="0" w:line="276"/>
      </w:pPr>
      <w:r>
        <w:rPr>
          <w:rFonts w:ascii="Times New Roman" w:cs="Times New Roman" w:eastAsia="Times New Roman" w:hAnsi="Times New Roman"/>
          <w:sz w:val="20"/>
          <w:szCs w:val="20"/>
        </w:rPr>
        <w:t xml:space="preserve">On Claude's Natural Questions answers, NLI-max leaves the falsified answer at 0.880 against a floor of 0.522: the altered answer remains comfortably above any usable threshold. On GPT-4o-mini's answers the same edit lands at 0.436, essentially at that generator's floor of 0.507. The evaluator, the context and the perturbation code are identical; only the generator that wrote the answer differs.</w:t>
      </w:r>
    </w:p>
    <w:p>
      <w:pPr>
        <w:pStyle w:val="Heading2"/>
        <w:spacing w:after="120" w:before="260"/>
      </w:pPr>
      <w:r>
        <w:rPr>
          <w:rFonts w:ascii="Times New Roman" w:cs="Times New Roman" w:eastAsia="Times New Roman" w:hAnsi="Times New Roman"/>
          <w:b/>
          <w:bCs/>
          <w:sz w:val="22"/>
          <w:szCs w:val="22"/>
        </w:rPr>
        <w:t xml:space="preserve">B. The effect is not verbatim copying</w:t>
      </w:r>
    </w:p>
    <w:p>
      <w:pPr>
        <w:spacing w:after="160" w:before="0" w:line="276"/>
      </w:pPr>
      <w:r>
        <w:rPr>
          <w:rFonts w:ascii="Times New Roman" w:cs="Times New Roman" w:eastAsia="Times New Roman" w:hAnsi="Times New Roman"/>
          <w:sz w:val="20"/>
          <w:szCs w:val="20"/>
        </w:rPr>
        <w:t xml:space="preserve">A natural explanation is that one generator quotes the retrieved text back, so the evaluator scores a copy of its own premise. This does not hold. Measuring the fraction of answer word 5-grams appearing verbatim in the context gives 0.234 for both generators, and the correlation between overlap and the response to falsification is +0.041 and +0.161 — positive, where the explanation predicts negative.</w:t>
      </w:r>
    </w:p>
    <w:p>
      <w:pPr>
        <w:pStyle w:val="Heading2"/>
        <w:spacing w:after="120" w:before="260"/>
      </w:pPr>
      <w:r>
        <w:rPr>
          <w:rFonts w:ascii="Times New Roman" w:cs="Times New Roman" w:eastAsia="Times New Roman" w:hAnsi="Times New Roman"/>
          <w:b/>
          <w:bCs/>
          <w:sz w:val="22"/>
          <w:szCs w:val="22"/>
        </w:rPr>
        <w:t xml:space="preserve">C. Answers with more assertions are scored less sensitively</w:t>
      </w:r>
    </w:p>
    <w:p>
      <w:pPr>
        <w:spacing w:after="100" w:before="0" w:line="276"/>
      </w:pPr>
      <w:r>
        <w:rPr>
          <w:rFonts w:ascii="Times New Roman" w:cs="Times New Roman" w:eastAsia="Times New Roman" w:hAnsi="Times New Roman"/>
          <w:sz w:val="20"/>
          <w:szCs w:val="20"/>
        </w:rPr>
        <w:t xml:space="preserve">Segmenting each answer into sentence-level assertions and grouping by count gives a monotone relationship, present for both generators.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650"/>
      </w:tblGrid>
      <w:tr>
        <w:trPr>
          <w:tblHeader/>
        </w:trPr>
        <w:tc>
          <w:tcPr>
            <w:tcW w:type="dxa" w:w="24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Assertions per answer</w:t>
            </w:r>
          </w:p>
        </w:tc>
        <w:tc>
          <w:tcPr>
            <w:tcW w:type="dxa" w:w="16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Claude NLI-max</w:t>
            </w:r>
          </w:p>
        </w:tc>
        <w:tc>
          <w:tcPr>
            <w:tcW w:type="dxa" w:w="16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Claude Claim-min</w:t>
            </w:r>
          </w:p>
        </w:tc>
        <w:tc>
          <w:tcPr>
            <w:tcW w:type="dxa" w:w="16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GPT NLI-max</w:t>
            </w:r>
          </w:p>
        </w:tc>
        <w:tc>
          <w:tcPr>
            <w:tcW w:type="dxa" w:w="16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GPT Claim-min</w:t>
            </w:r>
          </w:p>
        </w:tc>
      </w:tr>
      <w:tr>
        <w:trPr>
          <w:tblHeader w:val="false"/>
        </w:trPr>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1</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+0.086</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+0.098</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+0.492</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+0.492</w:t>
            </w:r>
          </w:p>
        </w:tc>
      </w:tr>
      <w:tr>
        <w:trPr>
          <w:tblHeader w:val="false"/>
        </w:trPr>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2</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+0.056</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+0.131</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+0.336</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+0.452</w:t>
            </w:r>
          </w:p>
        </w:tc>
      </w:tr>
      <w:tr>
        <w:trPr>
          <w:tblHeader w:val="false"/>
        </w:trPr>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3</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+0.018</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+0.188</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+0.137</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+0.277</w:t>
            </w:r>
          </w:p>
        </w:tc>
      </w:tr>
      <w:tr>
        <w:trPr>
          <w:tblHeader w:val="false"/>
        </w:trPr>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5 or more</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+0.007</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+0.149</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w:t>
            </w:r>
          </w:p>
        </w:tc>
      </w:tr>
    </w:tbl>
    <w:p>
      <w:pPr>
        <w:spacing w:after="180" w:before="100"/>
      </w:pPr>
      <w:r>
        <w:rPr>
          <w:rFonts w:ascii="Times New Roman" w:cs="Times New Roman" w:eastAsia="Times New Roman" w:hAnsi="Times New Roman"/>
          <w:i/>
          <w:iCs/>
          <w:sz w:val="17"/>
          <w:szCs w:val="17"/>
        </w:rPr>
        <w:t xml:space="preserve">Table III. Drop in score when one grounded value is falsified, by number of assertions in the answer. Under NLI-max the response decays toward zero as answers accumulate assertions; under claim-level aggregation it does not.</w:t>
      </w:r>
    </w:p>
    <w:p>
      <w:pPr>
        <w:spacing w:after="120" w:before="0" w:line="276"/>
      </w:pPr>
      <w:r>
        <w:rPr>
          <w:rFonts w:ascii="Times New Roman" w:cs="Times New Roman" w:eastAsia="Times New Roman" w:hAnsi="Times New Roman"/>
          <w:sz w:val="20"/>
          <w:szCs w:val="20"/>
        </w:rPr>
        <w:t xml:space="preserve">The two generators average 2.99 and 1.18 assertions per answer, and median answer lengths of 49 and 18 words. This accounts for the cross-generator difference in Table II: a falsified value is a progressively smaller edit to the hypothesis as correct surrounding text accumulates, and the entailment judgement is dominated by the remainder. As a check on the claim-level implementation, single-assertion answers score identically under both aggregates (0.4922 in each case), which is the expected degenerate case.</w:t>
      </w:r>
    </w:p>
    <w:p>
      <w:pPr>
        <w:spacing w:after="160" w:before="0" w:line="276"/>
      </w:pPr>
      <w:r>
        <w:rPr>
          <w:rFonts w:ascii="Times New Roman" w:cs="Times New Roman" w:eastAsia="Times New Roman" w:hAnsi="Times New Roman"/>
          <w:sz w:val="20"/>
          <w:szCs w:val="20"/>
        </w:rPr>
        <w:t xml:space="preserve">Claim-level aggregation is a partial remedy rather than a repair. Expressed as a fraction of the distance to the random-context floor, the median response on Claude's answers moves from 0.01 to 0.03, and the minimum moves in the correct direction in 55% of cases: when the falsified assertion is not already the weakest, the minimum does not move at all. A second dilution remains within assertions — at matched assertion count the two generators still differ (+0.098 against +0.492), and their assertions average 20.5 against 13.8 words.</w:t>
      </w:r>
    </w:p>
    <w:p>
      <w:pPr>
        <w:pStyle w:val="Heading1"/>
        <w:spacing w:after="120" w:before="260"/>
      </w:pPr>
      <w:r>
        <w:rPr>
          <w:rFonts w:ascii="Times New Roman" w:cs="Times New Roman" w:eastAsia="Times New Roman" w:hAnsi="Times New Roman"/>
          <w:b/>
          <w:bCs/>
          <w:sz w:val="26"/>
          <w:szCs w:val="26"/>
        </w:rPr>
        <w:t xml:space="preserve">VI. The Evaluation Population Can Manufacture a Relationship</w:t>
      </w:r>
    </w:p>
    <w:p>
      <w:pPr>
        <w:spacing w:after="120" w:before="0" w:line="276"/>
      </w:pPr>
      <w:r>
        <w:rPr>
          <w:rFonts w:ascii="Times New Roman" w:cs="Times New Roman" w:eastAsia="Times New Roman" w:hAnsi="Times New Roman"/>
          <w:sz w:val="20"/>
          <w:szCs w:val="20"/>
        </w:rPr>
        <w:t xml:space="preserve">Both generators decline to answer on a substantial share of queries, and the rate depends on retrieval quality. A refusal is correctly not entailed by the context and scores near the floor. Including refusals therefore transfers a retrieval effect into the faithfulness average, at no cost in plausibility.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575"/>
        <w:gridCol w:w="1725"/>
        <w:gridCol w:w="1500"/>
        <w:gridCol w:w="1500"/>
      </w:tblGrid>
      <w:tr>
        <w:trPr>
          <w:tblHeader/>
        </w:trPr>
        <w:tc>
          <w:tcPr>
            <w:tcW w:type="dxa" w:w="27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HotpotQA, Claude</w:t>
            </w:r>
          </w:p>
        </w:tc>
        <w:tc>
          <w:tcPr>
            <w:tcW w:type="dxa" w:w="1575"/>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all-mpnet</w:t>
            </w:r>
          </w:p>
        </w:tc>
        <w:tc>
          <w:tcPr>
            <w:tcW w:type="dxa" w:w="1725"/>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text-emb-3-small</w:t>
            </w:r>
          </w:p>
        </w:tc>
        <w:tc>
          <w:tcPr>
            <w:tcW w:type="dxa" w:w="15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BGE-M3</w:t>
            </w:r>
          </w:p>
        </w:tc>
        <w:tc>
          <w:tcPr>
            <w:tcW w:type="dxa" w:w="15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E5-instruct</w:t>
            </w:r>
          </w:p>
        </w:tc>
      </w:tr>
      <w:tr>
        <w:trPr>
          <w:tblHeader w:val="false"/>
        </w:trPr>
        <w:tc>
          <w:tcPr>
            <w:tcW w:type="dxa" w:w="27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NDCG@5</w:t>
            </w:r>
          </w:p>
        </w:tc>
        <w:tc>
          <w:tcPr>
            <w:tcW w:type="dxa" w:w="1575"/>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0.705</w:t>
            </w:r>
          </w:p>
        </w:tc>
        <w:tc>
          <w:tcPr>
            <w:tcW w:type="dxa" w:w="1725"/>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0.767</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0.809</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0.824</w:t>
            </w:r>
          </w:p>
        </w:tc>
      </w:tr>
      <w:tr>
        <w:trPr>
          <w:tblHeader w:val="false"/>
        </w:trPr>
        <w:tc>
          <w:tcPr>
            <w:tcW w:type="dxa" w:w="27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Refusal rate</w:t>
            </w:r>
          </w:p>
        </w:tc>
        <w:tc>
          <w:tcPr>
            <w:tcW w:type="dxa" w:w="1575"/>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0.376</w:t>
            </w:r>
          </w:p>
        </w:tc>
        <w:tc>
          <w:tcPr>
            <w:tcW w:type="dxa" w:w="1725"/>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0.279</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0.224</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0.207</w:t>
            </w:r>
          </w:p>
        </w:tc>
      </w:tr>
      <w:tr>
        <w:trPr>
          <w:tblHeader w:val="false"/>
        </w:trPr>
        <w:tc>
          <w:tcPr>
            <w:tcW w:type="dxa" w:w="27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Faithfulness, all rows</w:t>
            </w:r>
          </w:p>
        </w:tc>
        <w:tc>
          <w:tcPr>
            <w:tcW w:type="dxa" w:w="1575"/>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0.548</w:t>
            </w:r>
          </w:p>
        </w:tc>
        <w:tc>
          <w:tcPr>
            <w:tcW w:type="dxa" w:w="1725"/>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0.599</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0.628</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0.638</w:t>
            </w:r>
          </w:p>
        </w:tc>
      </w:tr>
      <w:tr>
        <w:trPr>
          <w:tblHeader w:val="false"/>
        </w:trPr>
        <w:tc>
          <w:tcPr>
            <w:tcW w:type="dxa" w:w="27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Faithfulness, answered</w:t>
            </w:r>
          </w:p>
        </w:tc>
        <w:tc>
          <w:tcPr>
            <w:tcW w:type="dxa" w:w="1575"/>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0.737</w:t>
            </w:r>
          </w:p>
        </w:tc>
        <w:tc>
          <w:tcPr>
            <w:tcW w:type="dxa" w:w="1725"/>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0.727</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0.731</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0.746</w:t>
            </w:r>
          </w:p>
        </w:tc>
      </w:tr>
    </w:tbl>
    <w:p>
      <w:pPr>
        <w:spacing w:after="180" w:before="100"/>
      </w:pPr>
      <w:r>
        <w:rPr>
          <w:rFonts w:ascii="Times New Roman" w:cs="Times New Roman" w:eastAsia="Times New Roman" w:hAnsi="Times New Roman"/>
          <w:i/>
          <w:iCs/>
          <w:sz w:val="17"/>
          <w:szCs w:val="17"/>
        </w:rPr>
        <w:t xml:space="preserve">Table IV. Pooling refusals into the faithfulness average reproduces the retrieval ranking exactly (spread 0.090). Restricted to answered rows the spread is 0.019 and the ordering does not follow retrieval quality.</w:t>
      </w:r>
    </w:p>
    <w:p>
      <w:pPr>
        <w:spacing w:after="160" w:before="0" w:line="276"/>
      </w:pPr>
      <w:r>
        <w:rPr>
          <w:rFonts w:ascii="Times New Roman" w:cs="Times New Roman" w:eastAsia="Times New Roman" w:hAnsi="Times New Roman"/>
          <w:sz w:val="20"/>
          <w:szCs w:val="20"/>
        </w:rPr>
        <w:t xml:space="preserve">The general statement is that any evaluation population whose membership depends on the system under comparison can transfer an effect from the selection into the measurement. Here the weakest retriever refuses most often, and every refusal lowers its average. All faithfulness results in this paper exclude refusals and are paired on the queries every system answered. Section X notes what that pairing costs.</w:t>
      </w:r>
    </w:p>
    <w:p>
      <w:pPr>
        <w:pStyle w:val="Heading1"/>
        <w:spacing w:after="120" w:before="260"/>
      </w:pPr>
      <w:r>
        <w:rPr>
          <w:rFonts w:ascii="Times New Roman" w:cs="Times New Roman" w:eastAsia="Times New Roman" w:hAnsi="Times New Roman"/>
          <w:b/>
          <w:bCs/>
          <w:sz w:val="26"/>
          <w:szCs w:val="26"/>
        </w:rPr>
        <w:t xml:space="preserve">VII. The Verdict Depends on the Evaluator</w:t>
      </w:r>
    </w:p>
    <w:p>
      <w:pPr>
        <w:spacing w:after="100" w:before="0" w:line="276"/>
      </w:pPr>
      <w:r>
        <w:rPr>
          <w:rFonts w:ascii="Times New Roman" w:cs="Times New Roman" w:eastAsia="Times New Roman" w:hAnsi="Times New Roman"/>
          <w:sz w:val="20"/>
          <w:szCs w:val="20"/>
        </w:rPr>
        <w:t xml:space="preserve">We now compare the four retrieval systems on faithfulness, refusals excluded, paired on a common query subset, with a paired bootstrap of 10,000 resamples.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800"/>
        <w:gridCol w:w="1000"/>
        <w:gridCol w:w="1800"/>
        <w:gridCol w:w="800"/>
      </w:tblGrid>
      <w:tr>
        <w:trPr>
          <w:tblHeader/>
        </w:trPr>
        <w:tc>
          <w:tcPr>
            <w:tcW w:type="dxa" w:w="27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Dataset / generator</w:t>
            </w:r>
          </w:p>
        </w:tc>
        <w:tc>
          <w:tcPr>
            <w:tcW w:type="dxa" w:w="9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n</w:t>
            </w:r>
          </w:p>
        </w:tc>
        <w:tc>
          <w:tcPr>
            <w:tcW w:type="dxa" w:w="18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NLI-max spread</w:t>
            </w:r>
          </w:p>
        </w:tc>
        <w:tc>
          <w:tcPr>
            <w:tcW w:type="dxa" w:w="10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p</w:t>
            </w:r>
          </w:p>
        </w:tc>
        <w:tc>
          <w:tcPr>
            <w:tcW w:type="dxa" w:w="18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AlignScore spread</w:t>
            </w:r>
          </w:p>
        </w:tc>
        <w:tc>
          <w:tcPr>
            <w:tcW w:type="dxa" w:w="8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p</w:t>
            </w:r>
          </w:p>
        </w:tc>
      </w:tr>
      <w:tr>
        <w:trPr>
          <w:tblHeader w:val="false"/>
        </w:trPr>
        <w:tc>
          <w:tcPr>
            <w:tcW w:type="dxa" w:w="27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NQ / Claude</w:t>
            </w:r>
          </w:p>
        </w:tc>
        <w:tc>
          <w:tcPr>
            <w:tcW w:type="dxa" w:w="9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792</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0.0090</w:t>
            </w:r>
          </w:p>
        </w:tc>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0.223</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0.0179</w:t>
            </w:r>
          </w:p>
        </w:tc>
        <w:tc>
          <w:tcPr>
            <w:tcW w:type="dxa" w:w="8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0.0005</w:t>
            </w:r>
          </w:p>
        </w:tc>
      </w:tr>
      <w:tr>
        <w:trPr>
          <w:tblHeader w:val="false"/>
        </w:trPr>
        <w:tc>
          <w:tcPr>
            <w:tcW w:type="dxa" w:w="27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NQ / GPT-4o-mini</w:t>
            </w:r>
          </w:p>
        </w:tc>
        <w:tc>
          <w:tcPr>
            <w:tcW w:type="dxa" w:w="9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628</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0.0129</w:t>
            </w:r>
          </w:p>
        </w:tc>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0.099</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0.0080</w:t>
            </w:r>
          </w:p>
        </w:tc>
        <w:tc>
          <w:tcPr>
            <w:tcW w:type="dxa" w:w="8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0.118</w:t>
            </w:r>
          </w:p>
        </w:tc>
      </w:tr>
      <w:tr>
        <w:trPr>
          <w:tblHeader w:val="false"/>
        </w:trPr>
        <w:tc>
          <w:tcPr>
            <w:tcW w:type="dxa" w:w="27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HotpotQA / Claude</w:t>
            </w:r>
          </w:p>
        </w:tc>
        <w:tc>
          <w:tcPr>
            <w:tcW w:type="dxa" w:w="9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538</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0.0190</w:t>
            </w:r>
          </w:p>
        </w:tc>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0.270</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0.0126</w:t>
            </w:r>
          </w:p>
        </w:tc>
        <w:tc>
          <w:tcPr>
            <w:tcW w:type="dxa" w:w="8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0.151</w:t>
            </w:r>
          </w:p>
        </w:tc>
      </w:tr>
      <w:tr>
        <w:trPr>
          <w:tblHeader w:val="false"/>
        </w:trPr>
        <w:tc>
          <w:tcPr>
            <w:tcW w:type="dxa" w:w="27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HotpotQA / GPT-4o-mini</w:t>
            </w:r>
          </w:p>
        </w:tc>
        <w:tc>
          <w:tcPr>
            <w:tcW w:type="dxa" w:w="9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510</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0.0267</w:t>
            </w:r>
          </w:p>
        </w:tc>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0.065</w:t>
            </w:r>
          </w:p>
        </w:tc>
        <w:tc>
          <w:tcPr>
            <w:tcW w:type="dxa" w:w="18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0.0461</w:t>
            </w:r>
          </w:p>
        </w:tc>
        <w:tc>
          <w:tcPr>
            <w:tcW w:type="dxa" w:w="8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0.0005</w:t>
            </w:r>
          </w:p>
        </w:tc>
      </w:tr>
    </w:tbl>
    <w:p>
      <w:pPr>
        <w:spacing w:after="180" w:before="100"/>
      </w:pPr>
      <w:r>
        <w:rPr>
          <w:rFonts w:ascii="Times New Roman" w:cs="Times New Roman" w:eastAsia="Times New Roman" w:hAnsi="Times New Roman"/>
          <w:i/>
          <w:iCs/>
          <w:sz w:val="17"/>
          <w:szCs w:val="17"/>
        </w:rPr>
        <w:t xml:space="preserve">Table V. The same comparison under two evaluators. Two of four cells change verdict at alpha = 0.05. Queries, answers, refusal handling and test are identical throughout.</w:t>
      </w:r>
    </w:p>
    <w:p>
      <w:pPr>
        <w:spacing w:after="120" w:before="0" w:line="276"/>
      </w:pPr>
      <w:r>
        <w:rPr>
          <w:rFonts w:ascii="Times New Roman" w:cs="Times New Roman" w:eastAsia="Times New Roman" w:hAnsi="Times New Roman"/>
          <w:sz w:val="20"/>
          <w:szCs w:val="20"/>
        </w:rPr>
        <w:t xml:space="preserve">Under the common choice of evaluator, no cell shows a detectable difference. Under an evaluator measured in Section V to be more responsive to known errors, two do. A result reported only under the first would be an artifact of instrument resolution rather than a property of the systems.</w:t>
      </w:r>
    </w:p>
    <w:p>
      <w:pPr>
        <w:pStyle w:val="Heading2"/>
        <w:spacing w:after="120" w:before="260"/>
      </w:pPr>
      <w:r>
        <w:rPr>
          <w:rFonts w:ascii="Times New Roman" w:cs="Times New Roman" w:eastAsia="Times New Roman" w:hAnsi="Times New Roman"/>
          <w:b/>
          <w:bCs/>
          <w:sz w:val="22"/>
          <w:szCs w:val="22"/>
        </w:rPr>
        <w:t xml:space="preserve">A. Direction is dataset-dependent</w:t>
      </w:r>
    </w:p>
    <w:p>
      <w:pPr>
        <w:spacing w:after="100" w:before="0" w:line="276"/>
      </w:pPr>
      <w:r>
        <w:rPr>
          <w:rFonts w:ascii="Times New Roman" w:cs="Times New Roman" w:eastAsia="Times New Roman" w:hAnsi="Times New Roman"/>
          <w:sz w:val="20"/>
          <w:szCs w:val="20"/>
        </w:rPr>
        <w:t xml:space="preserve">Where a difference exists, it does not point the same way. Spearman correlation between NDCG@5 and faithfulness across the four systems, computed in every generator-evaluator combination: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650"/>
      </w:tblGrid>
      <w:tr>
        <w:trPr>
          <w:tblHeader/>
        </w:trPr>
        <w:tc>
          <w:tcPr>
            <w:tcW w:type="dxa" w:w="24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Dataset</w:t>
            </w:r>
          </w:p>
        </w:tc>
        <w:tc>
          <w:tcPr>
            <w:tcW w:type="dxa" w:w="16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Claude / NLI</w:t>
            </w:r>
          </w:p>
        </w:tc>
        <w:tc>
          <w:tcPr>
            <w:tcW w:type="dxa" w:w="16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Claude / Align</w:t>
            </w:r>
          </w:p>
        </w:tc>
        <w:tc>
          <w:tcPr>
            <w:tcW w:type="dxa" w:w="16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GPT / NLI</w:t>
            </w:r>
          </w:p>
        </w:tc>
        <w:tc>
          <w:tcPr>
            <w:tcW w:type="dxa" w:w="16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GPT / Align</w:t>
            </w:r>
          </w:p>
        </w:tc>
      </w:tr>
      <w:tr>
        <w:trPr>
          <w:tblHeader w:val="false"/>
        </w:trPr>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Natural Questions</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-1.00</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-0.40</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-0.80</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0.00</w:t>
            </w:r>
          </w:p>
        </w:tc>
      </w:tr>
      <w:tr>
        <w:trPr>
          <w:tblHeader w:val="false"/>
        </w:trPr>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HotpotQA</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+0.40</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+0.80</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+0.80</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+1.00</w:t>
            </w:r>
          </w:p>
        </w:tc>
      </w:tr>
    </w:tbl>
    <w:p>
      <w:pPr>
        <w:spacing w:after="180" w:before="100"/>
      </w:pPr>
      <w:r>
        <w:rPr>
          <w:rFonts w:ascii="Times New Roman" w:cs="Times New Roman" w:eastAsia="Times New Roman" w:hAnsi="Times New Roman"/>
          <w:i/>
          <w:iCs/>
          <w:sz w:val="17"/>
          <w:szCs w:val="17"/>
        </w:rPr>
        <w:t xml:space="preserve">Table VI. With four systems these coefficients cannot carry significance individually. The pattern is that all four HotpotQA cells are positive and all four Natural Questions cells are zero or negative, across both generators and both evaluators.</w:t>
      </w:r>
    </w:p>
    <w:p>
      <w:pPr>
        <w:spacing w:after="160" w:before="0" w:line="276"/>
      </w:pPr>
      <w:r>
        <w:rPr>
          <w:rFonts w:ascii="Times New Roman" w:cs="Times New Roman" w:eastAsia="Times New Roman" w:hAnsi="Times New Roman"/>
          <w:sz w:val="20"/>
          <w:szCs w:val="20"/>
        </w:rPr>
        <w:t xml:space="preserve">On the multi-hop dataset, better retrieval accompanies more faithful answers; on the single-hop dataset it does not. A plausible reading is that composing an answer from several retrieved pieces makes grounding sensitive to how much of the needed evidence is present, while a single-fact answer is not. We do not test this, and note that the experiment varies embedding model rather than manipulating retrieval quality directly, so the correlation should not be read as an effect of NDCG@5 itself.</w:t>
      </w:r>
    </w:p>
    <w:p>
      <w:pPr>
        <w:pStyle w:val="Heading1"/>
        <w:spacing w:after="120" w:before="260"/>
      </w:pPr>
      <w:r>
        <w:rPr>
          <w:rFonts w:ascii="Times New Roman" w:cs="Times New Roman" w:eastAsia="Times New Roman" w:hAnsi="Times New Roman"/>
          <w:b/>
          <w:bCs/>
          <w:sz w:val="26"/>
          <w:szCs w:val="26"/>
        </w:rPr>
        <w:t xml:space="preserve">VIII. What an Equivalence Claim Requires</w:t>
      </w:r>
    </w:p>
    <w:p>
      <w:pPr>
        <w:spacing w:after="100" w:before="0" w:line="276"/>
      </w:pPr>
      <w:r>
        <w:rPr>
          <w:rFonts w:ascii="Times New Roman" w:cs="Times New Roman" w:eastAsia="Times New Roman" w:hAnsi="Times New Roman"/>
          <w:sz w:val="20"/>
          <w:szCs w:val="20"/>
        </w:rPr>
        <w:t xml:space="preserve">Two of the four cells in Table V show no detectable difference under either evaluator. Absence of a detected difference is not evidence of equivalence, so we test equivalence directly with two one-sided tests [8]. A TOST result depends entirely on the margin, and a margin is a substantive judgement rather than a statistical fact — so we report a curve rather than assert a point.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80"/>
        <w:gridCol w:w="1080"/>
        <w:gridCol w:w="1080"/>
        <w:gridCol w:w="1080"/>
        <w:gridCol w:w="1080"/>
      </w:tblGrid>
      <w:tr>
        <w:trPr>
          <w:tblHeader/>
        </w:trPr>
        <w:tc>
          <w:tcPr>
            <w:tcW w:type="dxa" w:w="22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Dataset / generator</w:t>
            </w:r>
          </w:p>
        </w:tc>
        <w:tc>
          <w:tcPr>
            <w:tcW w:type="dxa" w:w="14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Evaluator</w:t>
            </w:r>
          </w:p>
        </w:tc>
        <w:tc>
          <w:tcPr>
            <w:tcW w:type="dxa" w:w="108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±0.01</w:t>
            </w:r>
          </w:p>
        </w:tc>
        <w:tc>
          <w:tcPr>
            <w:tcW w:type="dxa" w:w="108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±0.02</w:t>
            </w:r>
          </w:p>
        </w:tc>
        <w:tc>
          <w:tcPr>
            <w:tcW w:type="dxa" w:w="108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±0.03</w:t>
            </w:r>
          </w:p>
        </w:tc>
        <w:tc>
          <w:tcPr>
            <w:tcW w:type="dxa" w:w="108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±0.05</w:t>
            </w:r>
          </w:p>
        </w:tc>
        <w:tc>
          <w:tcPr>
            <w:tcW w:type="dxa" w:w="108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±0.10</w:t>
            </w:r>
          </w:p>
        </w:tc>
      </w:tr>
      <w:tr>
        <w:trPr>
          <w:tblHeader w:val="false"/>
        </w:trPr>
        <w:tc>
          <w:tcPr>
            <w:tcW w:type="dxa" w:w="2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NQ / Claude</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NLI-max</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4/6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r>
      <w:tr>
        <w:trPr>
          <w:tblHeader w:val="false"/>
        </w:trPr>
        <w:tc>
          <w:tcPr>
            <w:tcW w:type="dxa" w:w="2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AlignScore</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2/6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3/6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r>
      <w:tr>
        <w:trPr>
          <w:tblHeader w:val="false"/>
        </w:trPr>
        <w:tc>
          <w:tcPr>
            <w:tcW w:type="dxa" w:w="2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NQ / GPT-4o-mini</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NLI-max</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3/6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r>
      <w:tr>
        <w:trPr>
          <w:tblHeader w:val="false"/>
        </w:trPr>
        <w:tc>
          <w:tcPr>
            <w:tcW w:type="dxa" w:w="2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AlignScore</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1/6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r>
      <w:tr>
        <w:trPr>
          <w:tblHeader w:val="false"/>
        </w:trPr>
        <w:tc>
          <w:tcPr>
            <w:tcW w:type="dxa" w:w="2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HotpotQA / Claude</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NLI-max</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r>
      <w:tr>
        <w:trPr>
          <w:tblHeader w:val="false"/>
        </w:trPr>
        <w:tc>
          <w:tcPr>
            <w:tcW w:type="dxa" w:w="2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AlignScore</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3/6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r>
      <w:tr>
        <w:trPr>
          <w:tblHeader w:val="false"/>
        </w:trPr>
        <w:tc>
          <w:tcPr>
            <w:tcW w:type="dxa" w:w="2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HotpotQA / GPT</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NLI-max</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1/6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4/6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r>
      <w:tr>
        <w:trPr>
          <w:tblHeader w:val="false"/>
        </w:trPr>
        <w:tc>
          <w:tcPr>
            <w:tcW w:type="dxa" w:w="2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AlignScore</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4/6</w:t>
            </w:r>
          </w:p>
        </w:tc>
        <w:tc>
          <w:tcPr>
            <w:tcW w:type="dxa" w:w="10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6/6</w:t>
            </w:r>
          </w:p>
        </w:tc>
      </w:tr>
    </w:tbl>
    <w:p>
      <w:pPr>
        <w:spacing w:after="180" w:before="100"/>
      </w:pPr>
      <w:r>
        <w:rPr>
          <w:rFonts w:ascii="Times New Roman" w:cs="Times New Roman" w:eastAsia="Times New Roman" w:hAnsi="Times New Roman"/>
          <w:i/>
          <w:iCs/>
          <w:sz w:val="17"/>
          <w:szCs w:val="17"/>
        </w:rPr>
        <w:t xml:space="preserve">Table VII. System pairs judged equivalent, of six tested, across margins. A claim of equivalence is a claim about a particular column.</w:t>
      </w:r>
    </w:p>
    <w:p>
      <w:pPr>
        <w:spacing w:after="160" w:before="0" w:line="276"/>
      </w:pPr>
      <w:r>
        <w:rPr>
          <w:rFonts w:ascii="Times New Roman" w:cs="Times New Roman" w:eastAsia="Times New Roman" w:hAnsi="Times New Roman"/>
          <w:sz w:val="20"/>
          <w:szCs w:val="20"/>
        </w:rPr>
        <w:t xml:space="preserve">Section V supplies an external anchor for choosing that column. Falsifying one grounded value moves NLI-max by 0.033 to 0.094 on Claude's answers. A margin of ±0.05 on that evaluator is therefore approximately the size of one fabricated fact, which is not a negligible difference. Stating equivalence at ±0.05 without that context asserts more than the instrument supports.</w:t>
      </w:r>
    </w:p>
    <w:p>
      <w:pPr>
        <w:pStyle w:val="Heading1"/>
        <w:spacing w:after="120" w:before="260"/>
      </w:pPr>
      <w:r>
        <w:rPr>
          <w:rFonts w:ascii="Times New Roman" w:cs="Times New Roman" w:eastAsia="Times New Roman" w:hAnsi="Times New Roman"/>
          <w:b/>
          <w:bCs/>
          <w:sz w:val="26"/>
          <w:szCs w:val="26"/>
        </w:rPr>
        <w:t xml:space="preserve">IX. Discussion</w:t>
      </w:r>
    </w:p>
    <w:p>
      <w:pPr>
        <w:spacing w:after="80" w:before="0" w:line="276"/>
      </w:pPr>
      <w:r>
        <w:rPr>
          <w:rFonts w:ascii="Times New Roman" w:cs="Times New Roman" w:eastAsia="Times New Roman" w:hAnsi="Times New Roman"/>
          <w:sz w:val="20"/>
          <w:szCs w:val="20"/>
        </w:rPr>
        <w:t xml:space="preserve">For work that reports RAG faithfulness, we suggest the following.</w:t>
      </w:r>
    </w:p>
    <w:p>
      <w:pPr>
        <w:pStyle w:val="ListParagraph"/>
        <w:numPr>
          <w:ilvl w:val="0"/>
          <w:numId w:val="1"/>
        </w:numPr>
        <w:spacing w:after="60" w:line="276"/>
      </w:pPr>
      <w:r>
        <w:rPr>
          <w:rFonts w:ascii="Times New Roman" w:cs="Times New Roman" w:eastAsia="Times New Roman" w:hAnsi="Times New Roman"/>
          <w:sz w:val="20"/>
          <w:szCs w:val="20"/>
        </w:rPr>
        <w:t xml:space="preserve">Name the evaluator in the claim. "Faithfulness did not differ" is incomplete; two of our four cells reverse between evaluators on identical data.</w:t>
      </w:r>
    </w:p>
    <w:p>
      <w:pPr>
        <w:pStyle w:val="ListParagraph"/>
        <w:numPr>
          <w:ilvl w:val="0"/>
          <w:numId w:val="1"/>
        </w:numPr>
        <w:spacing w:after="60" w:line="276"/>
      </w:pPr>
      <w:r>
        <w:rPr>
          <w:rFonts w:ascii="Times New Roman" w:cs="Times New Roman" w:eastAsia="Times New Roman" w:hAnsi="Times New Roman"/>
          <w:sz w:val="20"/>
          <w:szCs w:val="20"/>
        </w:rPr>
        <w:t xml:space="preserve">Report the evaluation population explicitly, and whether membership depends on the system being compared. Pooling refusals reproduced the retrieval ranking exactly here (Table IV).</w:t>
      </w:r>
    </w:p>
    <w:p>
      <w:pPr>
        <w:pStyle w:val="ListParagraph"/>
        <w:numPr>
          <w:ilvl w:val="0"/>
          <w:numId w:val="1"/>
        </w:numPr>
        <w:spacing w:after="60" w:line="276"/>
      </w:pPr>
      <w:r>
        <w:rPr>
          <w:rFonts w:ascii="Times New Roman" w:cs="Times New Roman" w:eastAsia="Times New Roman" w:hAnsi="Times New Roman"/>
          <w:sz w:val="20"/>
          <w:szCs w:val="20"/>
        </w:rPr>
        <w:t xml:space="preserve">Prefer claim-level aggregation to a maximum over the whole answer, and expect it to help most where answers carry several assertions.</w:t>
      </w:r>
    </w:p>
    <w:p>
      <w:pPr>
        <w:pStyle w:val="ListParagraph"/>
        <w:numPr>
          <w:ilvl w:val="0"/>
          <w:numId w:val="1"/>
        </w:numPr>
        <w:spacing w:after="60" w:line="276"/>
      </w:pPr>
      <w:r>
        <w:rPr>
          <w:rFonts w:ascii="Times New Roman" w:cs="Times New Roman" w:eastAsia="Times New Roman" w:hAnsi="Times New Roman"/>
          <w:sz w:val="20"/>
          <w:szCs w:val="20"/>
        </w:rPr>
        <w:t xml:space="preserve">Calibrate the margin against a measured effect before claiming equivalence. A falsification experiment of the kind in Section V costs nothing beyond re-scoring.</w:t>
      </w:r>
    </w:p>
    <w:p>
      <w:pPr>
        <w:spacing w:after="160" w:before="0" w:line="276"/>
      </w:pPr>
      <w:r>
        <w:rPr>
          <w:rFonts w:ascii="Times New Roman" w:cs="Times New Roman" w:eastAsia="Times New Roman" w:hAnsi="Times New Roman"/>
          <w:sz w:val="20"/>
          <w:szCs w:val="20"/>
        </w:rPr>
        <w:t xml:space="preserve">For a document question answering system, the practical reading of Table II is that a grounding threshold on a verbose generator detects a minority of falsified values: 4% under the common evaluator, 29% under the most responsive one tested. A deterministic check that every value in an answer appears in the retrieved context addresses this class of error directly and is complementary to an entailment score. We have not evaluated such a check here.</w:t>
      </w:r>
    </w:p>
    <w:p>
      <w:pPr>
        <w:pStyle w:val="Heading1"/>
        <w:spacing w:after="120" w:before="260"/>
      </w:pPr>
      <w:r>
        <w:rPr>
          <w:rFonts w:ascii="Times New Roman" w:cs="Times New Roman" w:eastAsia="Times New Roman" w:hAnsi="Times New Roman"/>
          <w:b/>
          <w:bCs/>
          <w:sz w:val="26"/>
          <w:szCs w:val="26"/>
        </w:rPr>
        <w:t xml:space="preserve">X. Limitations</w:t>
      </w:r>
    </w:p>
    <w:p>
      <w:pPr>
        <w:pStyle w:val="ListParagraph"/>
        <w:numPr>
          <w:ilvl w:val="0"/>
          <w:numId w:val="1"/>
        </w:numPr>
        <w:spacing w:after="60" w:line="276"/>
      </w:pPr>
      <w:r>
        <w:rPr>
          <w:rFonts w:ascii="Times New Roman" w:cs="Times New Roman" w:eastAsia="Times New Roman" w:hAnsi="Times New Roman"/>
          <w:sz w:val="20"/>
          <w:szCs w:val="20"/>
        </w:rPr>
        <w:t xml:space="preserve">Four embedding models, two English datasets and two proprietary generators. The generator comparison in particular rests on two systems whose answer-length distributions differ substantially; an open-weight generator with a third profile would test the mechanism in Section V-C rather than merely repeat it.</w:t>
      </w:r>
    </w:p>
    <w:p>
      <w:pPr>
        <w:pStyle w:val="ListParagraph"/>
        <w:numPr>
          <w:ilvl w:val="0"/>
          <w:numId w:val="1"/>
        </w:numPr>
        <w:spacing w:after="60" w:line="276"/>
      </w:pPr>
      <w:r>
        <w:rPr>
          <w:rFonts w:ascii="Times New Roman" w:cs="Times New Roman" w:eastAsia="Times New Roman" w:hAnsi="Times New Roman"/>
          <w:sz w:val="20"/>
          <w:szCs w:val="20"/>
        </w:rPr>
        <w:t xml:space="preserve">Correctness figures are provisional. Exact match is 0.000 across all 4,000 Claude Natural Questions answers because the generators do not emit bare answer spans, and token F1 is 0.121 for the same reason, so correctness currently rests on string containment, an upper bound. A graded judgement is implemented but not yet run. Table VIII is reported for completeness and should not be cited as a measurement.</w:t>
      </w:r>
    </w:p>
    <w:p>
      <w:pPr>
        <w:pStyle w:val="ListParagraph"/>
        <w:numPr>
          <w:ilvl w:val="0"/>
          <w:numId w:val="1"/>
        </w:numPr>
        <w:spacing w:after="60" w:line="276"/>
      </w:pPr>
      <w:r>
        <w:rPr>
          <w:rFonts w:ascii="Times New Roman" w:cs="Times New Roman" w:eastAsia="Times New Roman" w:hAnsi="Times New Roman"/>
          <w:sz w:val="20"/>
          <w:szCs w:val="20"/>
        </w:rPr>
        <w:t xml:space="preserve">Retrieval hit is defined as the gold answer string appearing in the retrieved context. This is a strong definition, and it does not separate retrieval failure from failures of composition, entity resolution or inference once the evidence is present.</w:t>
      </w:r>
    </w:p>
    <w:p>
      <w:pPr>
        <w:pStyle w:val="ListParagraph"/>
        <w:numPr>
          <w:ilvl w:val="0"/>
          <w:numId w:val="1"/>
        </w:numPr>
        <w:spacing w:after="60" w:line="276"/>
      </w:pPr>
      <w:r>
        <w:rPr>
          <w:rFonts w:ascii="Times New Roman" w:cs="Times New Roman" w:eastAsia="Times New Roman" w:hAnsi="Times New Roman"/>
          <w:sz w:val="20"/>
          <w:szCs w:val="20"/>
        </w:rPr>
        <w:t xml:space="preserve">The Natural Questions sample retains only queries whose annotated answer falls inside the retained context window. This makes the retrieval task more constrained than open-domain RAG, where evidence may be distributed, partial or implicit.</w:t>
      </w:r>
    </w:p>
    <w:p>
      <w:pPr>
        <w:pStyle w:val="ListParagraph"/>
        <w:numPr>
          <w:ilvl w:val="0"/>
          <w:numId w:val="1"/>
        </w:numPr>
        <w:spacing w:after="60" w:line="276"/>
      </w:pPr>
      <w:r>
        <w:rPr>
          <w:rFonts w:ascii="Times New Roman" w:cs="Times New Roman" w:eastAsia="Times New Roman" w:hAnsi="Times New Roman"/>
          <w:sz w:val="20"/>
          <w:szCs w:val="20"/>
        </w:rPr>
        <w:t xml:space="preserve">Pairing on the queries every system answered removes exactly those queries where retrieval quality determined whether an answer was produced. The reported comparison is therefore conditional on that subset, which is narrower than an unconditional comparison.</w:t>
      </w:r>
    </w:p>
    <w:p>
      <w:pPr>
        <w:pStyle w:val="ListParagraph"/>
        <w:numPr>
          <w:ilvl w:val="0"/>
          <w:numId w:val="1"/>
        </w:numPr>
        <w:spacing w:after="60" w:line="276"/>
      </w:pPr>
      <w:r>
        <w:rPr>
          <w:rFonts w:ascii="Times New Roman" w:cs="Times New Roman" w:eastAsia="Times New Roman" w:hAnsi="Times New Roman"/>
          <w:sz w:val="20"/>
          <w:szCs w:val="20"/>
        </w:rPr>
        <w:t xml:space="preserve">Effect sizes are small where detected — 0.018 and 0.046 — against retrieval spreads of 4.4 and 11.9 NDCG@5 points. These are detectable differences, not large ones.</w:t>
      </w:r>
    </w:p>
    <w:p>
      <w:pPr>
        <w:spacing w:after="60" w:before="0" w:line="276"/>
      </w:pPr>
      <w:r>
        <w:rPr>
          <w:rFonts w:ascii="Times New Roman" w:cs="Times New Roman" w:eastAsia="Times New Roman" w:hAnsi="Times New Roman"/>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Contingency (Claude, provisional)</w:t>
            </w:r>
          </w:p>
        </w:tc>
        <w:tc>
          <w:tcPr>
            <w:tcW w:type="dxa" w:w="24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NQ</w:t>
            </w:r>
          </w:p>
        </w:tc>
        <w:tc>
          <w:tcPr>
            <w:tcW w:type="dxa" w:w="24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HotpotQA</w:t>
            </w:r>
          </w:p>
        </w:tc>
      </w:tr>
      <w:tr>
        <w:trPr>
          <w:tblHeader w:val="false"/>
        </w:trPr>
        <w:tc>
          <w:tcPr>
            <w:tcW w:type="dxa" w:w="4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hit and correct</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71.8%</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67.2%</w:t>
            </w:r>
          </w:p>
        </w:tc>
      </w:tr>
      <w:tr>
        <w:trPr>
          <w:tblHeader w:val="false"/>
        </w:trPr>
        <w:tc>
          <w:tcPr>
            <w:tcW w:type="dxa" w:w="4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hit and incorrect</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23.3%</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30.2%</w:t>
            </w:r>
          </w:p>
        </w:tc>
      </w:tr>
      <w:tr>
        <w:trPr>
          <w:tblHeader w:val="false"/>
        </w:trPr>
        <w:tc>
          <w:tcPr>
            <w:tcW w:type="dxa" w:w="4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miss and correct</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0.5%</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w:t>
            </w:r>
          </w:p>
        </w:tc>
      </w:tr>
      <w:tr>
        <w:trPr>
          <w:tblHeader w:val="false"/>
        </w:trPr>
        <w:tc>
          <w:tcPr>
            <w:tcW w:type="dxa" w:w="4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miss and incorrect</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4.4%</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2.4%</w:t>
            </w:r>
          </w:p>
        </w:tc>
      </w:tr>
    </w:tbl>
    <w:p>
      <w:pPr>
        <w:spacing w:after="180" w:before="100"/>
      </w:pPr>
      <w:r>
        <w:rPr>
          <w:rFonts w:ascii="Times New Roman" w:cs="Times New Roman" w:eastAsia="Times New Roman" w:hAnsi="Times New Roman"/>
          <w:i/>
          <w:iCs/>
          <w:sz w:val="17"/>
          <w:szCs w:val="17"/>
        </w:rPr>
        <w:t xml:space="preserve">Table VIII. Retrieval hit against correctness. Computed with string containment, an upper bound on correctness, and therefore provisional — see Limitations.</w:t>
      </w:r>
    </w:p>
    <w:p>
      <w:pPr>
        <w:pStyle w:val="Heading1"/>
        <w:spacing w:after="120" w:before="260"/>
      </w:pPr>
      <w:r>
        <w:rPr>
          <w:rFonts w:ascii="Times New Roman" w:cs="Times New Roman" w:eastAsia="Times New Roman" w:hAnsi="Times New Roman"/>
          <w:b/>
          <w:bCs/>
          <w:sz w:val="26"/>
          <w:szCs w:val="26"/>
        </w:rPr>
        <w:t xml:space="preserve">XI. Conclusion</w:t>
      </w:r>
    </w:p>
    <w:p>
      <w:pPr>
        <w:spacing w:after="200" w:before="0" w:line="276"/>
      </w:pPr>
      <w:r>
        <w:rPr>
          <w:rFonts w:ascii="Times New Roman" w:cs="Times New Roman" w:eastAsia="Times New Roman" w:hAnsi="Times New Roman"/>
          <w:sz w:val="20"/>
          <w:szCs w:val="20"/>
        </w:rPr>
        <w:t xml:space="preserve">Holding a 16,000-answer generation grid fixed and varying only the faithfulness evaluator changes the conclusion about whether embedding choice affects faithfulness in two of four dataset-generator cells. The differences between evaluators are measurable directly: a falsified grounded value moves the common entailment aggregate by 0.038 on one generator and 0.456 on the other, and the gap is explained by how many assertions an answer contains rather than by the retrieval system. Reported without naming the evaluator, the evaluation population, the aggregation and the equivalence margin, a faithfulness result is not reproducible in the sense that matters — another group applying a different standard choice to the same generations would reach a different conclusion.</w:t>
      </w:r>
    </w:p>
    <w:p>
      <w:pPr>
        <w:pStyle w:val="Heading1"/>
        <w:spacing w:after="120" w:before="260"/>
      </w:pPr>
      <w:r>
        <w:rPr>
          <w:rFonts w:ascii="Times New Roman" w:cs="Times New Roman" w:eastAsia="Times New Roman" w:hAnsi="Times New Roman"/>
          <w:b/>
          <w:bCs/>
          <w:sz w:val="26"/>
          <w:szCs w:val="26"/>
        </w:rPr>
        <w:t xml:space="preserve">References</w:t>
      </w:r>
    </w:p>
    <w:p>
      <w:pPr>
        <w:spacing w:after="60" w:before="0" w:line="276"/>
      </w:pPr>
      <w:r>
        <w:rPr>
          <w:rFonts w:ascii="Times New Roman" w:cs="Times New Roman" w:eastAsia="Times New Roman" w:hAnsi="Times New Roman"/>
          <w:sz w:val="18"/>
          <w:szCs w:val="18"/>
        </w:rPr>
        <w:t xml:space="preserve">[1] A. Salemi and H. Zamani, "Evaluating Retrieval Quality in Retrieval-Augmented Generation," in Proc. SIGIR, 2024. arXiv:2404.13781.</w:t>
      </w:r>
    </w:p>
    <w:p>
      <w:pPr>
        <w:spacing w:after="60" w:before="0" w:line="276"/>
      </w:pPr>
      <w:r>
        <w:rPr>
          <w:rFonts w:ascii="Times New Roman" w:cs="Times New Roman" w:eastAsia="Times New Roman" w:hAnsi="Times New Roman"/>
          <w:sz w:val="18"/>
          <w:szCs w:val="18"/>
        </w:rPr>
        <w:t xml:space="preserve">[2] S. Es, J. James, L. Espinosa-Anke, and S. Schockaert, "RAGAS: Automated Evaluation of Retrieval Augmented Generation," in Proc. EACL (System Demonstrations), 2024.</w:t>
      </w:r>
    </w:p>
    <w:p>
      <w:pPr>
        <w:spacing w:after="60" w:before="0" w:line="276"/>
      </w:pPr>
      <w:r>
        <w:rPr>
          <w:rFonts w:ascii="Times New Roman" w:cs="Times New Roman" w:eastAsia="Times New Roman" w:hAnsi="Times New Roman"/>
          <w:sz w:val="18"/>
          <w:szCs w:val="18"/>
        </w:rPr>
        <w:t xml:space="preserve">[3] Y. Zha, Y. Yang, R. Li, and Z. Yu, "AlignScore: Evaluating Factual Consistency with a Unified Alignment Function," in Proc. ACL, 2023.</w:t>
      </w:r>
    </w:p>
    <w:p>
      <w:pPr>
        <w:spacing w:after="60" w:before="0" w:line="276"/>
      </w:pPr>
      <w:r>
        <w:rPr>
          <w:rFonts w:ascii="Times New Roman" w:cs="Times New Roman" w:eastAsia="Times New Roman" w:hAnsi="Times New Roman"/>
          <w:sz w:val="18"/>
          <w:szCs w:val="18"/>
        </w:rPr>
        <w:t xml:space="preserve">[4] M. S. Tamber et al., "FaithJudge," in Proc. EMNLP Industry Track, 2025.</w:t>
      </w:r>
    </w:p>
    <w:p>
      <w:pPr>
        <w:spacing w:after="60" w:before="0" w:line="276"/>
      </w:pPr>
      <w:r>
        <w:rPr>
          <w:rFonts w:ascii="Times New Roman" w:cs="Times New Roman" w:eastAsia="Times New Roman" w:hAnsi="Times New Roman"/>
          <w:sz w:val="18"/>
          <w:szCs w:val="18"/>
        </w:rPr>
        <w:t xml:space="preserve">[5] Z. Sun et al., "ReDeEP: Detecting Hallucination in Retrieval-Augmented Generation," in Proc. ICLR, 2025.</w:t>
      </w:r>
    </w:p>
    <w:p>
      <w:pPr>
        <w:spacing w:after="60" w:before="0" w:line="276"/>
      </w:pPr>
      <w:r>
        <w:rPr>
          <w:rFonts w:ascii="Times New Roman" w:cs="Times New Roman" w:eastAsia="Times New Roman" w:hAnsi="Times New Roman"/>
          <w:sz w:val="18"/>
          <w:szCs w:val="18"/>
        </w:rPr>
        <w:t xml:space="preserve">[6] D. Sinha, "The Semantic Illusion in Retrieval-Augmented Generation," arXiv:2512.15068.</w:t>
      </w:r>
    </w:p>
    <w:p>
      <w:pPr>
        <w:spacing w:after="60" w:before="0" w:line="276"/>
      </w:pPr>
      <w:r>
        <w:rPr>
          <w:rFonts w:ascii="Times New Roman" w:cs="Times New Roman" w:eastAsia="Times New Roman" w:hAnsi="Times New Roman"/>
          <w:sz w:val="18"/>
          <w:szCs w:val="18"/>
        </w:rPr>
        <w:t xml:space="preserve">[7] S. Chen, "Each to Their Own: Matching Retrievers to Generators," arXiv:2507.17442.</w:t>
      </w:r>
    </w:p>
    <w:p>
      <w:pPr>
        <w:spacing w:after="60" w:before="0" w:line="276"/>
      </w:pPr>
      <w:r>
        <w:rPr>
          <w:rFonts w:ascii="Times New Roman" w:cs="Times New Roman" w:eastAsia="Times New Roman" w:hAnsi="Times New Roman"/>
          <w:sz w:val="18"/>
          <w:szCs w:val="18"/>
        </w:rPr>
        <w:t xml:space="preserve">[8] D. J. Schuirmann, "A comparison of the two one-sided tests procedure and the power approach for assessing the equivalence of average bioavailability," J. Pharmacokinet. Biopharm., vol. 15, no. 6, pp. 657-680, 1987.</w:t>
      </w:r>
    </w:p>
    <w:p>
      <w:pPr>
        <w:spacing w:after="60" w:before="0" w:line="276"/>
      </w:pPr>
      <w:r>
        <w:rPr>
          <w:rFonts w:ascii="Times New Roman" w:cs="Times New Roman" w:eastAsia="Times New Roman" w:hAnsi="Times New Roman"/>
          <w:sz w:val="18"/>
          <w:szCs w:val="18"/>
        </w:rPr>
        <w:t xml:space="preserve">[9] T. Kwiatkowski et al., "Natural Questions: A Benchmark for Question Answering Research," TACL, vol. 7, pp. 453-466, 2019.</w:t>
      </w:r>
    </w:p>
    <w:p>
      <w:pPr>
        <w:spacing w:after="60" w:before="0" w:line="276"/>
      </w:pPr>
      <w:r>
        <w:rPr>
          <w:rFonts w:ascii="Times New Roman" w:cs="Times New Roman" w:eastAsia="Times New Roman" w:hAnsi="Times New Roman"/>
          <w:sz w:val="18"/>
          <w:szCs w:val="18"/>
        </w:rPr>
        <w:t xml:space="preserve">[10] Z. Yang et al., "HotpotQA: A Dataset for Diverse, Explainable Multi-hop Question Answering," in Proc. EMNLP, 2018.</w:t>
      </w:r>
    </w:p>
    <w:p>
      <w:pPr>
        <w:spacing w:after="60" w:before="0" w:line="276"/>
      </w:pPr>
      <w:r>
        <w:rPr>
          <w:rFonts w:ascii="Times New Roman" w:cs="Times New Roman" w:eastAsia="Times New Roman" w:hAnsi="Times New Roman"/>
          <w:sz w:val="18"/>
          <w:szCs w:val="18"/>
        </w:rPr>
        <w:t xml:space="preserve">[11] P. He, X. Liu, J. Gao, and W. Chen, "DeBERTa: Decoding-enhanced BERT with Disentangled Attention," in Proc. ICLR, 2021.</w:t>
      </w:r>
    </w:p>
    <w:p>
      <w:pPr>
        <w:spacing w:after="60" w:before="0" w:line="276"/>
      </w:pPr>
      <w:r>
        <w:rPr>
          <w:rFonts w:ascii="Times New Roman" w:cs="Times New Roman" w:eastAsia="Times New Roman" w:hAnsi="Times New Roman"/>
          <w:sz w:val="18"/>
          <w:szCs w:val="18"/>
        </w:rPr>
        <w:t xml:space="preserve">[12] R. Dror, G. Baumer, S. Shlomov, and R. Reichart, "The Hitchhiker's Guide to Testing Statistical Significance in Natural Language Processing," in Proc. ACL, 2018.</w:t>
      </w:r>
    </w:p>
    <w:p>
      <w:pPr>
        <w:spacing w:after="60" w:before="0" w:line="276"/>
      </w:pPr>
      <w:r>
        <w:rPr>
          <w:rFonts w:ascii="Times New Roman" w:cs="Times New Roman" w:eastAsia="Times New Roman" w:hAnsi="Times New Roman"/>
          <w:sz w:val="18"/>
          <w:szCs w:val="18"/>
        </w:rPr>
        <w:t xml:space="preserve">[13] S. Sturua et al., "jina-embeddings-v3: Multilingual Embeddings With Task LoRA," arXiv:2409.10173.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2026-08-26T11:58:23.481Z</dcterms:created>
  <dcterms:modified xsi:type="dcterms:W3CDTF">2026-08-26T11:58:23.484Z</dcterms:modified>
</cp:coreProperties>
</file>

<file path=docProps/custom.xml><?xml version="1.0" encoding="utf-8"?>
<Properties xmlns="http://schemas.openxmlformats.org/officeDocument/2006/custom-properties" xmlns:vt="http://schemas.openxmlformats.org/officeDocument/2006/docPropsVTypes"/>
</file>