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40"/>
        <w:jc w:val="center"/>
      </w:pPr>
      <w:r>
        <w:rPr>
          <w:rFonts w:ascii="Times New Roman" w:cs="Times New Roman" w:eastAsia="Times New Roman" w:hAnsi="Times New Roman"/>
          <w:b/>
          <w:bCs/>
          <w:sz w:val="40"/>
          <w:szCs w:val="40"/>
        </w:rPr>
        <w:t xml:space="preserve">Beyond Retrieval Quality: How Embedding</w:t>
      </w:r>
    </w:p>
    <w:p>
      <w:pPr>
        <w:spacing w:after="120" w:line="240"/>
        <w:jc w:val="center"/>
      </w:pPr>
      <w:r>
        <w:rPr>
          <w:rFonts w:ascii="Times New Roman" w:cs="Times New Roman" w:eastAsia="Times New Roman" w:hAnsi="Times New Roman"/>
          <w:b/>
          <w:bCs/>
          <w:sz w:val="40"/>
          <w:szCs w:val="40"/>
        </w:rPr>
        <w:t xml:space="preserve">Architecture Affects Faithfulness in RAG Systems</w:t>
      </w:r>
    </w:p>
    <w:p>
      <w:pPr>
        <w:spacing w:after="20" w:line="240"/>
        <w:jc w:val="center"/>
      </w:pPr>
      <w:r>
        <w:rPr>
          <w:rFonts w:ascii="Times New Roman" w:cs="Times New Roman" w:eastAsia="Times New Roman" w:hAnsi="Times New Roman"/>
          <w:sz w:val="24"/>
          <w:szCs w:val="24"/>
        </w:rPr>
        <w:t xml:space="preserve">Shakhriyorbek Boltabaev</w:t>
      </w:r>
    </w:p>
    <w:p>
      <w:pPr>
        <w:spacing w:after="20" w:line="240"/>
        <w:jc w:val="center"/>
      </w:pPr>
      <w:r>
        <w:rPr>
          <w:rFonts w:ascii="Times New Roman" w:cs="Times New Roman" w:eastAsia="Times New Roman" w:hAnsi="Times New Roman"/>
          <w:i/>
          <w:iCs/>
          <w:sz w:val="22"/>
          <w:szCs w:val="22"/>
        </w:rPr>
        <w:t xml:space="preserve">University of Szeged, Department of Computer Science</w:t>
      </w:r>
    </w:p>
    <w:p>
      <w:pPr>
        <w:spacing w:after="60" w:line="240"/>
        <w:jc w:val="center"/>
      </w:pPr>
      <w:r>
        <w:rPr>
          <w:rFonts w:ascii="Times New Roman" w:cs="Times New Roman" w:eastAsia="Times New Roman" w:hAnsi="Times New Roman"/>
          <w:i/>
          <w:iCs/>
          <w:sz w:val="22"/>
          <w:szCs w:val="22"/>
        </w:rPr>
        <w:t xml:space="preserve">Email: shakhriyorbekboltabaev@gmail.com</w:t>
      </w:r>
    </w:p>
    <w:p>
      <w:pPr>
        <w:spacing w:after="0" w:line="240"/>
      </w:pPr>
    </w:p>
    <w:p>
      <w:pPr>
        <w:spacing w:after="60" w:before="60" w:line="240"/>
        <w:jc w:val="center"/>
      </w:pPr>
      <w:r>
        <w:rPr>
          <w:rFonts w:ascii="Times New Roman" w:cs="Times New Roman" w:eastAsia="Times New Roman" w:hAnsi="Times New Roman"/>
          <w:b/>
          <w:bCs/>
          <w:sz w:val="22"/>
          <w:szCs w:val="22"/>
        </w:rPr>
        <w:t xml:space="preserve">Abstract</w:t>
      </w:r>
    </w:p>
    <w:p>
      <w:pPr>
        <w:spacing w:after="60" w:line="240"/>
        <w:jc w:val="both"/>
      </w:pPr>
      <w:r>
        <w:rPr>
          <w:rFonts w:ascii="Times New Roman" w:cs="Times New Roman" w:eastAsia="Times New Roman" w:hAnsi="Times New Roman"/>
          <w:sz w:val="20"/>
          <w:szCs w:val="20"/>
        </w:rPr>
        <w:t xml:space="preserve">Retrieval-Augmented Generation (RAG) is now a standard approach for grounding large language model outputs in external knowledge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Systems are widely assumed to produce more faithful outputs when retrieval quality improves. This paper challenges that assumption by investigating whether the choice of retrieval embedding model architecture — independent of retrieval quality scores — systematically influences the faithfulness of generated answers. We propose a systematic empirical framework that decouples retrieval quality (measured by NDCG@5 and Recall@5) from generation faithfulness (measured by semantic entailment) across seven embedding models with distinct training paradigms: contrastive </w:t>
      </w:r>
      <w:r>
        <w:rPr>
          <w:rFonts w:ascii="Times New Roman" w:cs="Times New Roman" w:eastAsia="Times New Roman" w:hAnsi="Times New Roman"/>
          <w:color w:val="000080"/>
          <w:sz w:val="16"/>
          <w:szCs w:val="16"/>
        </w:rPr>
        <w:t xml:space="preserve">[4, 11]</w:t>
      </w:r>
      <w:r>
        <w:rPr>
          <w:rFonts w:ascii="Times New Roman" w:cs="Times New Roman" w:eastAsia="Times New Roman" w:hAnsi="Times New Roman"/>
          <w:sz w:val="20"/>
          <w:szCs w:val="20"/>
        </w:rPr>
        <w:t xml:space="preserve">, instruction-tuned </w:t>
      </w:r>
      <w:r>
        <w:rPr>
          <w:rFonts w:ascii="Times New Roman" w:cs="Times New Roman" w:eastAsia="Times New Roman" w:hAnsi="Times New Roman"/>
          <w:color w:val="000080"/>
          <w:sz w:val="16"/>
          <w:szCs w:val="16"/>
        </w:rPr>
        <w:t xml:space="preserve">[2, 12]</w:t>
      </w:r>
      <w:r>
        <w:rPr>
          <w:rFonts w:ascii="Times New Roman" w:cs="Times New Roman" w:eastAsia="Times New Roman" w:hAnsi="Times New Roman"/>
          <w:sz w:val="20"/>
          <w:szCs w:val="20"/>
        </w:rPr>
        <w:t xml:space="preserve">, multilingual </w:t>
      </w:r>
      <w:r>
        <w:rPr>
          <w:rFonts w:ascii="Times New Roman" w:cs="Times New Roman" w:eastAsia="Times New Roman" w:hAnsi="Times New Roman"/>
          <w:color w:val="000080"/>
          <w:sz w:val="16"/>
          <w:szCs w:val="16"/>
        </w:rPr>
        <w:t xml:space="preserve">[3]</w:t>
      </w:r>
      <w:r>
        <w:rPr>
          <w:rFonts w:ascii="Times New Roman" w:cs="Times New Roman" w:eastAsia="Times New Roman" w:hAnsi="Times New Roman"/>
          <w:sz w:val="20"/>
          <w:szCs w:val="20"/>
        </w:rPr>
        <w:t xml:space="preserve">, and distillation-based </w:t>
      </w:r>
      <w:r>
        <w:rPr>
          <w:rFonts w:ascii="Times New Roman" w:cs="Times New Roman" w:eastAsia="Times New Roman" w:hAnsi="Times New Roman"/>
          <w:color w:val="000080"/>
          <w:sz w:val="16"/>
          <w:szCs w:val="16"/>
        </w:rPr>
        <w:t xml:space="preserve">[8]</w:t>
      </w:r>
      <w:r>
        <w:rPr>
          <w:rFonts w:ascii="Times New Roman" w:cs="Times New Roman" w:eastAsia="Times New Roman" w:hAnsi="Times New Roman"/>
          <w:sz w:val="20"/>
          <w:szCs w:val="20"/>
        </w:rPr>
        <w:t xml:space="preserve">. We introduce the Retrieval-Faithfulness Gap (RFG) metric to quantify the disconnect between retrieval similarity and grounded generation. Experiments across three QA benchmarks — Natural Questions, HotpotQA, and QASPER — and two LLM generators reveal that embedding models with near-identical retrieval scores produce significantly different faithfulness rates, and that this gap correlates with the degree to which embedding training objectives align semantic similarity with logical entailment in representation space. Based on our findings, we propose a lightweight faithfulness-aware re-ranking strategy that reduces hallucination rates without retraining the generator.</w:t>
      </w:r>
    </w:p>
    <w:p>
      <w:pPr>
        <w:spacing w:after="0" w:line="240"/>
      </w:pPr>
    </w:p>
    <w:p>
      <w:pPr>
        <w:spacing w:after="60" w:line="24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Retrieval-Augmented Generation, Hallucination, Faithfulness, Embedding Models, Semantic Entailment, Natural Language Processing</w:t>
      </w:r>
    </w:p>
    <w:p>
      <w:pPr>
        <w:spacing w:after="0" w:line="240"/>
      </w:pPr>
    </w:p>
    <w:p>
      <w:pPr>
        <w:sectPr>
          <w:type w:val="continuous"/>
          <w:pgSz w:w="12240" w:h="15840" w:orient="portrait"/>
          <w:pgMar w:top="720" w:right="720" w:bottom="720" w:left="720" w:header="708" w:footer="708" w:gutter="0"/>
          <w:pgNumType/>
          <w:cols w:num="1"/>
          <w:docGrid w:linePitch="360"/>
        </w:sectPr>
      </w:pPr>
    </w:p>
    <w:p>
      <w:pPr>
        <w:spacing w:after="100" w:before="200" w:line="240"/>
        <w:jc w:val="left"/>
      </w:pPr>
      <w:r>
        <w:rPr>
          <w:rFonts w:ascii="Times New Roman" w:cs="Times New Roman" w:eastAsia="Times New Roman" w:hAnsi="Times New Roman"/>
          <w:b/>
          <w:bCs/>
          <w:sz w:val="22"/>
          <w:szCs w:val="22"/>
        </w:rPr>
        <w:t xml:space="preserve">1. Introduction</w:t>
      </w:r>
    </w:p>
    <w:p>
      <w:pPr>
        <w:spacing w:after="60" w:line="240"/>
        <w:jc w:val="both"/>
      </w:pPr>
      <w:r>
        <w:rPr>
          <w:rFonts w:ascii="Times New Roman" w:cs="Times New Roman" w:eastAsia="Times New Roman" w:hAnsi="Times New Roman"/>
          <w:sz w:val="20"/>
          <w:szCs w:val="20"/>
        </w:rPr>
        <w:t xml:space="preserve">Retrieval-Augmented Generation (RAG) has become the go-to method for grounding large language model (LLM) outputs in external knowledge sources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By retrieving semantically relevant documents at inference time, RAG systems are expected to reduce hallucination and improve factual accuracy </w:t>
      </w:r>
      <w:r>
        <w:rPr>
          <w:rFonts w:ascii="Times New Roman" w:cs="Times New Roman" w:eastAsia="Times New Roman" w:hAnsi="Times New Roman"/>
          <w:color w:val="000080"/>
          <w:sz w:val="16"/>
          <w:szCs w:val="16"/>
        </w:rPr>
        <w:t xml:space="preserve">[10]</w:t>
      </w:r>
      <w:r>
        <w:rPr>
          <w:rFonts w:ascii="Times New Roman" w:cs="Times New Roman" w:eastAsia="Times New Roman" w:hAnsi="Times New Roman"/>
          <w:sz w:val="20"/>
          <w:szCs w:val="20"/>
        </w:rPr>
        <w:t xml:space="preserve">. The prevailing assumption in both research and industry is simple: better retrieval leads to more faithful generation.</w:t>
      </w:r>
    </w:p>
    <w:p>
      <w:pPr>
        <w:spacing w:after="60" w:line="240"/>
        <w:jc w:val="both"/>
      </w:pPr>
      <w:r>
        <w:rPr>
          <w:rFonts w:ascii="Times New Roman" w:cs="Times New Roman" w:eastAsia="Times New Roman" w:hAnsi="Times New Roman"/>
          <w:sz w:val="20"/>
          <w:szCs w:val="20"/>
        </w:rPr>
        <w:t xml:space="preserve">This paper challenges that assumption. We observe that two RAG systems using embedding models with near-identical retrieval quality scores — as measured by standard information retrieval metrics such as NDCG@5 and Recall@5 — can produce substantially different hallucination rates on the same queries. This divergence suggests that retrieval quality metrics do not fully capture what matters for downstream faithfulness, a concern also raised in the context of hallucination detection by Sinha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w:t>
      </w:r>
    </w:p>
    <w:p>
      <w:pPr>
        <w:spacing w:after="60" w:line="240"/>
        <w:jc w:val="both"/>
      </w:pPr>
      <w:r>
        <w:rPr>
          <w:rFonts w:ascii="Times New Roman" w:cs="Times New Roman" w:eastAsia="Times New Roman" w:hAnsi="Times New Roman"/>
          <w:sz w:val="20"/>
          <w:szCs w:val="20"/>
        </w:rPr>
        <w:t xml:space="preserve">We hypothesize that the </w:t>
      </w:r>
      <w:r>
        <w:rPr>
          <w:rFonts w:ascii="Times New Roman" w:cs="Times New Roman" w:eastAsia="Times New Roman" w:hAnsi="Times New Roman"/>
          <w:i/>
          <w:iCs/>
          <w:sz w:val="20"/>
          <w:szCs w:val="20"/>
        </w:rPr>
        <w:t xml:space="preserve">training objective of the embedding model</w:t>
      </w:r>
      <w:r>
        <w:rPr>
          <w:rFonts w:ascii="Times New Roman" w:cs="Times New Roman" w:eastAsia="Times New Roman" w:hAnsi="Times New Roman"/>
          <w:sz w:val="20"/>
          <w:szCs w:val="20"/>
        </w:rPr>
        <w:t xml:space="preserve"> — specifically whether it was trained with contrastive objectives </w:t>
      </w:r>
      <w:r>
        <w:rPr>
          <w:rFonts w:ascii="Times New Roman" w:cs="Times New Roman" w:eastAsia="Times New Roman" w:hAnsi="Times New Roman"/>
          <w:color w:val="000080"/>
          <w:sz w:val="16"/>
          <w:szCs w:val="16"/>
        </w:rPr>
        <w:t xml:space="preserve">[4, 11]</w:t>
      </w:r>
      <w:r>
        <w:rPr>
          <w:rFonts w:ascii="Times New Roman" w:cs="Times New Roman" w:eastAsia="Times New Roman" w:hAnsi="Times New Roman"/>
          <w:sz w:val="20"/>
          <w:szCs w:val="20"/>
        </w:rPr>
        <w:t xml:space="preserve">, instruction-tuning </w:t>
      </w:r>
      <w:r>
        <w:rPr>
          <w:rFonts w:ascii="Times New Roman" w:cs="Times New Roman" w:eastAsia="Times New Roman" w:hAnsi="Times New Roman"/>
          <w:color w:val="000080"/>
          <w:sz w:val="16"/>
          <w:szCs w:val="16"/>
        </w:rPr>
        <w:t xml:space="preserve">[2, 12]</w:t>
      </w:r>
      <w:r>
        <w:rPr>
          <w:rFonts w:ascii="Times New Roman" w:cs="Times New Roman" w:eastAsia="Times New Roman" w:hAnsi="Times New Roman"/>
          <w:sz w:val="20"/>
          <w:szCs w:val="20"/>
        </w:rPr>
        <w:t xml:space="preserve">, or multilingual alignment </w:t>
      </w:r>
      <w:r>
        <w:rPr>
          <w:rFonts w:ascii="Times New Roman" w:cs="Times New Roman" w:eastAsia="Times New Roman" w:hAnsi="Times New Roman"/>
          <w:color w:val="000080"/>
          <w:sz w:val="16"/>
          <w:szCs w:val="16"/>
        </w:rPr>
        <w:t xml:space="preserve">[3]</w:t>
      </w:r>
      <w:r>
        <w:rPr>
          <w:rFonts w:ascii="Times New Roman" w:cs="Times New Roman" w:eastAsia="Times New Roman" w:hAnsi="Times New Roman"/>
          <w:sz w:val="20"/>
          <w:szCs w:val="20"/>
        </w:rPr>
        <w:t xml:space="preserve"> — determines the geometric structure of the embedding space in ways not reflected in retrieval metrics but relevant to generation faithfulness. Concretely, we ask: </w:t>
      </w:r>
      <w:r>
        <w:rPr>
          <w:rFonts w:ascii="Times New Roman" w:cs="Times New Roman" w:eastAsia="Times New Roman" w:hAnsi="Times New Roman"/>
          <w:i/>
          <w:iCs/>
          <w:sz w:val="20"/>
          <w:szCs w:val="20"/>
        </w:rPr>
        <w:t xml:space="preserve">does embedding model architecture systematically affect how faithfully an LLM grounds its generated answer in retrieved context?</w:t>
      </w:r>
    </w:p>
    <w:p>
      <w:pPr>
        <w:spacing w:after="60" w:line="240"/>
        <w:jc w:val="both"/>
      </w:pPr>
      <w:r>
        <w:rPr>
          <w:rFonts w:ascii="Times New Roman" w:cs="Times New Roman" w:eastAsia="Times New Roman" w:hAnsi="Times New Roman"/>
          <w:sz w:val="20"/>
          <w:szCs w:val="20"/>
        </w:rPr>
        <w:t xml:space="preserve">Prior work has studied RAG faithfulness primarily from the generation side: investigating how LLMs utilize retrieved context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 proposing post-hoc hallucination detection methods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 or fine-tuning generators to be more context-faithful </w:t>
      </w:r>
      <w:r>
        <w:rPr>
          <w:rFonts w:ascii="Times New Roman" w:cs="Times New Roman" w:eastAsia="Times New Roman" w:hAnsi="Times New Roman"/>
          <w:color w:val="000080"/>
          <w:sz w:val="16"/>
          <w:szCs w:val="16"/>
        </w:rPr>
        <w:t xml:space="preserve">[13]</w:t>
      </w:r>
      <w:r>
        <w:rPr>
          <w:rFonts w:ascii="Times New Roman" w:cs="Times New Roman" w:eastAsia="Times New Roman" w:hAnsi="Times New Roman"/>
          <w:sz w:val="20"/>
          <w:szCs w:val="20"/>
        </w:rPr>
        <w:t xml:space="preserve">. The upstream retrieval stage — specifically, how embedding model choice shapes retrieved context for faithful generation — has received limited systematic attention. The most relevant prior work </w:t>
      </w:r>
      <w:r>
        <w:rPr>
          <w:rFonts w:ascii="Times New Roman" w:cs="Times New Roman" w:eastAsia="Times New Roman" w:hAnsi="Times New Roman"/>
          <w:color w:val="000080"/>
          <w:sz w:val="16"/>
          <w:szCs w:val="16"/>
        </w:rPr>
        <w:t xml:space="preserve">[7]</w:t>
      </w:r>
      <w:r>
        <w:rPr>
          <w:rFonts w:ascii="Times New Roman" w:cs="Times New Roman" w:eastAsia="Times New Roman" w:hAnsi="Times New Roman"/>
          <w:sz w:val="20"/>
          <w:szCs w:val="20"/>
        </w:rPr>
        <w:t xml:space="preserve"> studies how embedding choice affects general response quality but does not isolate faithfulness as the dependent variable, nor examine the geometric properties of the embedding space that might explain such differences.</w:t>
      </w:r>
    </w:p>
    <w:p>
      <w:pPr>
        <w:spacing w:after="60" w:line="240"/>
        <w:jc w:val="both"/>
      </w:pPr>
      <w:r>
        <w:rPr>
          <w:rFonts w:ascii="Times New Roman" w:cs="Times New Roman" w:eastAsia="Times New Roman" w:hAnsi="Times New Roman"/>
          <w:sz w:val="20"/>
          <w:szCs w:val="20"/>
        </w:rPr>
        <w:t xml:space="preserve">We make three main contributions. First, we introduce the Retrieval-Faithfulness Gap (RFG) metric, which captures the disconnect between retrieval similarity scores and downstream faithfulness. Second, we run a systematic empirical study across seven embedding models </w:t>
      </w:r>
      <w:r>
        <w:rPr>
          <w:rFonts w:ascii="Times New Roman" w:cs="Times New Roman" w:eastAsia="Times New Roman" w:hAnsi="Times New Roman"/>
          <w:color w:val="000080"/>
          <w:sz w:val="16"/>
          <w:szCs w:val="16"/>
        </w:rPr>
        <w:t xml:space="preserve">[2, 3, 4, 8, 11, 12]</w:t>
      </w:r>
      <w:r>
        <w:rPr>
          <w:rFonts w:ascii="Times New Roman" w:cs="Times New Roman" w:eastAsia="Times New Roman" w:hAnsi="Times New Roman"/>
          <w:sz w:val="20"/>
          <w:szCs w:val="20"/>
        </w:rPr>
        <w:t xml:space="preserve">, three benchmarks, and two generators, revealing that embedding architecture is a meaningful predictor of faithfulness beyond retrieval quality. Third, we propose a lightweight faithfulness-aware re-ranking strategy that uses entailment probability to supplement cosine similarity, reducing hallucination rates without retraining the generator.</w:t>
      </w:r>
    </w:p>
    <w:p>
      <w:pPr>
        <w:spacing w:after="100" w:before="200" w:line="240"/>
        <w:jc w:val="left"/>
      </w:pPr>
      <w:r>
        <w:rPr>
          <w:rFonts w:ascii="Times New Roman" w:cs="Times New Roman" w:eastAsia="Times New Roman" w:hAnsi="Times New Roman"/>
          <w:b/>
          <w:bCs/>
          <w:sz w:val="22"/>
          <w:szCs w:val="22"/>
        </w:rPr>
        <w:t xml:space="preserve">2. Background and Related Work</w:t>
      </w:r>
    </w:p>
    <w:p>
      <w:pPr>
        <w:spacing w:after="60" w:before="140" w:line="240"/>
        <w:jc w:val="left"/>
      </w:pPr>
      <w:r>
        <w:rPr>
          <w:rFonts w:ascii="Times New Roman" w:cs="Times New Roman" w:eastAsia="Times New Roman" w:hAnsi="Times New Roman"/>
          <w:b/>
          <w:bCs/>
          <w:sz w:val="20"/>
          <w:szCs w:val="20"/>
        </w:rPr>
        <w:t xml:space="preserve">2.1 Retrieval-Augmented Generation</w:t>
      </w:r>
    </w:p>
    <w:p>
      <w:pPr>
        <w:spacing w:after="60" w:line="240"/>
        <w:jc w:val="both"/>
      </w:pPr>
      <w:r>
        <w:rPr>
          <w:rFonts w:ascii="Times New Roman" w:cs="Times New Roman" w:eastAsia="Times New Roman" w:hAnsi="Times New Roman"/>
          <w:sz w:val="20"/>
          <w:szCs w:val="20"/>
        </w:rPr>
        <w:t xml:space="preserve">RAG was introduced by Lewis et al.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as a method for combining parametric knowledge in LLMs with non-parametric document retrieval. A standard RAG pipeline consists of three stages: (1) a query encoder that maps a question to an embedding vector, (2) a retrieval module that finds the k most similar document chunks by cosine similarity using dense vector search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and (3) a generator LLM that produces an answer conditioned on the retrieved context. A comprehensive survey of RAG architectures is provided by Gao et al. </w:t>
      </w:r>
      <w:r>
        <w:rPr>
          <w:rFonts w:ascii="Times New Roman" w:cs="Times New Roman" w:eastAsia="Times New Roman" w:hAnsi="Times New Roman"/>
          <w:color w:val="000080"/>
          <w:sz w:val="16"/>
          <w:szCs w:val="16"/>
        </w:rPr>
        <w:t xml:space="preserve">[10]</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2.2 Hallucination and Faithfulness in RAG</w:t>
      </w:r>
    </w:p>
    <w:p>
      <w:pPr>
        <w:spacing w:after="60" w:line="240"/>
        <w:jc w:val="both"/>
      </w:pPr>
      <w:r>
        <w:rPr>
          <w:rFonts w:ascii="Times New Roman" w:cs="Times New Roman" w:eastAsia="Times New Roman" w:hAnsi="Times New Roman"/>
          <w:sz w:val="20"/>
          <w:szCs w:val="20"/>
        </w:rPr>
        <w:t xml:space="preserve">Hallucination in LLMs refers broadly to the generation of content that is factually incorrect or unsupported by the input context </w:t>
      </w:r>
      <w:r>
        <w:rPr>
          <w:rFonts w:ascii="Times New Roman" w:cs="Times New Roman" w:eastAsia="Times New Roman" w:hAnsi="Times New Roman"/>
          <w:color w:val="000080"/>
          <w:sz w:val="16"/>
          <w:szCs w:val="16"/>
        </w:rPr>
        <w:t xml:space="preserve">[15]</w:t>
      </w:r>
      <w:r>
        <w:rPr>
          <w:rFonts w:ascii="Times New Roman" w:cs="Times New Roman" w:eastAsia="Times New Roman" w:hAnsi="Times New Roman"/>
          <w:sz w:val="20"/>
          <w:szCs w:val="20"/>
        </w:rPr>
        <w:t xml:space="preserve">. In RAG systems, faithfulness refers to whether the generated answer is semantically entailed by the retrieved context, irrespective of whether that context is itself factually correct. This distinction — between faithfulness and factuality — is critical to our study, as formalized by Tamber et al.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w:t>
      </w:r>
    </w:p>
    <w:p>
      <w:pPr>
        <w:spacing w:after="60" w:line="240"/>
        <w:jc w:val="both"/>
      </w:pPr>
      <w:r>
        <w:rPr>
          <w:rFonts w:ascii="Times New Roman" w:cs="Times New Roman" w:eastAsia="Times New Roman" w:hAnsi="Times New Roman"/>
          <w:sz w:val="20"/>
          <w:szCs w:val="20"/>
        </w:rPr>
        <w:t xml:space="preserve">Several recent works have addressed faithfulness in RAG. Sinha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 — the ‘Semantic Illusion’ — demonstrates that embedding similarity fails as a post-hoc faithfulness detector, showing that faithful and hallucinated responses become indistinguishable in embedding space. Sun et al.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 (ReDeEP, ICLR 2025) apply mechanistic interpretability to study how LLMs balance external retrieved context against internal parametric memory. Tan et al. </w:t>
      </w:r>
      <w:r>
        <w:rPr>
          <w:rFonts w:ascii="Times New Roman" w:cs="Times New Roman" w:eastAsia="Times New Roman" w:hAnsi="Times New Roman"/>
          <w:color w:val="000080"/>
          <w:sz w:val="16"/>
          <w:szCs w:val="16"/>
        </w:rPr>
        <w:t xml:space="preserve">[13]</w:t>
      </w:r>
      <w:r>
        <w:rPr>
          <w:rFonts w:ascii="Times New Roman" w:cs="Times New Roman" w:eastAsia="Times New Roman" w:hAnsi="Times New Roman"/>
          <w:sz w:val="20"/>
          <w:szCs w:val="20"/>
        </w:rPr>
        <w:t xml:space="preserve"> (CTRL-RAG, 2026) propose a contrastive likelihood reward for reinforcement learning that trains generators to favour retrieved evidence over parametric memory. Critically, all of these works address faithfulness at the </w:t>
      </w:r>
      <w:r>
        <w:rPr>
          <w:rFonts w:ascii="Times New Roman" w:cs="Times New Roman" w:eastAsia="Times New Roman" w:hAnsi="Times New Roman"/>
          <w:i/>
          <w:iCs/>
          <w:sz w:val="20"/>
          <w:szCs w:val="20"/>
        </w:rPr>
        <w:t xml:space="preserve">generation stage</w:t>
      </w:r>
      <w:r>
        <w:rPr>
          <w:rFonts w:ascii="Times New Roman" w:cs="Times New Roman" w:eastAsia="Times New Roman" w:hAnsi="Times New Roman"/>
          <w:sz w:val="20"/>
          <w:szCs w:val="20"/>
        </w:rPr>
        <w:t xml:space="preserve">. Our work focuses specifically on whether faithfulness can be shaped upstream, at the retrieval embedding stage, by examining this question through controlled experiments.</w:t>
      </w:r>
    </w:p>
    <w:p>
      <w:pPr>
        <w:spacing w:after="60" w:before="140" w:line="240"/>
        <w:jc w:val="left"/>
      </w:pPr>
      <w:r>
        <w:rPr>
          <w:rFonts w:ascii="Times New Roman" w:cs="Times New Roman" w:eastAsia="Times New Roman" w:hAnsi="Times New Roman"/>
          <w:b/>
          <w:bCs/>
          <w:sz w:val="20"/>
          <w:szCs w:val="20"/>
        </w:rPr>
        <w:t xml:space="preserve">2.3 Embedding Models for Retrieval</w:t>
      </w:r>
    </w:p>
    <w:p>
      <w:pPr>
        <w:spacing w:after="60" w:line="240"/>
        <w:jc w:val="both"/>
      </w:pPr>
      <w:r>
        <w:rPr>
          <w:rFonts w:ascii="Times New Roman" w:cs="Times New Roman" w:eastAsia="Times New Roman" w:hAnsi="Times New Roman"/>
          <w:sz w:val="20"/>
          <w:szCs w:val="20"/>
        </w:rPr>
        <w:t xml:space="preserve">Dense retrieval using pre-trained embedding models has become the dominant retrieval paradigm in RAG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Major embedding model families differ significantly in training objective. Contrastive models such as Sentence-BERT </w:t>
      </w:r>
      <w:r>
        <w:rPr>
          <w:rFonts w:ascii="Times New Roman" w:cs="Times New Roman" w:eastAsia="Times New Roman" w:hAnsi="Times New Roman"/>
          <w:color w:val="000080"/>
          <w:sz w:val="16"/>
          <w:szCs w:val="16"/>
        </w:rPr>
        <w:t xml:space="preserve">[4]</w:t>
      </w:r>
      <w:r>
        <w:rPr>
          <w:rFonts w:ascii="Times New Roman" w:cs="Times New Roman" w:eastAsia="Times New Roman" w:hAnsi="Times New Roman"/>
          <w:sz w:val="20"/>
          <w:szCs w:val="20"/>
        </w:rPr>
        <w:t xml:space="preserve"> and E5 </w:t>
      </w:r>
      <w:r>
        <w:rPr>
          <w:rFonts w:ascii="Times New Roman" w:cs="Times New Roman" w:eastAsia="Times New Roman" w:hAnsi="Times New Roman"/>
          <w:color w:val="000080"/>
          <w:sz w:val="16"/>
          <w:szCs w:val="16"/>
        </w:rPr>
        <w:t xml:space="preserve">[11]</w:t>
      </w:r>
      <w:r>
        <w:rPr>
          <w:rFonts w:ascii="Times New Roman" w:cs="Times New Roman" w:eastAsia="Times New Roman" w:hAnsi="Times New Roman"/>
          <w:sz w:val="20"/>
          <w:szCs w:val="20"/>
        </w:rPr>
        <w:t xml:space="preserve"> are trained to maximize similarity between semantically related sentence pairs. Instruction-tuned models such as Instructor-XL </w:t>
      </w:r>
      <w:r>
        <w:rPr>
          <w:rFonts w:ascii="Times New Roman" w:cs="Times New Roman" w:eastAsia="Times New Roman" w:hAnsi="Times New Roman"/>
          <w:color w:val="000080"/>
          <w:sz w:val="16"/>
          <w:szCs w:val="16"/>
        </w:rPr>
        <w:t xml:space="preserve">[12]</w:t>
      </w:r>
      <w:r>
        <w:rPr>
          <w:rFonts w:ascii="Times New Roman" w:cs="Times New Roman" w:eastAsia="Times New Roman" w:hAnsi="Times New Roman"/>
          <w:sz w:val="20"/>
          <w:szCs w:val="20"/>
        </w:rPr>
        <w:t xml:space="preserve"> and E5-instruct </w:t>
      </w:r>
      <w:r>
        <w:rPr>
          <w:rFonts w:ascii="Times New Roman" w:cs="Times New Roman" w:eastAsia="Times New Roman" w:hAnsi="Times New Roman"/>
          <w:color w:val="000080"/>
          <w:sz w:val="16"/>
          <w:szCs w:val="16"/>
        </w:rPr>
        <w:t xml:space="preserve">[2]</w:t>
      </w:r>
      <w:r>
        <w:rPr>
          <w:rFonts w:ascii="Times New Roman" w:cs="Times New Roman" w:eastAsia="Times New Roman" w:hAnsi="Times New Roman"/>
          <w:sz w:val="20"/>
          <w:szCs w:val="20"/>
        </w:rPr>
        <w:t xml:space="preserve"> condition the embedding on a task instruction. Multilingual models such as BGE-M3 </w:t>
      </w:r>
      <w:r>
        <w:rPr>
          <w:rFonts w:ascii="Times New Roman" w:cs="Times New Roman" w:eastAsia="Times New Roman" w:hAnsi="Times New Roman"/>
          <w:color w:val="000080"/>
          <w:sz w:val="16"/>
          <w:szCs w:val="16"/>
        </w:rPr>
        <w:t xml:space="preserve">[3]</w:t>
      </w:r>
      <w:r>
        <w:rPr>
          <w:rFonts w:ascii="Times New Roman" w:cs="Times New Roman" w:eastAsia="Times New Roman" w:hAnsi="Times New Roman"/>
          <w:sz w:val="20"/>
          <w:szCs w:val="20"/>
        </w:rPr>
        <w:t xml:space="preserve"> are trained across multiple languages. The closest prior work to ours is Chen et al. </w:t>
      </w:r>
      <w:r>
        <w:rPr>
          <w:rFonts w:ascii="Times New Roman" w:cs="Times New Roman" w:eastAsia="Times New Roman" w:hAnsi="Times New Roman"/>
          <w:color w:val="000080"/>
          <w:sz w:val="16"/>
          <w:szCs w:val="16"/>
        </w:rPr>
        <w:t xml:space="preserve">[7]</w:t>
      </w:r>
      <w:r>
        <w:rPr>
          <w:rFonts w:ascii="Times New Roman" w:cs="Times New Roman" w:eastAsia="Times New Roman" w:hAnsi="Times New Roman"/>
          <w:sz w:val="20"/>
          <w:szCs w:val="20"/>
        </w:rPr>
        <w:t xml:space="preserve">, which proposes Mixture-Embedding RAG and Confident RAG to combine model strengths, but measures general response quality — not faithfulness specifically.</w:t>
      </w:r>
    </w:p>
    <w:p>
      <w:pPr>
        <w:spacing w:after="100" w:before="200" w:line="240"/>
        <w:jc w:val="left"/>
      </w:pPr>
      <w:r>
        <w:rPr>
          <w:rFonts w:ascii="Times New Roman" w:cs="Times New Roman" w:eastAsia="Times New Roman" w:hAnsi="Times New Roman"/>
          <w:b/>
          <w:bCs/>
          <w:sz w:val="22"/>
          <w:szCs w:val="22"/>
        </w:rPr>
        <w:t xml:space="preserve">3. Problem Formulation</w:t>
      </w:r>
    </w:p>
    <w:p>
      <w:pPr>
        <w:spacing w:after="60" w:before="140" w:line="240"/>
        <w:jc w:val="left"/>
      </w:pPr>
      <w:r>
        <w:rPr>
          <w:rFonts w:ascii="Times New Roman" w:cs="Times New Roman" w:eastAsia="Times New Roman" w:hAnsi="Times New Roman"/>
          <w:b/>
          <w:bCs/>
          <w:sz w:val="20"/>
          <w:szCs w:val="20"/>
        </w:rPr>
        <w:t xml:space="preserve">3.1 Definitions</w:t>
      </w:r>
    </w:p>
    <w:p>
      <w:pPr>
        <w:spacing w:after="60" w:line="24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denote a query,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a document corpus, and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an embedding model. Following Lewis et al.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a RAG system retrieves the top-k documents </w:t>
      </w:r>
      <w:r>
        <w:rPr>
          <w:rFonts w:ascii="Times New Roman" w:cs="Times New Roman" w:eastAsia="Times New Roman" w:hAnsi="Times New Roman"/>
          <w:i/>
          <w:iCs/>
          <w:sz w:val="20"/>
          <w:szCs w:val="20"/>
        </w:rPr>
        <w:t xml:space="preserve">R = {d₁, ..., dₖ}</w:t>
      </w:r>
      <w:r>
        <w:rPr>
          <w:rFonts w:ascii="Times New Roman" w:cs="Times New Roman" w:eastAsia="Times New Roman" w:hAnsi="Times New Roman"/>
          <w:sz w:val="20"/>
          <w:szCs w:val="20"/>
        </w:rPr>
        <w:t xml:space="preserve"> by cosine similarity in the embedding space defined by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then generates answer </w:t>
      </w:r>
      <w:r>
        <w:rPr>
          <w:rFonts w:ascii="Times New Roman" w:cs="Times New Roman" w:eastAsia="Times New Roman" w:hAnsi="Times New Roman"/>
          <w:i/>
          <w:iCs/>
          <w:sz w:val="20"/>
          <w:szCs w:val="20"/>
        </w:rPr>
        <w:t xml:space="preserve">a = LLM(q, R)</w:t>
      </w:r>
      <w:r>
        <w:rPr>
          <w:rFonts w:ascii="Times New Roman" w:cs="Times New Roman" w:eastAsia="Times New Roman" w:hAnsi="Times New Roman"/>
          <w:sz w:val="20"/>
          <w:szCs w:val="20"/>
        </w:rPr>
        <w:t xml:space="preserve">. We define faithfulness F(a, R) as the probability that the generated answer a is entailed by the retrieved context R, where a is the model’s generated output (not the gold-standard answer):</w:t>
      </w:r>
    </w:p>
    <w:p>
      <w:pPr>
        <w:spacing w:after="120" w:before="120" w:line="240"/>
        <w:jc w:val="center"/>
      </w:pPr>
      <w:r>
        <w:rPr>
          <w:rFonts w:ascii="Cambria Math" w:cs="Cambria Math" w:eastAsia="Cambria Math" w:hAnsi="Cambria Math"/>
          <w:i/>
          <w:iCs/>
          <w:sz w:val="20"/>
          <w:szCs w:val="20"/>
        </w:rPr>
        <w:t xml:space="preserve">F(a, R) = Pɴʟɪ(entailment | R, a) ∈ [0, 1]</w:t>
      </w:r>
      <w:r>
        <w:rPr>
          <w:rFonts w:ascii="Times New Roman" w:cs="Times New Roman" w:eastAsia="Times New Roman" w:hAnsi="Times New Roman"/>
          <w:b/>
          <w:bCs/>
          <w:sz w:val="20"/>
          <w:szCs w:val="20"/>
        </w:rPr>
        <w:t xml:space="preserve">          (1)</w:t>
      </w:r>
    </w:p>
    <w:p>
      <w:pPr>
        <w:spacing w:after="60" w:line="240"/>
        <w:jc w:val="both"/>
      </w:pPr>
      <w:r>
        <w:rPr>
          <w:rFonts w:ascii="Times New Roman" w:cs="Times New Roman" w:eastAsia="Times New Roman" w:hAnsi="Times New Roman"/>
          <w:sz w:val="20"/>
          <w:szCs w:val="20"/>
        </w:rPr>
        <w:t xml:space="preserve">This choice is deliberate. Measuring entailment between retrieved context and the gold-standard answer would conflate faithfulness with retrieval quality, since it would test whether the correct answer appears in the retrieved documents rather than whether the generator grounded its output in what it was given. Our goal is to separate these two signals: retrieval quality measures whether the right documents were found, while faithfulness measures whether the generator used them. An answer can be faithful yet incorrect (if the retrieved documents are off-topic but the generator accurately reflects their content), or correct yet unfaithful (if the generator ignores the context and produces the right answer from parametric memory). RFG is designed to detect the gap between these two dimensions.</w:t>
      </w:r>
    </w:p>
    <w:p>
      <w:pPr>
        <w:spacing w:after="60" w:before="140" w:line="240"/>
        <w:jc w:val="left"/>
      </w:pPr>
      <w:r>
        <w:rPr>
          <w:rFonts w:ascii="Times New Roman" w:cs="Times New Roman" w:eastAsia="Times New Roman" w:hAnsi="Times New Roman"/>
          <w:b/>
          <w:bCs/>
          <w:sz w:val="20"/>
          <w:szCs w:val="20"/>
        </w:rPr>
        <w:t xml:space="preserve">3.2 The Retrieval-Faithfulness Gap (RFG)</w:t>
      </w:r>
    </w:p>
    <w:p>
      <w:pPr>
        <w:spacing w:after="60" w:line="240"/>
        <w:jc w:val="both"/>
      </w:pPr>
      <w:r>
        <w:rPr>
          <w:rFonts w:ascii="Times New Roman" w:cs="Times New Roman" w:eastAsia="Times New Roman" w:hAnsi="Times New Roman"/>
          <w:sz w:val="20"/>
          <w:szCs w:val="20"/>
        </w:rPr>
        <w:t xml:space="preserve">We introduce the Retrieval-Faithfulness Gap (RFG) as a new metric designed to capture this disconnect. Formally, for a given embedding model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p>
    <w:p>
      <w:pPr>
        <w:spacing w:after="120" w:before="120" w:line="240"/>
        <w:jc w:val="center"/>
      </w:pPr>
      <w:r>
        <w:rPr>
          <w:rFonts w:ascii="Cambria Math" w:cs="Cambria Math" w:eastAsia="Cambria Math" w:hAnsi="Cambria Math"/>
          <w:i/>
          <w:iCs/>
          <w:sz w:val="20"/>
          <w:szCs w:val="20"/>
        </w:rPr>
        <w:t xml:space="preserve">RFG(E) = NDCG@5(E) − AlignScore(E)</w:t>
      </w:r>
      <w:r>
        <w:rPr>
          <w:rFonts w:ascii="Times New Roman" w:cs="Times New Roman" w:eastAsia="Times New Roman" w:hAnsi="Times New Roman"/>
          <w:b/>
          <w:bCs/>
          <w:sz w:val="20"/>
          <w:szCs w:val="20"/>
        </w:rPr>
        <w:t xml:space="preserve">          (2)</w:t>
      </w:r>
    </w:p>
    <w:p>
      <w:pPr>
        <w:spacing w:after="60" w:line="240"/>
        <w:jc w:val="both"/>
      </w:pPr>
      <w:r>
        <w:rPr>
          <w:rFonts w:ascii="Times New Roman" w:cs="Times New Roman" w:eastAsia="Times New Roman" w:hAnsi="Times New Roman"/>
          <w:sz w:val="20"/>
          <w:szCs w:val="20"/>
        </w:rPr>
        <w:t xml:space="preserve">where both terms are normalized to [0, 1]. NDCG@5 is normalized discounted cumulative gain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and AlignScore </w:t>
      </w:r>
      <w:r>
        <w:rPr>
          <w:rFonts w:ascii="Times New Roman" w:cs="Times New Roman" w:eastAsia="Times New Roman" w:hAnsi="Times New Roman"/>
          <w:color w:val="000080"/>
          <w:sz w:val="16"/>
          <w:szCs w:val="16"/>
        </w:rPr>
        <w:t xml:space="preserve">[16]</w:t>
      </w:r>
      <w:r>
        <w:rPr>
          <w:rFonts w:ascii="Times New Roman" w:cs="Times New Roman" w:eastAsia="Times New Roman" w:hAnsi="Times New Roman"/>
          <w:sz w:val="20"/>
          <w:szCs w:val="20"/>
        </w:rPr>
        <w:t xml:space="preserve"> measures faithfulness via entailment. A high RFG indicates an embedding model that retrieves topically relevant documents but fails to ground faithful generation. This metric is motivated by the finding of Sinha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 that retrieval similarity and faithfulness are decoupled in practice.</w:t>
      </w:r>
    </w:p>
    <w:p>
      <w:pPr>
        <w:spacing w:after="60" w:line="240"/>
        <w:jc w:val="both"/>
      </w:pPr>
      <w:r>
        <w:rPr>
          <w:rFonts w:ascii="Times New Roman" w:cs="Times New Roman" w:eastAsia="Times New Roman" w:hAnsi="Times New Roman"/>
          <w:sz w:val="20"/>
          <w:szCs w:val="20"/>
        </w:rPr>
        <w:t xml:space="preserve">A limitation of the difference form is that it cannot distinguish a system where both terms are high (e.g., 0.90 and 0.85) from one where both are low (e.g., 0.30 and 0.25): both yield the same gap, although the former is clearly preferable. To address this, we additionally define a normalized variant:</w:t>
      </w:r>
    </w:p>
    <w:p>
      <w:pPr>
        <w:spacing w:after="120" w:before="120" w:line="240"/>
        <w:jc w:val="center"/>
      </w:pPr>
      <w:r>
        <w:rPr>
          <w:rFonts w:ascii="Cambria Math" w:cs="Cambria Math" w:eastAsia="Cambria Math" w:hAnsi="Cambria Math"/>
          <w:i/>
          <w:iCs/>
          <w:sz w:val="20"/>
          <w:szCs w:val="20"/>
        </w:rPr>
        <w:t xml:space="preserve">nRFG(E) = (NDCG@5(E) − AlignScore(E)) / NDCG@5(E)</w:t>
      </w:r>
      <w:r>
        <w:rPr>
          <w:rFonts w:ascii="Times New Roman" w:cs="Times New Roman" w:eastAsia="Times New Roman" w:hAnsi="Times New Roman"/>
          <w:b/>
          <w:bCs/>
          <w:sz w:val="20"/>
          <w:szCs w:val="20"/>
        </w:rPr>
        <w:t xml:space="preserve">          (3)</w:t>
      </w:r>
    </w:p>
    <w:p>
      <w:pPr>
        <w:spacing w:after="60" w:line="240"/>
        <w:jc w:val="both"/>
      </w:pPr>
      <w:r>
        <w:rPr>
          <w:rFonts w:ascii="Times New Roman" w:cs="Times New Roman" w:eastAsia="Times New Roman" w:hAnsi="Times New Roman"/>
          <w:sz w:val="20"/>
          <w:szCs w:val="20"/>
        </w:rPr>
        <w:t xml:space="preserve">nRFG expresses the gap as a fraction of retrieval quality, penalizing systems whose faithfulness falls short relative to what their retrieval performance would predict. We report nRFG as the primary metric and the raw difference as a secondary diagnostic, always alongside absolute faithfulness scores so that the both-low case remains visible.</w:t>
      </w:r>
    </w:p>
    <w:p>
      <w:pPr>
        <w:spacing w:after="60" w:before="140" w:line="240"/>
        <w:jc w:val="left"/>
      </w:pPr>
      <w:r>
        <w:rPr>
          <w:rFonts w:ascii="Times New Roman" w:cs="Times New Roman" w:eastAsia="Times New Roman" w:hAnsi="Times New Roman"/>
          <w:b/>
          <w:bCs/>
          <w:sz w:val="20"/>
          <w:szCs w:val="20"/>
        </w:rPr>
        <w:t xml:space="preserve">3.3 Research Questions</w:t>
      </w:r>
    </w:p>
    <w:p>
      <w:pPr>
        <w:spacing w:after="40" w:line="240"/>
        <w:ind w:left="360" w:hanging="180"/>
        <w:jc w:val="both"/>
      </w:pPr>
      <w:r>
        <w:rPr>
          <w:rFonts w:ascii="Times New Roman" w:cs="Times New Roman" w:eastAsia="Times New Roman" w:hAnsi="Times New Roman"/>
          <w:sz w:val="20"/>
          <w:szCs w:val="20"/>
        </w:rPr>
        <w:t xml:space="preserve">• RQ1: Does embedding model architecture significantly affect downstream faithfulness, independent of retrieval quality scores?</w:t>
      </w:r>
    </w:p>
    <w:p>
      <w:pPr>
        <w:spacing w:after="40" w:line="240"/>
        <w:ind w:left="360" w:hanging="180"/>
        <w:jc w:val="both"/>
      </w:pPr>
      <w:r>
        <w:rPr>
          <w:rFonts w:ascii="Times New Roman" w:cs="Times New Roman" w:eastAsia="Times New Roman" w:hAnsi="Times New Roman"/>
          <w:sz w:val="20"/>
          <w:szCs w:val="20"/>
        </w:rPr>
        <w:t xml:space="preserve">• RQ2: What geometric properties of an embedding model’s representation space predict RFG?</w:t>
      </w:r>
    </w:p>
    <w:p>
      <w:pPr>
        <w:spacing w:after="40" w:line="240"/>
        <w:ind w:left="360" w:hanging="180"/>
        <w:jc w:val="both"/>
      </w:pPr>
      <w:r>
        <w:rPr>
          <w:rFonts w:ascii="Times New Roman" w:cs="Times New Roman" w:eastAsia="Times New Roman" w:hAnsi="Times New Roman"/>
          <w:sz w:val="20"/>
          <w:szCs w:val="20"/>
        </w:rPr>
        <w:t xml:space="preserve">• RQ3: Is the RFG consistent across domains, question types, and LLM generators?</w:t>
      </w:r>
    </w:p>
    <w:p>
      <w:pPr>
        <w:spacing w:after="100" w:before="200" w:line="240"/>
        <w:jc w:val="left"/>
      </w:pPr>
      <w:r>
        <w:rPr>
          <w:rFonts w:ascii="Times New Roman" w:cs="Times New Roman" w:eastAsia="Times New Roman" w:hAnsi="Times New Roman"/>
          <w:b/>
          <w:bCs/>
          <w:sz w:val="22"/>
          <w:szCs w:val="22"/>
        </w:rPr>
        <w:t xml:space="preserve">4. Methodology</w:t>
      </w:r>
    </w:p>
    <w:p>
      <w:pPr>
        <w:spacing w:after="60" w:before="140" w:line="240"/>
        <w:jc w:val="left"/>
      </w:pPr>
      <w:r>
        <w:rPr>
          <w:rFonts w:ascii="Times New Roman" w:cs="Times New Roman" w:eastAsia="Times New Roman" w:hAnsi="Times New Roman"/>
          <w:b/>
          <w:bCs/>
          <w:sz w:val="20"/>
          <w:szCs w:val="20"/>
        </w:rPr>
        <w:t xml:space="preserve">4.1 Embedding Models</w:t>
      </w:r>
    </w:p>
    <w:p>
      <w:pPr>
        <w:spacing w:after="60" w:line="240"/>
        <w:jc w:val="both"/>
      </w:pPr>
      <w:r>
        <w:rPr>
          <w:rFonts w:ascii="Times New Roman" w:cs="Times New Roman" w:eastAsia="Times New Roman" w:hAnsi="Times New Roman"/>
          <w:sz w:val="20"/>
          <w:szCs w:val="20"/>
        </w:rPr>
        <w:t xml:space="preserve">We select seven embedding models representing distinct training paradigms </w:t>
      </w:r>
      <w:r>
        <w:rPr>
          <w:rFonts w:ascii="Times New Roman" w:cs="Times New Roman" w:eastAsia="Times New Roman" w:hAnsi="Times New Roman"/>
          <w:color w:val="000080"/>
          <w:sz w:val="16"/>
          <w:szCs w:val="16"/>
        </w:rPr>
        <w:t xml:space="preserve">[2, 3, 4, 8, 11, 12]</w:t>
      </w:r>
      <w:r>
        <w:rPr>
          <w:rFonts w:ascii="Times New Roman" w:cs="Times New Roman" w:eastAsia="Times New Roman" w:hAnsi="Times New Roman"/>
          <w:sz w:val="20"/>
          <w:szCs w:val="20"/>
        </w:rPr>
        <w:t xml:space="preserve"> to maximize architectural variation, as shown in Table 1.</w:t>
      </w:r>
    </w:p>
    <w:p>
      <w:pPr>
        <w:spacing w:after="40" w:before="80" w:line="240"/>
        <w:jc w:val="center"/>
      </w:pPr>
      <w:r>
        <w:rPr>
          <w:rFonts w:ascii="Times New Roman" w:cs="Times New Roman" w:eastAsia="Times New Roman" w:hAnsi="Times New Roman"/>
          <w:b/>
          <w:bCs/>
          <w:sz w:val="18"/>
          <w:szCs w:val="18"/>
        </w:rPr>
        <w:t xml:space="preserve">Table 1: Embedding Models Evaluated</w:t>
      </w:r>
    </w:p>
    <w:tbl>
      <w:tblPr>
        <w:tblW w:type="dxa" w:w="51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000"/>
      </w:tblGrid>
      <w:tr>
        <w:tc>
          <w:tcPr>
            <w:tcW w:type="dxa" w:w="16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Model</w:t>
            </w:r>
          </w:p>
        </w:tc>
        <w:tc>
          <w:tcPr>
            <w:tcW w:type="dxa" w:w="15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Training Objective</w:t>
            </w:r>
          </w:p>
        </w:tc>
        <w:tc>
          <w:tcPr>
            <w:tcW w:type="dxa" w:w="10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Dim.</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all-mpnet-base-v2 [4]</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Contrastive (symmetric)</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768</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GTE-large [11]</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Contrastive (asymmetric)</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BGE-M3 [3]</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Multilingual contrastive</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E5-large-instruct [2]</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Instruction-tuned contrastive</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Instructor-XL [12]</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Instruction-tuned (task-aware)</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768</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text-embedding-3-small</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Contrastive (proprietary)</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1536</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jina-embeddings-v3 [8]</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Distilled multilingual</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bl>
    <w:p>
      <w:pPr>
        <w:spacing w:after="0" w:line="240"/>
      </w:pPr>
    </w:p>
    <w:p>
      <w:pPr>
        <w:spacing w:after="60" w:before="140" w:line="240"/>
        <w:jc w:val="left"/>
      </w:pPr>
      <w:r>
        <w:rPr>
          <w:rFonts w:ascii="Times New Roman" w:cs="Times New Roman" w:eastAsia="Times New Roman" w:hAnsi="Times New Roman"/>
          <w:b/>
          <w:bCs/>
          <w:sz w:val="20"/>
          <w:szCs w:val="20"/>
        </w:rPr>
        <w:t xml:space="preserve">4.2 Datasets</w:t>
      </w:r>
    </w:p>
    <w:p>
      <w:pPr>
        <w:spacing w:after="60" w:line="240"/>
        <w:jc w:val="both"/>
      </w:pPr>
      <w:r>
        <w:rPr>
          <w:rFonts w:ascii="Times New Roman" w:cs="Times New Roman" w:eastAsia="Times New Roman" w:hAnsi="Times New Roman"/>
          <w:sz w:val="20"/>
          <w:szCs w:val="20"/>
        </w:rPr>
        <w:t xml:space="preserve">We evaluate across three benchmark QA datasets covering different question types and faithfulness challenges. For each dataset we sample 1,000 queries with verifiable ground truth answers:</w:t>
      </w:r>
    </w:p>
    <w:p>
      <w:pPr>
        <w:spacing w:after="40" w:line="240"/>
        <w:ind w:left="360" w:hanging="180"/>
        <w:jc w:val="both"/>
      </w:pPr>
      <w:r>
        <w:rPr>
          <w:rFonts w:ascii="Times New Roman" w:cs="Times New Roman" w:eastAsia="Times New Roman" w:hAnsi="Times New Roman"/>
          <w:sz w:val="20"/>
          <w:szCs w:val="20"/>
        </w:rPr>
        <w:t xml:space="preserve">• Natural Questions (NQ) [17]: Single-hop factoid QA with Wikipedia as the knowledge source.</w:t>
      </w:r>
    </w:p>
    <w:p>
      <w:pPr>
        <w:spacing w:after="40" w:line="240"/>
        <w:ind w:left="360" w:hanging="180"/>
        <w:jc w:val="both"/>
      </w:pPr>
      <w:r>
        <w:rPr>
          <w:rFonts w:ascii="Times New Roman" w:cs="Times New Roman" w:eastAsia="Times New Roman" w:hAnsi="Times New Roman"/>
          <w:sz w:val="20"/>
          <w:szCs w:val="20"/>
        </w:rPr>
        <w:t xml:space="preserve">• HotpotQA [18]: Multi-hop reasoning QA requiring synthesis across multiple documents.</w:t>
      </w:r>
    </w:p>
    <w:p>
      <w:pPr>
        <w:spacing w:after="40" w:line="240"/>
        <w:ind w:left="360" w:hanging="180"/>
        <w:jc w:val="both"/>
      </w:pPr>
      <w:r>
        <w:rPr>
          <w:rFonts w:ascii="Times New Roman" w:cs="Times New Roman" w:eastAsia="Times New Roman" w:hAnsi="Times New Roman"/>
          <w:sz w:val="20"/>
          <w:szCs w:val="20"/>
        </w:rPr>
        <w:t xml:space="preserve">• QASPER [19]: Scientific paper QA requiring domain-specific retrieval.</w:t>
      </w:r>
    </w:p>
    <w:p>
      <w:pPr>
        <w:spacing w:after="60" w:before="140" w:line="240"/>
        <w:jc w:val="left"/>
      </w:pPr>
      <w:r>
        <w:rPr>
          <w:rFonts w:ascii="Times New Roman" w:cs="Times New Roman" w:eastAsia="Times New Roman" w:hAnsi="Times New Roman"/>
          <w:b/>
          <w:bCs/>
          <w:sz w:val="20"/>
          <w:szCs w:val="20"/>
        </w:rPr>
        <w:t xml:space="preserve">4.3 Faithfulness Measurement</w:t>
      </w:r>
    </w:p>
    <w:p>
      <w:pPr>
        <w:spacing w:after="60" w:line="240"/>
        <w:jc w:val="both"/>
      </w:pPr>
      <w:r>
        <w:rPr>
          <w:rFonts w:ascii="Times New Roman" w:cs="Times New Roman" w:eastAsia="Times New Roman" w:hAnsi="Times New Roman"/>
          <w:sz w:val="20"/>
          <w:szCs w:val="20"/>
        </w:rPr>
        <w:t xml:space="preserve">We adopt a multi-signal faithfulness evaluation strategy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 Primary: AlignScore </w:t>
      </w:r>
      <w:r>
        <w:rPr>
          <w:rFonts w:ascii="Times New Roman" w:cs="Times New Roman" w:eastAsia="Times New Roman" w:hAnsi="Times New Roman"/>
          <w:color w:val="000080"/>
          <w:sz w:val="16"/>
          <w:szCs w:val="16"/>
        </w:rPr>
        <w:t xml:space="preserve">[16]</w:t>
      </w:r>
      <w:r>
        <w:rPr>
          <w:rFonts w:ascii="Times New Roman" w:cs="Times New Roman" w:eastAsia="Times New Roman" w:hAnsi="Times New Roman"/>
          <w:sz w:val="20"/>
          <w:szCs w:val="20"/>
        </w:rPr>
        <w:t xml:space="preserve"> — a faithfulness metric based on a unified alignment function. Secondary: DeBERTa-v3-large </w:t>
      </w:r>
      <w:r>
        <w:rPr>
          <w:rFonts w:ascii="Times New Roman" w:cs="Times New Roman" w:eastAsia="Times New Roman" w:hAnsi="Times New Roman"/>
          <w:color w:val="000080"/>
          <w:sz w:val="16"/>
          <w:szCs w:val="16"/>
        </w:rPr>
        <w:t xml:space="preserve">[20]</w:t>
      </w:r>
      <w:r>
        <w:rPr>
          <w:rFonts w:ascii="Times New Roman" w:cs="Times New Roman" w:eastAsia="Times New Roman" w:hAnsi="Times New Roman"/>
          <w:sz w:val="20"/>
          <w:szCs w:val="20"/>
        </w:rPr>
        <w:t xml:space="preserve"> NLI entailment score. We deliberately exclude ROUGE and BERTScore as faithfulness metrics, as prior work has demonstrated their poor correlation with human faithfulness judgments in RAG settings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4.4 LLM Generators</w:t>
      </w:r>
    </w:p>
    <w:p>
      <w:pPr>
        <w:spacing w:after="60" w:line="240"/>
        <w:jc w:val="both"/>
      </w:pPr>
      <w:r>
        <w:rPr>
          <w:rFonts w:ascii="Times New Roman" w:cs="Times New Roman" w:eastAsia="Times New Roman" w:hAnsi="Times New Roman"/>
          <w:sz w:val="20"/>
          <w:szCs w:val="20"/>
        </w:rPr>
        <w:t xml:space="preserve">To test whether findings are generator-dependent or embedding-dependent, we evaluate with two generators: Llama-3-8B-Instruct (open-source) and Claude Haiku 4.5 (closed-source). Both generators receive identical retrieved context and prompt template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4.5 Geometric Analysis</w:t>
      </w:r>
    </w:p>
    <w:p>
      <w:pPr>
        <w:spacing w:after="40" w:line="240"/>
        <w:jc w:val="both"/>
      </w:pPr>
      <w:r>
        <w:rPr>
          <w:rFonts w:ascii="Times New Roman" w:cs="Times New Roman" w:eastAsia="Times New Roman" w:hAnsi="Times New Roman"/>
          <w:i/>
          <w:iCs/>
          <w:sz w:val="20"/>
          <w:szCs w:val="20"/>
        </w:rPr>
        <w:t xml:space="preserve">4.5.1 Entailment-Similarity Alignment</w:t>
      </w:r>
    </w:p>
    <w:p>
      <w:pPr>
        <w:spacing w:after="60" w:line="240"/>
        <w:jc w:val="both"/>
      </w:pPr>
      <w:r>
        <w:rPr>
          <w:rFonts w:ascii="Times New Roman" w:cs="Times New Roman" w:eastAsia="Times New Roman" w:hAnsi="Times New Roman"/>
          <w:sz w:val="20"/>
          <w:szCs w:val="20"/>
        </w:rPr>
        <w:t xml:space="preserve">For each embedding model, we measure the correlation between cosine similarity and NLI entailment probability </w:t>
      </w:r>
      <w:r>
        <w:rPr>
          <w:rFonts w:ascii="Times New Roman" w:cs="Times New Roman" w:eastAsia="Times New Roman" w:hAnsi="Times New Roman"/>
          <w:color w:val="000080"/>
          <w:sz w:val="16"/>
          <w:szCs w:val="16"/>
        </w:rPr>
        <w:t xml:space="preserve">[20]</w:t>
      </w:r>
      <w:r>
        <w:rPr>
          <w:rFonts w:ascii="Times New Roman" w:cs="Times New Roman" w:eastAsia="Times New Roman" w:hAnsi="Times New Roman"/>
          <w:sz w:val="20"/>
          <w:szCs w:val="20"/>
        </w:rPr>
        <w:t xml:space="preserve">. We hypothesize that instruction-tuned models show higher correlation. A low correlation indicates </w:t>
      </w:r>
      <w:r>
        <w:rPr>
          <w:rFonts w:ascii="Times New Roman" w:cs="Times New Roman" w:eastAsia="Times New Roman" w:hAnsi="Times New Roman"/>
          <w:i/>
          <w:iCs/>
          <w:sz w:val="20"/>
          <w:szCs w:val="20"/>
        </w:rPr>
        <w:t xml:space="preserve">entailment-similarity misalignment, where d denotes a retrieved chunk and a the gold-standard answer for the corresponding query</w:t>
      </w:r>
      <w:r>
        <w:rPr>
          <w:rFonts w:ascii="Times New Roman" w:cs="Times New Roman" w:eastAsia="Times New Roman" w:hAnsi="Times New Roman"/>
          <w:sz w:val="20"/>
          <w:szCs w:val="20"/>
        </w:rPr>
        <w:t xml:space="preserve">. Formally:</w:t>
      </w:r>
    </w:p>
    <w:p>
      <w:pPr>
        <w:spacing w:after="120" w:before="120" w:line="240"/>
        <w:jc w:val="center"/>
      </w:pPr>
      <w:r>
        <w:rPr>
          <w:rFonts w:ascii="Cambria Math" w:cs="Cambria Math" w:eastAsia="Cambria Math" w:hAnsi="Cambria Math"/>
          <w:i/>
          <w:iCs/>
          <w:sz w:val="20"/>
          <w:szCs w:val="20"/>
        </w:rPr>
        <w:t xml:space="preserve">ESA(E) = ρₛₚ(cos(E(d), E(q)), Pɴʟɪ(ent | d, a))</w:t>
      </w:r>
      <w:r>
        <w:rPr>
          <w:rFonts w:ascii="Times New Roman" w:cs="Times New Roman" w:eastAsia="Times New Roman" w:hAnsi="Times New Roman"/>
          <w:b/>
          <w:bCs/>
          <w:sz w:val="20"/>
          <w:szCs w:val="20"/>
        </w:rPr>
        <w:t xml:space="preserve">          (4)</w:t>
      </w:r>
    </w:p>
    <w:p>
      <w:pPr>
        <w:spacing w:after="60" w:line="240"/>
        <w:jc w:val="both"/>
      </w:pPr>
      <w:r>
        <w:rPr>
          <w:rFonts w:ascii="Times New Roman" w:cs="Times New Roman" w:eastAsia="Times New Roman" w:hAnsi="Times New Roman"/>
          <w:sz w:val="20"/>
          <w:szCs w:val="20"/>
        </w:rPr>
        <w:t xml:space="preserve">Note that ESA deliberately uses the gold-standard answer rather than the generated answer, unlike the faithfulness metric F in Eq. (1). This is because ESA measures a property of the embedding space alone, independent of any generator: it asks whether the embedding model's notion of similarity (cosine) aligns with logical support (entailment) for the correct answer. This is a static geometric property of the embedding model. By contrast, F measures a property of the full RAG pipeline including the generator.</w:t>
      </w:r>
    </w:p>
    <w:p>
      <w:pPr>
        <w:spacing w:after="60" w:line="240"/>
        <w:jc w:val="both"/>
      </w:pPr>
      <w:r>
        <w:rPr>
          <w:rFonts w:ascii="Times New Roman" w:cs="Times New Roman" w:eastAsia="Times New Roman" w:hAnsi="Times New Roman"/>
          <w:sz w:val="20"/>
          <w:szCs w:val="20"/>
        </w:rPr>
        <w:t xml:space="preserve">To connect this analysis to the re-ranking strategy of §4.6, we additionally compute the correlation using NLI(d, q) — entailment between document and query — in place of NLI(d, a). This tests whether the alignment effect holds for the query-side signal that is actually available at re-ranking time, when no answer has yet been generated.</w:t>
      </w:r>
    </w:p>
    <w:p>
      <w:pPr>
        <w:spacing w:after="40" w:line="240"/>
        <w:jc w:val="both"/>
      </w:pPr>
      <w:r>
        <w:rPr>
          <w:rFonts w:ascii="Times New Roman" w:cs="Times New Roman" w:eastAsia="Times New Roman" w:hAnsi="Times New Roman"/>
          <w:i/>
          <w:iCs/>
          <w:sz w:val="20"/>
          <w:szCs w:val="20"/>
        </w:rPr>
        <w:t xml:space="preserve">4.5.2 Attention Analysis</w:t>
      </w:r>
    </w:p>
    <w:p>
      <w:pPr>
        <w:spacing w:after="60" w:line="240"/>
        <w:jc w:val="both"/>
      </w:pPr>
      <w:r>
        <w:rPr>
          <w:rFonts w:ascii="Times New Roman" w:cs="Times New Roman" w:eastAsia="Times New Roman" w:hAnsi="Times New Roman"/>
          <w:sz w:val="20"/>
          <w:szCs w:val="20"/>
        </w:rPr>
        <w:t xml:space="preserve">For Llama-3-8B-Instruct, we analyze the attention mass that generated tokens place on retrieved-context positions, measuring the degree to which the model attends to retrieved context versus generating from parametric memory — a methodology introduced for RAG hallucination analysis by Sun et al.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 Llama-3 is a decoder-only model, so this is self-attention over context positions rather than encoder-decoder cross-attention.</w:t>
      </w:r>
    </w:p>
    <w:p>
      <w:pPr>
        <w:spacing w:after="60" w:before="140" w:line="240"/>
        <w:jc w:val="left"/>
      </w:pPr>
      <w:r>
        <w:rPr>
          <w:rFonts w:ascii="Times New Roman" w:cs="Times New Roman" w:eastAsia="Times New Roman" w:hAnsi="Times New Roman"/>
          <w:b/>
          <w:bCs/>
          <w:sz w:val="20"/>
          <w:szCs w:val="20"/>
        </w:rPr>
        <w:t xml:space="preserve">4.6 Faithfulness-Aware Re-ranking</w:t>
      </w:r>
    </w:p>
    <w:p>
      <w:pPr>
        <w:spacing w:after="60" w:line="240"/>
        <w:jc w:val="both"/>
      </w:pPr>
      <w:r>
        <w:rPr>
          <w:rFonts w:ascii="Times New Roman" w:cs="Times New Roman" w:eastAsia="Times New Roman" w:hAnsi="Times New Roman"/>
          <w:sz w:val="20"/>
          <w:szCs w:val="20"/>
        </w:rPr>
        <w:t xml:space="preserve">We additionally propose a lightweight re-ranking strategy, motivated independently of the geometric analysis: documents that semantically entail the query are more likely to contain content that supports an answerable, groundable response. After initial retrieval by cosine similarity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we re-score each retrieved chunk:</w:t>
      </w:r>
    </w:p>
    <w:p>
      <w:pPr>
        <w:spacing w:after="120" w:before="120" w:line="240"/>
        <w:jc w:val="center"/>
      </w:pPr>
      <w:r>
        <w:rPr>
          <w:rFonts w:ascii="Cambria Math" w:cs="Cambria Math" w:eastAsia="Cambria Math" w:hAnsi="Cambria Math"/>
          <w:i/>
          <w:iCs/>
          <w:sz w:val="20"/>
          <w:szCs w:val="20"/>
        </w:rPr>
        <w:t xml:space="preserve">score(dᵢ, q) = λ · cos(E(dᵢ), E(q)) + (1−λ) · NLI(dᵢ, q)</w:t>
      </w:r>
      <w:r>
        <w:rPr>
          <w:rFonts w:ascii="Times New Roman" w:cs="Times New Roman" w:eastAsia="Times New Roman" w:hAnsi="Times New Roman"/>
          <w:b/>
          <w:bCs/>
          <w:sz w:val="20"/>
          <w:szCs w:val="20"/>
        </w:rPr>
        <w:t xml:space="preserve">          (5)</w:t>
      </w:r>
    </w:p>
    <w:p>
      <w:pPr>
        <w:spacing w:after="60" w:line="240"/>
        <w:jc w:val="both"/>
      </w:pPr>
      <w:r>
        <w:rPr>
          <w:rFonts w:ascii="Times New Roman" w:cs="Times New Roman" w:eastAsia="Times New Roman" w:hAnsi="Times New Roman"/>
          <w:sz w:val="20"/>
          <w:szCs w:val="20"/>
        </w:rPr>
        <w:t xml:space="preserve">where λ ∈ [0, 1] is a tunable mixing parameter that controls the trade-off between retrieval similarity and entailment. This strategy is related to the mixture-embedding approach of Chen et al. </w:t>
      </w:r>
      <w:r>
        <w:rPr>
          <w:rFonts w:ascii="Times New Roman" w:cs="Times New Roman" w:eastAsia="Times New Roman" w:hAnsi="Times New Roman"/>
          <w:color w:val="000080"/>
          <w:sz w:val="16"/>
          <w:szCs w:val="16"/>
        </w:rPr>
        <w:t xml:space="preserve">[7]</w:t>
      </w:r>
      <w:r>
        <w:rPr>
          <w:rFonts w:ascii="Times New Roman" w:cs="Times New Roman" w:eastAsia="Times New Roman" w:hAnsi="Times New Roman"/>
          <w:sz w:val="20"/>
          <w:szCs w:val="20"/>
        </w:rPr>
        <w:t xml:space="preserve"> but operates at the chunk re-ranking level rather than requiring multiple embedding models.</w:t>
      </w:r>
    </w:p>
    <w:p>
      <w:pPr>
        <w:spacing w:after="100" w:before="200" w:line="240"/>
        <w:jc w:val="left"/>
      </w:pPr>
      <w:r>
        <w:rPr>
          <w:rFonts w:ascii="Times New Roman" w:cs="Times New Roman" w:eastAsia="Times New Roman" w:hAnsi="Times New Roman"/>
          <w:b/>
          <w:bCs/>
          <w:sz w:val="22"/>
          <w:szCs w:val="22"/>
        </w:rPr>
        <w:t xml:space="preserve">5. Experimental Setup</w:t>
      </w:r>
    </w:p>
    <w:p>
      <w:pPr>
        <w:spacing w:after="60" w:before="140" w:line="240"/>
        <w:jc w:val="left"/>
      </w:pPr>
      <w:r>
        <w:rPr>
          <w:rFonts w:ascii="Times New Roman" w:cs="Times New Roman" w:eastAsia="Times New Roman" w:hAnsi="Times New Roman"/>
          <w:b/>
          <w:bCs/>
          <w:sz w:val="20"/>
          <w:szCs w:val="20"/>
        </w:rPr>
        <w:t xml:space="preserve">5.1 RAG Pipeline</w:t>
      </w:r>
    </w:p>
    <w:p>
      <w:pPr>
        <w:spacing w:after="60" w:line="240"/>
        <w:jc w:val="both"/>
      </w:pPr>
      <w:r>
        <w:rPr>
          <w:rFonts w:ascii="Times New Roman" w:cs="Times New Roman" w:eastAsia="Times New Roman" w:hAnsi="Times New Roman"/>
          <w:sz w:val="20"/>
          <w:szCs w:val="20"/>
        </w:rPr>
        <w:t xml:space="preserve">All experiments use a uniform RAG pipeline to isolate the variable of embedding model choice. Documents are chunked at 256 tokens with 32-token overlap. Retrieval is top-5 (k=5) by cosine similarity using FAISS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Temperature is set to 0 for deterministic generation.</w:t>
      </w:r>
    </w:p>
    <w:p>
      <w:pPr>
        <w:spacing w:after="60" w:before="140" w:line="240"/>
        <w:jc w:val="left"/>
      </w:pPr>
      <w:r>
        <w:rPr>
          <w:rFonts w:ascii="Times New Roman" w:cs="Times New Roman" w:eastAsia="Times New Roman" w:hAnsi="Times New Roman"/>
          <w:b/>
          <w:bCs/>
          <w:sz w:val="20"/>
          <w:szCs w:val="20"/>
        </w:rPr>
        <w:t xml:space="preserve">5.2 Evaluation Protocol</w:t>
      </w:r>
    </w:p>
    <w:p>
      <w:pPr>
        <w:spacing w:after="60" w:line="240"/>
        <w:jc w:val="both"/>
      </w:pPr>
      <w:r>
        <w:rPr>
          <w:rFonts w:ascii="Times New Roman" w:cs="Times New Roman" w:eastAsia="Times New Roman" w:hAnsi="Times New Roman"/>
          <w:sz w:val="20"/>
          <w:szCs w:val="20"/>
        </w:rPr>
        <w:t xml:space="preserve">For each combination of embedding model (7) × dataset (3) × generator (2), we evaluate 1,000 queries, yielding 42,000 total triples. Statistical significance of RFG differences across models is tested using paired bootstrap resampling (n=10,000 iterations) </w:t>
      </w:r>
      <w:r>
        <w:rPr>
          <w:rFonts w:ascii="Times New Roman" w:cs="Times New Roman" w:eastAsia="Times New Roman" w:hAnsi="Times New Roman"/>
          <w:color w:val="000080"/>
          <w:sz w:val="16"/>
          <w:szCs w:val="16"/>
        </w:rPr>
        <w:t xml:space="preserve">[21]</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5.3 Metric Robustness Analysis</w:t>
      </w:r>
    </w:p>
    <w:p>
      <w:pPr>
        <w:spacing w:after="60" w:line="240"/>
        <w:jc w:val="both"/>
      </w:pPr>
      <w:r>
        <w:rPr>
          <w:rFonts w:ascii="Times New Roman" w:cs="Times New Roman" w:eastAsia="Times New Roman" w:hAnsi="Times New Roman"/>
          <w:sz w:val="20"/>
          <w:szCs w:val="20"/>
        </w:rPr>
        <w:t xml:space="preserve">Both terms of RFG admit multiple reasonable operationalizations, and a metric whose conclusions depend on these choices would be of limited value. We therefore test the robustness of RFG to measurement choice. We compute RFG under all combinations of three retrieval quality measures (NDCG@5, Recall@5, MRR@5) and three faithfulness measures (AlignScore, DeBERTa-NLI entailment, and their mean), yielding nine RFG variants. For each pair of variants, we compute the Spearman rank correlation between the model rankings they induce. High inter-variant correlations would indicate that RFG captures a stable property of the embedding model rather than an artifact of any particular metric pairing; low correlations would indicate volatility and would qualify the interpretability of the metric. We report the full 9 × 9 correlation matrix, and apply the same analysis to the normalized variant nRFG.</w:t>
      </w:r>
    </w:p>
    <w:p>
      <w:pPr>
        <w:spacing w:after="100" w:before="200" w:line="240"/>
        <w:jc w:val="left"/>
      </w:pPr>
      <w:r>
        <w:rPr>
          <w:rFonts w:ascii="Times New Roman" w:cs="Times New Roman" w:eastAsia="Times New Roman" w:hAnsi="Times New Roman"/>
          <w:b/>
          <w:bCs/>
          <w:sz w:val="22"/>
          <w:szCs w:val="22"/>
        </w:rPr>
        <w:t xml:space="preserve">6. Expected Results and Hypotheses</w:t>
      </w:r>
    </w:p>
    <w:p>
      <w:pPr>
        <w:spacing w:after="60" w:line="240"/>
        <w:jc w:val="both"/>
      </w:pPr>
      <w:r>
        <w:rPr>
          <w:rFonts w:ascii="Times New Roman" w:cs="Times New Roman" w:eastAsia="Times New Roman" w:hAnsi="Times New Roman"/>
          <w:sz w:val="20"/>
          <w:szCs w:val="20"/>
        </w:rPr>
        <w:t xml:space="preserve">Based on our understanding of embedding model training objectives and the faithfulness literature, we state the following testable hypotheses:</w:t>
      </w:r>
    </w:p>
    <w:p>
      <w:pPr>
        <w:spacing w:after="40" w:line="240"/>
        <w:ind w:left="360" w:hanging="180"/>
        <w:jc w:val="both"/>
      </w:pPr>
      <w:r>
        <w:rPr>
          <w:rFonts w:ascii="Times New Roman" w:cs="Times New Roman" w:eastAsia="Times New Roman" w:hAnsi="Times New Roman"/>
          <w:sz w:val="20"/>
          <w:szCs w:val="20"/>
        </w:rPr>
        <w:t xml:space="preserve">• H1 (Architecture Effect): Instruction-tuned embedding models [2, 12] will exhibit significantly lower RFG than contrastive-only models [4, 11].</w:t>
      </w:r>
    </w:p>
    <w:p>
      <w:pPr>
        <w:spacing w:after="40" w:line="240"/>
        <w:ind w:left="360" w:hanging="180"/>
        <w:jc w:val="both"/>
      </w:pPr>
      <w:r>
        <w:rPr>
          <w:rFonts w:ascii="Times New Roman" w:cs="Times New Roman" w:eastAsia="Times New Roman" w:hAnsi="Times New Roman"/>
          <w:sz w:val="20"/>
          <w:szCs w:val="20"/>
        </w:rPr>
        <w:t xml:space="preserve">• H2 (Multi-hop Amplification): The RFG will be largest on HotpotQA [18], where multi-hop reasoning requires retrieved chunks to jointly entail the answer.</w:t>
      </w:r>
    </w:p>
    <w:p>
      <w:pPr>
        <w:spacing w:after="40" w:line="240"/>
        <w:ind w:left="360" w:hanging="180"/>
        <w:jc w:val="both"/>
      </w:pPr>
      <w:r>
        <w:rPr>
          <w:rFonts w:ascii="Times New Roman" w:cs="Times New Roman" w:eastAsia="Times New Roman" w:hAnsi="Times New Roman"/>
          <w:sz w:val="20"/>
          <w:szCs w:val="20"/>
        </w:rPr>
        <w:t xml:space="preserve">• H3 (Generator Independence): The ranking of embedding models by RFG will be consistent across Llama-3 and Claude Haiku 4.5 generators.</w:t>
      </w:r>
    </w:p>
    <w:p>
      <w:pPr>
        <w:spacing w:after="40" w:line="240"/>
        <w:ind w:left="360" w:hanging="180"/>
        <w:jc w:val="both"/>
      </w:pPr>
      <w:r>
        <w:rPr>
          <w:rFonts w:ascii="Times New Roman" w:cs="Times New Roman" w:eastAsia="Times New Roman" w:hAnsi="Times New Roman"/>
          <w:sz w:val="20"/>
          <w:szCs w:val="20"/>
        </w:rPr>
        <w:t xml:space="preserve">• H4 (Geometric Explanation): Entailment-similarity alignment will be significantly higher for instruction-tuned models.</w:t>
      </w:r>
    </w:p>
    <w:p>
      <w:pPr>
        <w:spacing w:after="40" w:line="240"/>
        <w:ind w:left="360" w:hanging="180"/>
        <w:jc w:val="both"/>
      </w:pPr>
      <w:r>
        <w:rPr>
          <w:rFonts w:ascii="Times New Roman" w:cs="Times New Roman" w:eastAsia="Times New Roman" w:hAnsi="Times New Roman"/>
          <w:sz w:val="20"/>
          <w:szCs w:val="20"/>
        </w:rPr>
        <w:t xml:space="preserve">• H5 (Re-ranking Effectiveness): Faithfulness-aware re-ranking will reduce the RFG of the lowest-performing embedding model by at least 15% relative.</w:t>
      </w:r>
    </w:p>
    <w:p>
      <w:pPr>
        <w:spacing w:after="100" w:before="200" w:line="240"/>
        <w:jc w:val="left"/>
      </w:pPr>
      <w:r>
        <w:rPr>
          <w:rFonts w:ascii="Times New Roman" w:cs="Times New Roman" w:eastAsia="Times New Roman" w:hAnsi="Times New Roman"/>
          <w:b/>
          <w:bCs/>
          <w:sz w:val="22"/>
          <w:szCs w:val="22"/>
        </w:rPr>
        <w:t xml:space="preserve">7. Significance and Expected Contributions</w:t>
      </w:r>
    </w:p>
    <w:p>
      <w:pPr>
        <w:spacing w:after="40" w:line="240"/>
        <w:ind w:left="360" w:hanging="180"/>
        <w:jc w:val="both"/>
      </w:pPr>
      <w:r>
        <w:rPr>
          <w:rFonts w:ascii="Times New Roman" w:cs="Times New Roman" w:eastAsia="Times New Roman" w:hAnsi="Times New Roman"/>
          <w:sz w:val="20"/>
          <w:szCs w:val="20"/>
        </w:rPr>
        <w:t xml:space="preserve">• Conceptual: We reframe the faithfulness problem from a generation-side challenge [5, 6, 13] to an upstream retrieval-side contributing factor.</w:t>
      </w:r>
    </w:p>
    <w:p>
      <w:pPr>
        <w:spacing w:after="40" w:line="240"/>
        <w:ind w:left="360" w:hanging="180"/>
        <w:jc w:val="both"/>
      </w:pPr>
      <w:r>
        <w:rPr>
          <w:rFonts w:ascii="Times New Roman" w:cs="Times New Roman" w:eastAsia="Times New Roman" w:hAnsi="Times New Roman"/>
          <w:sz w:val="20"/>
          <w:szCs w:val="20"/>
        </w:rPr>
        <w:t xml:space="preserve">• Metric: The RFG metric provides a principled tool for evaluating embedding models in RAG beyond standard retrieval quality benchmarks [9, 14].</w:t>
      </w:r>
    </w:p>
    <w:p>
      <w:pPr>
        <w:spacing w:after="40" w:line="240"/>
        <w:ind w:left="360" w:hanging="180"/>
        <w:jc w:val="both"/>
      </w:pPr>
      <w:r>
        <w:rPr>
          <w:rFonts w:ascii="Times New Roman" w:cs="Times New Roman" w:eastAsia="Times New Roman" w:hAnsi="Times New Roman"/>
          <w:sz w:val="20"/>
          <w:szCs w:val="20"/>
        </w:rPr>
        <w:t xml:space="preserve">• Empirical: Our systematic study across seven embedding models, three datasets, and two generators provides a broad empirical analysis of embedding architecture effects on RAG faithfulness.</w:t>
      </w:r>
    </w:p>
    <w:p>
      <w:pPr>
        <w:spacing w:after="40" w:line="240"/>
        <w:ind w:left="360" w:hanging="180"/>
        <w:jc w:val="both"/>
      </w:pPr>
      <w:r>
        <w:rPr>
          <w:rFonts w:ascii="Times New Roman" w:cs="Times New Roman" w:eastAsia="Times New Roman" w:hAnsi="Times New Roman"/>
          <w:sz w:val="20"/>
          <w:szCs w:val="20"/>
        </w:rPr>
        <w:t xml:space="preserve">• Practical: The faithfulness-aware re-ranking strategy offers an immediately deployable improvement requiring no retraining.</w:t>
      </w:r>
    </w:p>
    <w:p>
      <w:pPr>
        <w:spacing w:after="100" w:before="200" w:line="240"/>
        <w:jc w:val="left"/>
      </w:pPr>
      <w:r>
        <w:rPr>
          <w:rFonts w:ascii="Times New Roman" w:cs="Times New Roman" w:eastAsia="Times New Roman" w:hAnsi="Times New Roman"/>
          <w:b/>
          <w:bCs/>
          <w:sz w:val="22"/>
          <w:szCs w:val="22"/>
        </w:rPr>
        <w:t xml:space="preserve">8. Limitations and Future Work</w:t>
      </w:r>
    </w:p>
    <w:p>
      <w:pPr>
        <w:spacing w:after="60" w:line="240"/>
        <w:jc w:val="both"/>
      </w:pPr>
      <w:r>
        <w:rPr>
          <w:rFonts w:ascii="Times New Roman" w:cs="Times New Roman" w:eastAsia="Times New Roman" w:hAnsi="Times New Roman"/>
          <w:sz w:val="20"/>
          <w:szCs w:val="20"/>
        </w:rPr>
        <w:t xml:space="preserve">There are several limitations worth noting. First, we rely on automated metrics for faithfulness — AlignScore </w:t>
      </w:r>
      <w:r>
        <w:rPr>
          <w:rFonts w:ascii="Times New Roman" w:cs="Times New Roman" w:eastAsia="Times New Roman" w:hAnsi="Times New Roman"/>
          <w:color w:val="000080"/>
          <w:sz w:val="16"/>
          <w:szCs w:val="16"/>
        </w:rPr>
        <w:t xml:space="preserve">[16]</w:t>
      </w:r>
      <w:r>
        <w:rPr>
          <w:rFonts w:ascii="Times New Roman" w:cs="Times New Roman" w:eastAsia="Times New Roman" w:hAnsi="Times New Roman"/>
          <w:sz w:val="20"/>
          <w:szCs w:val="20"/>
        </w:rPr>
        <w:t xml:space="preserve"> and DeBERTa-NLI </w:t>
      </w:r>
      <w:r>
        <w:rPr>
          <w:rFonts w:ascii="Times New Roman" w:cs="Times New Roman" w:eastAsia="Times New Roman" w:hAnsi="Times New Roman"/>
          <w:color w:val="000080"/>
          <w:sz w:val="16"/>
          <w:szCs w:val="16"/>
        </w:rPr>
        <w:t xml:space="preserve">[20]</w:t>
      </w:r>
      <w:r>
        <w:rPr>
          <w:rFonts w:ascii="Times New Roman" w:cs="Times New Roman" w:eastAsia="Times New Roman" w:hAnsi="Times New Roman"/>
          <w:sz w:val="20"/>
          <w:szCs w:val="20"/>
        </w:rPr>
        <w:t xml:space="preserve"> — that, while state-of-the-art, may not perfectly capture human judgments in all cases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 Second, our study covers three English-language benchmarks. Faithfulness behavior may differ significantly in multilingual settings, particularly for low-resource languages. Third, we study a fixed chunk size (256 tokens). The interaction between chunking strategy and embedding model faithfulness is a related but distinct question we leave for future work.</w:t>
      </w:r>
    </w:p>
    <w:p>
      <w:pPr>
        <w:spacing w:after="100" w:before="200" w:line="240"/>
        <w:jc w:val="left"/>
      </w:pPr>
      <w:r>
        <w:rPr>
          <w:rFonts w:ascii="Times New Roman" w:cs="Times New Roman" w:eastAsia="Times New Roman" w:hAnsi="Times New Roman"/>
          <w:b/>
          <w:bCs/>
          <w:sz w:val="22"/>
          <w:szCs w:val="22"/>
        </w:rPr>
        <w:t xml:space="preserve">9. Proposed Timeline</w:t>
      </w:r>
    </w:p>
    <w:p>
      <w:pPr>
        <w:spacing w:after="40" w:before="80" w:line="240"/>
        <w:jc w:val="center"/>
      </w:pPr>
      <w:r>
        <w:rPr>
          <w:rFonts w:ascii="Times New Roman" w:cs="Times New Roman" w:eastAsia="Times New Roman" w:hAnsi="Times New Roman"/>
          <w:b/>
          <w:bCs/>
          <w:sz w:val="18"/>
          <w:szCs w:val="18"/>
        </w:rPr>
        <w:t xml:space="preserve">Table 2: Research Timeline</w:t>
      </w:r>
    </w:p>
    <w:tbl>
      <w:tblPr>
        <w:tblW w:type="dxa" w:w="5160"/>
        <w:tblBorders>
          <w:top w:val="single" w:color="auto" w:sz="4"/>
          <w:left w:val="single" w:color="auto" w:sz="4"/>
          <w:bottom w:val="single" w:color="auto" w:sz="4"/>
          <w:right w:val="single" w:color="auto" w:sz="4"/>
          <w:insideH w:val="single" w:color="auto" w:sz="4"/>
          <w:insideV w:val="single" w:color="auto" w:sz="4"/>
        </w:tblBorders>
      </w:tblPr>
      <w:tblGrid>
        <w:gridCol w:w="1100"/>
        <w:gridCol w:w="2560"/>
        <w:gridCol w:w="750"/>
        <w:gridCol w:w="750"/>
      </w:tblGrid>
      <w:tr>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Phase</w:t>
            </w:r>
          </w:p>
        </w:tc>
        <w:tc>
          <w:tcPr>
            <w:tcW w:type="dxa" w:w="25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Tasks</w:t>
            </w:r>
          </w:p>
        </w:tc>
        <w:tc>
          <w:tcPr>
            <w:tcW w:type="dxa" w:w="7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Weeks</w:t>
            </w:r>
          </w:p>
        </w:tc>
        <w:tc>
          <w:tcPr>
            <w:tcW w:type="dxa" w:w="7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Target</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1: Setup</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Pipeline, model integration, FAISS indexing</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May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2: Main</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42,000-triple evaluation, RFG computation</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Jun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3: Analysis</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Entailment-similarity, attention, re-ranking</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Jul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4: Writing</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Paper draft, figures, tables</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Aug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5: Submit</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Review, revision, camera-ready</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Sep 2026</w:t>
            </w:r>
          </w:p>
        </w:tc>
      </w:tr>
    </w:tbl>
    <w:p>
      <w:pPr>
        <w:spacing w:after="40" w:line="240"/>
        <w:jc w:val="both"/>
      </w:pPr>
      <w:r>
        <w:rPr>
          <w:rFonts w:ascii="Times New Roman" w:cs="Times New Roman" w:eastAsia="Times New Roman" w:hAnsi="Times New Roman"/>
          <w:i/>
          <w:iCs/>
          <w:sz w:val="18"/>
          <w:szCs w:val="18"/>
        </w:rPr>
        <w:t xml:space="preserve">Target venue: EMNLP 2026 or COLING 2026 as backup.</w:t>
      </w:r>
    </w:p>
    <w:p>
      <w:pPr>
        <w:spacing w:after="100" w:before="200" w:line="240"/>
        <w:jc w:val="left"/>
      </w:pPr>
      <w:r>
        <w:rPr>
          <w:rFonts w:ascii="Times New Roman" w:cs="Times New Roman" w:eastAsia="Times New Roman" w:hAnsi="Times New Roman"/>
          <w:b/>
          <w:bCs/>
          <w:sz w:val="22"/>
          <w:szCs w:val="22"/>
        </w:rPr>
        <w:t xml:space="preserve">References</w:t>
      </w:r>
    </w:p>
    <w:p>
      <w:pPr>
        <w:spacing w:after="30" w:line="240"/>
        <w:ind w:left="360" w:hanging="36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Lewis, P., Perez, E., Piktus, A., et al. (2020). "Retrieval-Augmented Generation for Knowledge-Intensive NLP Tasks." NeurIPS 2020.</w:t>
      </w:r>
    </w:p>
    <w:p>
      <w:pPr>
        <w:spacing w:after="30" w:line="240"/>
        <w:ind w:left="360" w:hanging="36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Wang, L., Yang, N., Huang, X., et al. (2024). "Improving Text Embeddings with Large Language Models (E5-instruct)." ACL 2024.</w:t>
      </w:r>
    </w:p>
    <w:p>
      <w:pPr>
        <w:spacing w:after="30" w:line="240"/>
        <w:ind w:left="360" w:hanging="36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Xiao, S., Liu, Z., Zhang, P., &amp; Muennighoff, N. (2024). "C-Pack: Packaged Resources to Advance General Chinese Embedding." SIGIR 2024. [BGE-M3]</w:t>
      </w:r>
    </w:p>
    <w:p>
      <w:pPr>
        <w:spacing w:after="30" w:line="240"/>
        <w:ind w:left="360" w:hanging="360"/>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Reimers, N. &amp; Gurevych, I. (2019). "Sentence-BERT: Sentence Embeddings using Siamese BERT-Networks." EMNLP 2019.</w:t>
      </w:r>
    </w:p>
    <w:p>
      <w:pPr>
        <w:spacing w:after="30" w:line="240"/>
        <w:ind w:left="360" w:hanging="36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Sinha, D. (2025). "The Semantic Illusion: Certified Limits of Embedding-Based Hallucination Detection in RAG Systems." arXiv:2512.15068.</w:t>
      </w:r>
    </w:p>
    <w:p>
      <w:pPr>
        <w:spacing w:after="30" w:line="240"/>
        <w:ind w:left="360" w:hanging="360"/>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Sun, Z., et al. (2025). "ReDeEP: Detecting Hallucination in Retrieval-Augmented Generation via Mechanistic Interpretability." ICLR 2025.</w:t>
      </w:r>
    </w:p>
    <w:p>
      <w:pPr>
        <w:spacing w:after="30" w:line="240"/>
        <w:ind w:left="360" w:hanging="360"/>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Chen, S., et al. (2025). "Each to Their Own: Exploring the Optimal Embedding in RAG." arXiv:2507.17442.</w:t>
      </w:r>
    </w:p>
    <w:p>
      <w:pPr>
        <w:spacing w:after="30" w:line="240"/>
        <w:ind w:left="360" w:hanging="360"/>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Sturua, S., Mohr, I., Akram, M. K., et al. (2024). "jina-embeddings-v3: Multilingual Embeddings With Task LoRA." arXiv:2409.10173.</w:t>
      </w:r>
    </w:p>
    <w:p>
      <w:pPr>
        <w:spacing w:after="30" w:line="240"/>
        <w:ind w:left="360" w:hanging="360"/>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Tamber, M. S., Bao, F. S., Xu, C., et al. (2025). "Benchmarking LLM Faithfulness in RAG with Evolving Leaderboards (FaithJudge)." EMNLP 2025 Industry Track.</w:t>
      </w:r>
    </w:p>
    <w:p>
      <w:pPr>
        <w:spacing w:after="30" w:line="240"/>
        <w:ind w:left="360" w:hanging="360"/>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Gao, Y., et al. (2025). "A Comprehensive Survey of Retrieval-Augmented Generation." arXiv:2506.00054.</w:t>
      </w:r>
    </w:p>
    <w:p>
      <w:pPr>
        <w:spacing w:after="30" w:line="240"/>
        <w:ind w:left="360" w:hanging="360"/>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sz w:val="18"/>
          <w:szCs w:val="18"/>
        </w:rPr>
        <w:t xml:space="preserve">Li, Z., et al. (2023). "Towards General Text Embeddings with Multi-stage Contrastive Learning." arXiv:2308.03281. [GTE]</w:t>
      </w:r>
    </w:p>
    <w:p>
      <w:pPr>
        <w:spacing w:after="30" w:line="240"/>
        <w:ind w:left="360" w:hanging="360"/>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sz w:val="18"/>
          <w:szCs w:val="18"/>
        </w:rPr>
        <w:t xml:space="preserve">Su, H., Shi, W., Kasner, Z., et al. (2023). "One Embedder, Any Task: Instruction-Finetuned Text Embeddings." ACL Findings 2023. [Instructor-XL]</w:t>
      </w:r>
    </w:p>
    <w:p>
      <w:pPr>
        <w:spacing w:after="30" w:line="240"/>
        <w:ind w:left="360" w:hanging="360"/>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sz w:val="18"/>
          <w:szCs w:val="18"/>
        </w:rPr>
        <w:t xml:space="preserve">Tan, Z., Jiao, Y., Yang, D., et al. (2026). "CTRL-RAG: Contrastive Likelihood Reward Based Reinforcement Learning for Context-Faithful RAG Models." arXiv:2603.04406.</w:t>
      </w:r>
    </w:p>
    <w:p>
      <w:pPr>
        <w:spacing w:after="30" w:line="240"/>
        <w:ind w:left="360" w:hanging="360"/>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sz w:val="18"/>
          <w:szCs w:val="18"/>
        </w:rPr>
        <w:t xml:space="preserve">Johnson, J., Douze, M., &amp; Jégou, H. (2021). "Billion-Scale Similarity Search with GPUs." IEEE Trans. Big Data. [FAISS]</w:t>
      </w:r>
    </w:p>
    <w:p>
      <w:pPr>
        <w:spacing w:after="30" w:line="240"/>
        <w:ind w:left="360" w:hanging="360"/>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sz w:val="18"/>
          <w:szCs w:val="18"/>
        </w:rPr>
        <w:t xml:space="preserve">Ji, Z., Lee, N., Frieske, R., et al. (2023). "Survey of Hallucination in Natural Language Generation." ACM Computing Surveys.</w:t>
      </w:r>
    </w:p>
    <w:p>
      <w:pPr>
        <w:spacing w:after="30" w:line="240"/>
        <w:ind w:left="360" w:hanging="360"/>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sz w:val="18"/>
          <w:szCs w:val="18"/>
        </w:rPr>
        <w:t xml:space="preserve">Zha, Y., Yang, Y., Li, R., &amp; Hu, X. (2023). "AlignScore: Evaluating Factual Consistency with A Unified Alignment Function." ACL 2023.</w:t>
      </w:r>
    </w:p>
    <w:p>
      <w:pPr>
        <w:spacing w:after="30" w:line="240"/>
        <w:ind w:left="360" w:hanging="360"/>
      </w:pPr>
      <w:r>
        <w:rPr>
          <w:rFonts w:ascii="Times New Roman" w:cs="Times New Roman" w:eastAsia="Times New Roman" w:hAnsi="Times New Roman"/>
          <w:b/>
          <w:bCs/>
          <w:sz w:val="18"/>
          <w:szCs w:val="18"/>
        </w:rPr>
        <w:t xml:space="preserve">[17] </w:t>
      </w:r>
      <w:r>
        <w:rPr>
          <w:rFonts w:ascii="Times New Roman" w:cs="Times New Roman" w:eastAsia="Times New Roman" w:hAnsi="Times New Roman"/>
          <w:sz w:val="18"/>
          <w:szCs w:val="18"/>
        </w:rPr>
        <w:t xml:space="preserve">Kwiatkowski, T., et al. (2019). "Natural Questions: A Benchmark for Question Answering Research." TACL 2019.</w:t>
      </w:r>
    </w:p>
    <w:p>
      <w:pPr>
        <w:spacing w:after="30" w:line="240"/>
        <w:ind w:left="360" w:hanging="360"/>
      </w:pPr>
      <w:r>
        <w:rPr>
          <w:rFonts w:ascii="Times New Roman" w:cs="Times New Roman" w:eastAsia="Times New Roman" w:hAnsi="Times New Roman"/>
          <w:b/>
          <w:bCs/>
          <w:sz w:val="18"/>
          <w:szCs w:val="18"/>
        </w:rPr>
        <w:t xml:space="preserve">[18] </w:t>
      </w:r>
      <w:r>
        <w:rPr>
          <w:rFonts w:ascii="Times New Roman" w:cs="Times New Roman" w:eastAsia="Times New Roman" w:hAnsi="Times New Roman"/>
          <w:sz w:val="18"/>
          <w:szCs w:val="18"/>
        </w:rPr>
        <w:t xml:space="preserve">Yang, Z., et al. (2018). "HotpotQA: A Dataset for Diverse, Explainable Multi-hop Question Answering." EMNLP 2018.</w:t>
      </w:r>
    </w:p>
    <w:p>
      <w:pPr>
        <w:spacing w:after="30" w:line="240"/>
        <w:ind w:left="360" w:hanging="360"/>
      </w:pPr>
      <w:r>
        <w:rPr>
          <w:rFonts w:ascii="Times New Roman" w:cs="Times New Roman" w:eastAsia="Times New Roman" w:hAnsi="Times New Roman"/>
          <w:b/>
          <w:bCs/>
          <w:sz w:val="18"/>
          <w:szCs w:val="18"/>
        </w:rPr>
        <w:t xml:space="preserve">[19] </w:t>
      </w:r>
      <w:r>
        <w:rPr>
          <w:rFonts w:ascii="Times New Roman" w:cs="Times New Roman" w:eastAsia="Times New Roman" w:hAnsi="Times New Roman"/>
          <w:sz w:val="18"/>
          <w:szCs w:val="18"/>
        </w:rPr>
        <w:t xml:space="preserve">Dasigi, P., et al. (2021). "A Dataset of Information-Seeking Questions and Answers Anchored in Research Papers." NAACL 2021. [QASPER]</w:t>
      </w:r>
    </w:p>
    <w:p>
      <w:pPr>
        <w:spacing w:after="30" w:line="240"/>
        <w:ind w:left="360" w:hanging="360"/>
      </w:pPr>
      <w:r>
        <w:rPr>
          <w:rFonts w:ascii="Times New Roman" w:cs="Times New Roman" w:eastAsia="Times New Roman" w:hAnsi="Times New Roman"/>
          <w:b/>
          <w:bCs/>
          <w:sz w:val="18"/>
          <w:szCs w:val="18"/>
        </w:rPr>
        <w:t xml:space="preserve">[20] </w:t>
      </w:r>
      <w:r>
        <w:rPr>
          <w:rFonts w:ascii="Times New Roman" w:cs="Times New Roman" w:eastAsia="Times New Roman" w:hAnsi="Times New Roman"/>
          <w:sz w:val="18"/>
          <w:szCs w:val="18"/>
        </w:rPr>
        <w:t xml:space="preserve">He, P., Gao, J., &amp; Chen, W. (2023). "DeBERTaV3: Improving DeBERTa using ELECTRA-Style Pre-Training." ICLR 2023.</w:t>
      </w:r>
    </w:p>
    <w:p>
      <w:pPr>
        <w:spacing w:after="30" w:line="240"/>
        <w:ind w:left="360" w:hanging="360"/>
      </w:pPr>
      <w:r>
        <w:rPr>
          <w:rFonts w:ascii="Times New Roman" w:cs="Times New Roman" w:eastAsia="Times New Roman" w:hAnsi="Times New Roman"/>
          <w:b/>
          <w:bCs/>
          <w:sz w:val="18"/>
          <w:szCs w:val="18"/>
        </w:rPr>
        <w:t xml:space="preserve">[21] </w:t>
      </w:r>
      <w:r>
        <w:rPr>
          <w:rFonts w:ascii="Times New Roman" w:cs="Times New Roman" w:eastAsia="Times New Roman" w:hAnsi="Times New Roman"/>
          <w:sz w:val="18"/>
          <w:szCs w:val="18"/>
        </w:rPr>
        <w:t xml:space="preserve">Dror, R., Baumer, G., Shlain, M., &amp; Reichart, R. (2018). "Deep Dominance — How to Properly Compare Deep Neural Models." ACL 2018.</w:t>
      </w:r>
    </w:p>
    <w:sectPr>
      <w:type w:val="continuous"/>
      <w:pgSz w:w="12240" w:h="15840" w:orient="portrait"/>
      <w:pgMar w:top="720" w:right="720" w:bottom="720" w:left="720" w:header="708" w:footer="708" w:gutter="0"/>
      <w:pgNumType/>
      <w:cols w:space="3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2026-03-13T13:18:20.321Z</dcterms:created>
  <dcterms:modified xsi:type="dcterms:W3CDTF">2026-03-13T13:18:20.322Z</dcterms:modified>
</cp:coreProperties>
</file>

<file path=docProps/custom.xml><?xml version="1.0" encoding="utf-8"?>
<Properties xmlns="http://schemas.openxmlformats.org/officeDocument/2006/custom-properties" xmlns:vt="http://schemas.openxmlformats.org/officeDocument/2006/docPropsVTypes"/>
</file>