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Graph (a): Global Blockchain Market 2020-2030</w:t>
      </w:r>
    </w:p>
    <w:p>
      <w:pPr>
        <w:spacing w:after="280"/>
        <w:jc w:val="center"/>
      </w:pPr>
      <w:r>
        <w:rPr>
          <w:color w:val="444444"/>
          <w:sz w:val="19"/>
        </w:rPr>
        <w:t>Eight research firms, published headline values. 2030 column = forecast (shown in blue on the graph).</w:t>
      </w:r>
    </w:p>
    <w:p>
      <w:pPr>
        <w:spacing w:before="120" w:after="80"/>
      </w:pPr>
      <w:r>
        <w:rPr>
          <w:b/>
          <w:sz w:val="23"/>
        </w:rPr>
        <w:t>Sources (click to open)</w:t>
      </w:r>
    </w:p>
    <w:p>
      <w:pPr>
        <w:pStyle w:val="ListBullet"/>
        <w:spacing w:after="60"/>
      </w:pPr>
      <w:r>
        <w:rPr>
          <w:b/>
          <w:sz w:val="19"/>
        </w:rPr>
        <w:t>IDC Worldwide Blockchain Spending Guide</w:t>
      </w:r>
      <w:r>
        <w:rPr>
          <w:sz w:val="19"/>
        </w:rPr>
        <w:br/>
      </w:r>
      <w:hyperlink r:id="rId9">
        <w:r>
          <w:rPr>
            <w:color w:val="1155CC"/>
            <w:u w:val="single"/>
            <w:sz w:val="18"/>
          </w:rPr>
          <w:t xml:space="preserve">https://www.idc.com/getdoc.jsp?containerId=IDC_P37345</w:t>
        </w:r>
      </w:hyperlink>
    </w:p>
    <w:p>
      <w:pPr>
        <w:pStyle w:val="ListBullet"/>
        <w:spacing w:after="60"/>
      </w:pPr>
      <w:r>
        <w:rPr>
          <w:b/>
          <w:sz w:val="19"/>
        </w:rPr>
        <w:t>Statista Global Blockchain Technology Market Size</w:t>
      </w:r>
      <w:r>
        <w:rPr>
          <w:sz w:val="19"/>
        </w:rPr>
        <w:br/>
      </w:r>
      <w:hyperlink r:id="rId10">
        <w:r>
          <w:rPr>
            <w:color w:val="1155CC"/>
            <w:u w:val="single"/>
            <w:sz w:val="18"/>
          </w:rPr>
          <w:t xml:space="preserve">https://www.statista.com/statistics/647231/worldwide-blockchain-technology-market-size/</w:t>
        </w:r>
      </w:hyperlink>
    </w:p>
    <w:p>
      <w:pPr>
        <w:pStyle w:val="ListBullet"/>
        <w:spacing w:after="60"/>
      </w:pPr>
      <w:r>
        <w:rPr>
          <w:b/>
          <w:sz w:val="19"/>
        </w:rPr>
        <w:t>Grand View Research - Blockchain Technology Market</w:t>
      </w:r>
      <w:r>
        <w:rPr>
          <w:sz w:val="19"/>
        </w:rPr>
        <w:br/>
      </w:r>
      <w:hyperlink r:id="rId11">
        <w:r>
          <w:rPr>
            <w:color w:val="1155CC"/>
            <w:u w:val="single"/>
            <w:sz w:val="18"/>
          </w:rPr>
          <w:t xml:space="preserve">https://www.grandviewresearch.com/industry-analysis/blockchain-technology-market</w:t>
        </w:r>
      </w:hyperlink>
    </w:p>
    <w:p>
      <w:pPr>
        <w:pStyle w:val="ListBullet"/>
        <w:spacing w:after="60"/>
      </w:pPr>
      <w:r>
        <w:rPr>
          <w:b/>
          <w:sz w:val="19"/>
        </w:rPr>
        <w:t>Fortune Business Insights - Blockchain Market</w:t>
      </w:r>
      <w:r>
        <w:rPr>
          <w:sz w:val="19"/>
        </w:rPr>
        <w:br/>
      </w:r>
      <w:hyperlink r:id="rId12">
        <w:r>
          <w:rPr>
            <w:color w:val="1155CC"/>
            <w:u w:val="single"/>
            <w:sz w:val="18"/>
          </w:rPr>
          <w:t xml:space="preserve">https://www.fortunebusinessinsights.com/industry-reports/blockchain-market-100072</w:t>
        </w:r>
      </w:hyperlink>
    </w:p>
    <w:p>
      <w:pPr>
        <w:pStyle w:val="ListBullet"/>
        <w:spacing w:after="60"/>
      </w:pPr>
      <w:r>
        <w:rPr>
          <w:b/>
          <w:sz w:val="19"/>
        </w:rPr>
        <w:t>MarketsandMarkets - Blockchain Technology Market</w:t>
      </w:r>
      <w:r>
        <w:rPr>
          <w:sz w:val="19"/>
        </w:rPr>
        <w:br/>
      </w:r>
      <w:hyperlink r:id="rId13">
        <w:r>
          <w:rPr>
            <w:color w:val="1155CC"/>
            <w:u w:val="single"/>
            <w:sz w:val="18"/>
          </w:rPr>
          <w:t xml:space="preserve">https://www.marketsandmarkets.com/Market-Reports/blockchain-technology-market-90100890.html</w:t>
        </w:r>
      </w:hyperlink>
    </w:p>
    <w:p>
      <w:pPr>
        <w:pStyle w:val="ListBullet"/>
        <w:spacing w:after="60"/>
      </w:pPr>
      <w:r>
        <w:rPr>
          <w:b/>
          <w:sz w:val="19"/>
        </w:rPr>
        <w:t>Precedence Research - Blockchain Technology Market</w:t>
      </w:r>
      <w:r>
        <w:rPr>
          <w:sz w:val="19"/>
        </w:rPr>
        <w:br/>
      </w:r>
      <w:hyperlink r:id="rId14">
        <w:r>
          <w:rPr>
            <w:color w:val="1155CC"/>
            <w:u w:val="single"/>
            <w:sz w:val="18"/>
          </w:rPr>
          <w:t xml:space="preserve">https://www.precedenceresearch.com/blockchain-technology-market</w:t>
        </w:r>
      </w:hyperlink>
    </w:p>
    <w:p>
      <w:pPr>
        <w:pStyle w:val="ListBullet"/>
        <w:spacing w:after="60"/>
      </w:pPr>
      <w:r>
        <w:rPr>
          <w:b/>
          <w:sz w:val="19"/>
        </w:rPr>
        <w:t>Allied Market Research - Blockchain Technology Market</w:t>
      </w:r>
      <w:r>
        <w:rPr>
          <w:sz w:val="19"/>
        </w:rPr>
        <w:br/>
      </w:r>
      <w:hyperlink r:id="rId15">
        <w:r>
          <w:rPr>
            <w:color w:val="1155CC"/>
            <w:u w:val="single"/>
            <w:sz w:val="18"/>
          </w:rPr>
          <w:t xml:space="preserve">https://www.alliedmarketresearch.com/blockchain-technology-market-A06372</w:t>
        </w:r>
      </w:hyperlink>
    </w:p>
    <w:p>
      <w:pPr>
        <w:pStyle w:val="ListBullet"/>
        <w:spacing w:after="60"/>
      </w:pPr>
      <w:r>
        <w:rPr>
          <w:b/>
          <w:sz w:val="19"/>
        </w:rPr>
        <w:t>Polaris Market Research - Blockchain Technology Market</w:t>
      </w:r>
      <w:r>
        <w:rPr>
          <w:sz w:val="19"/>
        </w:rPr>
        <w:br/>
      </w:r>
      <w:hyperlink r:id="rId16">
        <w:r>
          <w:rPr>
            <w:color w:val="1155CC"/>
            <w:u w:val="single"/>
            <w:sz w:val="18"/>
          </w:rPr>
          <w:t xml:space="preserve">https://www.polarismarketresearch.com/industry-analysis/blockchain-technology-market</w:t>
        </w:r>
      </w:hyperlink>
    </w:p>
    <w:p>
      <w:pPr>
        <w:spacing w:before="240" w:after="80"/>
      </w:pPr>
      <w:r>
        <w:rPr>
          <w:b/>
          <w:sz w:val="23"/>
        </w:rPr>
        <w:t>Methodology / notes</w:t>
      </w:r>
    </w:p>
    <w:p>
      <w:pPr>
        <w:jc w:val="both"/>
      </w:pPr>
      <w:r>
        <w:rPr>
          <w:sz w:val="19"/>
        </w:rPr>
        <w:t>Each row in the table is a value explicitly printed in the named firm's public report or executive summary; no interpolation is performed. The yellow ribbon on the graph is the min–max envelope across firms, and the black line is the cross-firm geometric mean per year. The 2030 column (dashed blue) is a forecast aggregation across the four firms that publish a 2030 outlook; IDC's 2030 enterprise-spending track is omitted to avoid mixing methodologies. Snapshot date: 2026-06-04.</w:t>
      </w:r>
    </w:p>
    <w:p>
      <w:r>
        <w:br w:type="page"/>
      </w:r>
    </w:p>
    <w:p>
      <w:pPr>
        <w:spacing w:after="160"/>
        <w:jc w:val="center"/>
      </w:pPr>
      <w:r>
        <w:rPr>
          <w:b/>
          <w:sz w:val="24"/>
        </w:rPr>
        <w:t>Data table (values plotted in the graph)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9"/>
              </w:rPr>
              <w:t>Firm</w:t>
            </w:r>
          </w:p>
        </w:tc>
        <w:tc>
          <w:tcPr>
            <w:tcW w:type="dxa" w:w="3216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9"/>
              </w:rPr>
              <w:t>Year</w:t>
            </w:r>
          </w:p>
        </w:tc>
        <w:tc>
          <w:tcPr>
            <w:tcW w:type="dxa" w:w="3216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9"/>
              </w:rPr>
              <w:t>Value (US$ Billions)</w:t>
            </w:r>
          </w:p>
        </w:tc>
      </w:tr>
      <w:tr>
        <w:tc>
          <w:tcPr>
            <w:tcW w:type="dxa" w:w="3216"/>
          </w:tcPr>
          <w:p>
            <w:pPr>
              <w:jc w:val="left"/>
            </w:pPr>
            <w:r/>
            <w:r>
              <w:rPr>
                <w:sz w:val="18"/>
              </w:rPr>
              <w:t>IDC Worldwide Blockchain Spending Guide</w:t>
            </w:r>
          </w:p>
        </w:tc>
        <w:tc>
          <w:tcPr>
            <w:tcW w:type="dxa" w:w="3216"/>
          </w:tcPr>
          <w:p>
            <w:pPr>
              <w:jc w:val="center"/>
            </w:pPr>
            <w:r/>
            <w:r>
              <w:rPr>
                <w:sz w:val="18"/>
              </w:rPr>
              <w:t>2020</w:t>
            </w:r>
          </w:p>
        </w:tc>
        <w:tc>
          <w:tcPr>
            <w:tcW w:type="dxa" w:w="3216"/>
          </w:tcPr>
          <w:p>
            <w:pPr>
              <w:jc w:val="center"/>
            </w:pPr>
            <w:r/>
            <w:r>
              <w:rPr>
                <w:sz w:val="18"/>
              </w:rPr>
              <w:t>4.10</w:t>
            </w:r>
          </w:p>
        </w:tc>
      </w:tr>
      <w:tr>
        <w:tc>
          <w:tcPr>
            <w:tcW w:type="dxa" w:w="3216"/>
            <w:shd w:val="clear" w:fill="F5F7FA"/>
          </w:tcPr>
          <w:p>
            <w:pPr>
              <w:jc w:val="left"/>
            </w:pPr>
            <w:r/>
            <w:r>
              <w:rPr>
                <w:sz w:val="18"/>
              </w:rPr>
              <w:t>IDC Worldwide Blockchain Spending Guide</w:t>
            </w:r>
          </w:p>
        </w:tc>
        <w:tc>
          <w:tcPr>
            <w:tcW w:type="dxa" w:w="3216"/>
            <w:shd w:val="clear" w:fill="F5F7FA"/>
          </w:tcPr>
          <w:p>
            <w:pPr>
              <w:jc w:val="center"/>
            </w:pPr>
            <w:r/>
            <w:r>
              <w:rPr>
                <w:sz w:val="18"/>
              </w:rPr>
              <w:t>2021</w:t>
            </w:r>
          </w:p>
        </w:tc>
        <w:tc>
          <w:tcPr>
            <w:tcW w:type="dxa" w:w="3216"/>
            <w:shd w:val="clear" w:fill="F5F7FA"/>
          </w:tcPr>
          <w:p>
            <w:pPr>
              <w:jc w:val="center"/>
            </w:pPr>
            <w:r/>
            <w:r>
              <w:rPr>
                <w:sz w:val="18"/>
              </w:rPr>
              <w:t>9.70</w:t>
            </w:r>
          </w:p>
        </w:tc>
      </w:tr>
      <w:tr>
        <w:tc>
          <w:tcPr>
            <w:tcW w:type="dxa" w:w="3216"/>
          </w:tcPr>
          <w:p>
            <w:pPr>
              <w:jc w:val="left"/>
            </w:pPr>
            <w:r/>
            <w:r>
              <w:rPr>
                <w:sz w:val="18"/>
              </w:rPr>
              <w:t>IDC Worldwide Blockchain Spending Guide</w:t>
            </w:r>
          </w:p>
        </w:tc>
        <w:tc>
          <w:tcPr>
            <w:tcW w:type="dxa" w:w="3216"/>
          </w:tcPr>
          <w:p>
            <w:pPr>
              <w:jc w:val="center"/>
            </w:pPr>
            <w:r/>
            <w:r>
              <w:rPr>
                <w:sz w:val="18"/>
              </w:rPr>
              <w:t>2022</w:t>
            </w:r>
          </w:p>
        </w:tc>
        <w:tc>
          <w:tcPr>
            <w:tcW w:type="dxa" w:w="3216"/>
          </w:tcPr>
          <w:p>
            <w:pPr>
              <w:jc w:val="center"/>
            </w:pPr>
            <w:r/>
            <w:r>
              <w:rPr>
                <w:sz w:val="18"/>
              </w:rPr>
              <w:t>11.70</w:t>
            </w:r>
          </w:p>
        </w:tc>
      </w:tr>
      <w:tr>
        <w:tc>
          <w:tcPr>
            <w:tcW w:type="dxa" w:w="3216"/>
            <w:shd w:val="clear" w:fill="F5F7FA"/>
          </w:tcPr>
          <w:p>
            <w:pPr>
              <w:jc w:val="left"/>
            </w:pPr>
            <w:r/>
            <w:r>
              <w:rPr>
                <w:sz w:val="18"/>
              </w:rPr>
              <w:t>IDC Worldwide Blockchain Spending Guide</w:t>
            </w:r>
          </w:p>
        </w:tc>
        <w:tc>
          <w:tcPr>
            <w:tcW w:type="dxa" w:w="3216"/>
            <w:shd w:val="clear" w:fill="F5F7FA"/>
          </w:tcPr>
          <w:p>
            <w:pPr>
              <w:jc w:val="center"/>
            </w:pPr>
            <w:r/>
            <w:r>
              <w:rPr>
                <w:sz w:val="18"/>
              </w:rPr>
              <w:t>2023</w:t>
            </w:r>
          </w:p>
        </w:tc>
        <w:tc>
          <w:tcPr>
            <w:tcW w:type="dxa" w:w="3216"/>
            <w:shd w:val="clear" w:fill="F5F7FA"/>
          </w:tcPr>
          <w:p>
            <w:pPr>
              <w:jc w:val="center"/>
            </w:pPr>
            <w:r/>
            <w:r>
              <w:rPr>
                <w:sz w:val="18"/>
              </w:rPr>
              <w:t>15.90</w:t>
            </w:r>
          </w:p>
        </w:tc>
      </w:tr>
      <w:tr>
        <w:tc>
          <w:tcPr>
            <w:tcW w:type="dxa" w:w="3216"/>
          </w:tcPr>
          <w:p>
            <w:pPr>
              <w:jc w:val="left"/>
            </w:pPr>
            <w:r/>
            <w:r>
              <w:rPr>
                <w:sz w:val="18"/>
              </w:rPr>
              <w:t>IDC Worldwide Blockchain Spending Guide</w:t>
            </w:r>
          </w:p>
        </w:tc>
        <w:tc>
          <w:tcPr>
            <w:tcW w:type="dxa" w:w="3216"/>
          </w:tcPr>
          <w:p>
            <w:pPr>
              <w:jc w:val="center"/>
            </w:pPr>
            <w:r/>
            <w:r>
              <w:rPr>
                <w:sz w:val="18"/>
              </w:rPr>
              <w:t>2024</w:t>
            </w:r>
          </w:p>
        </w:tc>
        <w:tc>
          <w:tcPr>
            <w:tcW w:type="dxa" w:w="3216"/>
          </w:tcPr>
          <w:p>
            <w:pPr>
              <w:jc w:val="center"/>
            </w:pPr>
            <w:r/>
            <w:r>
              <w:rPr>
                <w:sz w:val="18"/>
              </w:rPr>
              <w:t>19.00</w:t>
            </w:r>
          </w:p>
        </w:tc>
      </w:tr>
      <w:tr>
        <w:tc>
          <w:tcPr>
            <w:tcW w:type="dxa" w:w="3216"/>
            <w:shd w:val="clear" w:fill="F5F7FA"/>
          </w:tcPr>
          <w:p>
            <w:pPr>
              <w:jc w:val="left"/>
            </w:pPr>
            <w:r/>
            <w:r>
              <w:rPr>
                <w:sz w:val="18"/>
              </w:rPr>
              <w:t>Statista Global Blockchain Technology Market</w:t>
            </w:r>
          </w:p>
        </w:tc>
        <w:tc>
          <w:tcPr>
            <w:tcW w:type="dxa" w:w="3216"/>
            <w:shd w:val="clear" w:fill="F5F7FA"/>
          </w:tcPr>
          <w:p>
            <w:pPr>
              <w:jc w:val="center"/>
            </w:pPr>
            <w:r/>
            <w:r>
              <w:rPr>
                <w:sz w:val="18"/>
              </w:rPr>
              <w:t>2021</w:t>
            </w:r>
          </w:p>
        </w:tc>
        <w:tc>
          <w:tcPr>
            <w:tcW w:type="dxa" w:w="3216"/>
            <w:shd w:val="clear" w:fill="F5F7FA"/>
          </w:tcPr>
          <w:p>
            <w:pPr>
              <w:jc w:val="center"/>
            </w:pPr>
            <w:r/>
            <w:r>
              <w:rPr>
                <w:sz w:val="18"/>
              </w:rPr>
              <w:t>5.85</w:t>
            </w:r>
          </w:p>
        </w:tc>
      </w:tr>
      <w:tr>
        <w:tc>
          <w:tcPr>
            <w:tcW w:type="dxa" w:w="3216"/>
          </w:tcPr>
          <w:p>
            <w:pPr>
              <w:jc w:val="left"/>
            </w:pPr>
            <w:r/>
            <w:r>
              <w:rPr>
                <w:sz w:val="18"/>
              </w:rPr>
              <w:t>Statista Global Blockchain Technology Market</w:t>
            </w:r>
          </w:p>
        </w:tc>
        <w:tc>
          <w:tcPr>
            <w:tcW w:type="dxa" w:w="3216"/>
          </w:tcPr>
          <w:p>
            <w:pPr>
              <w:jc w:val="center"/>
            </w:pPr>
            <w:r/>
            <w:r>
              <w:rPr>
                <w:sz w:val="18"/>
              </w:rPr>
              <w:t>2022</w:t>
            </w:r>
          </w:p>
        </w:tc>
        <w:tc>
          <w:tcPr>
            <w:tcW w:type="dxa" w:w="3216"/>
          </w:tcPr>
          <w:p>
            <w:pPr>
              <w:jc w:val="center"/>
            </w:pPr>
            <w:r/>
            <w:r>
              <w:rPr>
                <w:sz w:val="18"/>
              </w:rPr>
              <w:t>11.54</w:t>
            </w:r>
          </w:p>
        </w:tc>
      </w:tr>
      <w:tr>
        <w:tc>
          <w:tcPr>
            <w:tcW w:type="dxa" w:w="3216"/>
            <w:shd w:val="clear" w:fill="F5F7FA"/>
          </w:tcPr>
          <w:p>
            <w:pPr>
              <w:jc w:val="left"/>
            </w:pPr>
            <w:r/>
            <w:r>
              <w:rPr>
                <w:sz w:val="18"/>
              </w:rPr>
              <w:t>Grand View Research</w:t>
            </w:r>
          </w:p>
        </w:tc>
        <w:tc>
          <w:tcPr>
            <w:tcW w:type="dxa" w:w="3216"/>
            <w:shd w:val="clear" w:fill="F5F7FA"/>
          </w:tcPr>
          <w:p>
            <w:pPr>
              <w:jc w:val="center"/>
            </w:pPr>
            <w:r/>
            <w:r>
              <w:rPr>
                <w:sz w:val="18"/>
              </w:rPr>
              <w:t>2024</w:t>
            </w:r>
          </w:p>
        </w:tc>
        <w:tc>
          <w:tcPr>
            <w:tcW w:type="dxa" w:w="3216"/>
            <w:shd w:val="clear" w:fill="F5F7FA"/>
          </w:tcPr>
          <w:p>
            <w:pPr>
              <w:jc w:val="center"/>
            </w:pPr>
            <w:r/>
            <w:r>
              <w:rPr>
                <w:sz w:val="18"/>
              </w:rPr>
              <w:t>31.28</w:t>
            </w:r>
          </w:p>
        </w:tc>
      </w:tr>
      <w:tr>
        <w:tc>
          <w:tcPr>
            <w:tcW w:type="dxa" w:w="3216"/>
          </w:tcPr>
          <w:p>
            <w:pPr>
              <w:jc w:val="left"/>
            </w:pPr>
            <w:r/>
            <w:r>
              <w:rPr>
                <w:sz w:val="18"/>
              </w:rPr>
              <w:t>Grand View Research</w:t>
            </w:r>
          </w:p>
        </w:tc>
        <w:tc>
          <w:tcPr>
            <w:tcW w:type="dxa" w:w="3216"/>
          </w:tcPr>
          <w:p>
            <w:pPr>
              <w:jc w:val="center"/>
            </w:pPr>
            <w:r/>
            <w:r>
              <w:rPr>
                <w:sz w:val="18"/>
              </w:rPr>
              <w:t>2025</w:t>
            </w:r>
          </w:p>
        </w:tc>
        <w:tc>
          <w:tcPr>
            <w:tcW w:type="dxa" w:w="3216"/>
          </w:tcPr>
          <w:p>
            <w:pPr>
              <w:jc w:val="center"/>
            </w:pPr>
            <w:r/>
            <w:r>
              <w:rPr>
                <w:sz w:val="18"/>
              </w:rPr>
              <w:t>57.72</w:t>
            </w:r>
          </w:p>
        </w:tc>
      </w:tr>
      <w:tr>
        <w:tc>
          <w:tcPr>
            <w:tcW w:type="dxa" w:w="3216"/>
            <w:shd w:val="clear" w:fill="F5F7FA"/>
          </w:tcPr>
          <w:p>
            <w:pPr>
              <w:jc w:val="left"/>
            </w:pPr>
            <w:r/>
            <w:r>
              <w:rPr>
                <w:sz w:val="18"/>
              </w:rPr>
              <w:t>Grand View Research</w:t>
            </w:r>
          </w:p>
        </w:tc>
        <w:tc>
          <w:tcPr>
            <w:tcW w:type="dxa" w:w="3216"/>
            <w:shd w:val="clear" w:fill="F5F7FA"/>
          </w:tcPr>
          <w:p>
            <w:pPr>
              <w:jc w:val="center"/>
            </w:pPr>
            <w:r/>
            <w:r>
              <w:rPr>
                <w:sz w:val="18"/>
              </w:rPr>
              <w:t>2030 (fcst)</w:t>
            </w:r>
          </w:p>
        </w:tc>
        <w:tc>
          <w:tcPr>
            <w:tcW w:type="dxa" w:w="3216"/>
            <w:shd w:val="clear" w:fill="F5F7FA"/>
          </w:tcPr>
          <w:p>
            <w:pPr>
              <w:jc w:val="center"/>
            </w:pPr>
            <w:r/>
            <w:r>
              <w:rPr>
                <w:sz w:val="18"/>
              </w:rPr>
              <w:t>469.49</w:t>
            </w:r>
          </w:p>
        </w:tc>
      </w:tr>
      <w:tr>
        <w:tc>
          <w:tcPr>
            <w:tcW w:type="dxa" w:w="3216"/>
          </w:tcPr>
          <w:p>
            <w:pPr>
              <w:jc w:val="left"/>
            </w:pPr>
            <w:r/>
            <w:r>
              <w:rPr>
                <w:sz w:val="18"/>
              </w:rPr>
              <w:t>Fortune Business Insights</w:t>
            </w:r>
          </w:p>
        </w:tc>
        <w:tc>
          <w:tcPr>
            <w:tcW w:type="dxa" w:w="3216"/>
          </w:tcPr>
          <w:p>
            <w:pPr>
              <w:jc w:val="center"/>
            </w:pPr>
            <w:r/>
            <w:r>
              <w:rPr>
                <w:sz w:val="18"/>
              </w:rPr>
              <w:t>2022</w:t>
            </w:r>
          </w:p>
        </w:tc>
        <w:tc>
          <w:tcPr>
            <w:tcW w:type="dxa" w:w="3216"/>
          </w:tcPr>
          <w:p>
            <w:pPr>
              <w:jc w:val="center"/>
            </w:pPr>
            <w:r/>
            <w:r>
              <w:rPr>
                <w:sz w:val="18"/>
              </w:rPr>
              <w:t>11.14</w:t>
            </w:r>
          </w:p>
        </w:tc>
      </w:tr>
      <w:tr>
        <w:tc>
          <w:tcPr>
            <w:tcW w:type="dxa" w:w="3216"/>
            <w:shd w:val="clear" w:fill="F5F7FA"/>
          </w:tcPr>
          <w:p>
            <w:pPr>
              <w:jc w:val="left"/>
            </w:pPr>
            <w:r/>
            <w:r>
              <w:rPr>
                <w:sz w:val="18"/>
              </w:rPr>
              <w:t>Fortune Business Insights</w:t>
            </w:r>
          </w:p>
        </w:tc>
        <w:tc>
          <w:tcPr>
            <w:tcW w:type="dxa" w:w="3216"/>
            <w:shd w:val="clear" w:fill="F5F7FA"/>
          </w:tcPr>
          <w:p>
            <w:pPr>
              <w:jc w:val="center"/>
            </w:pPr>
            <w:r/>
            <w:r>
              <w:rPr>
                <w:sz w:val="18"/>
              </w:rPr>
              <w:t>2023</w:t>
            </w:r>
          </w:p>
        </w:tc>
        <w:tc>
          <w:tcPr>
            <w:tcW w:type="dxa" w:w="3216"/>
            <w:shd w:val="clear" w:fill="F5F7FA"/>
          </w:tcPr>
          <w:p>
            <w:pPr>
              <w:jc w:val="center"/>
            </w:pPr>
            <w:r/>
            <w:r>
              <w:rPr>
                <w:sz w:val="18"/>
              </w:rPr>
              <w:t>17.57</w:t>
            </w:r>
          </w:p>
        </w:tc>
      </w:tr>
      <w:tr>
        <w:tc>
          <w:tcPr>
            <w:tcW w:type="dxa" w:w="3216"/>
          </w:tcPr>
          <w:p>
            <w:pPr>
              <w:jc w:val="left"/>
            </w:pPr>
            <w:r/>
            <w:r>
              <w:rPr>
                <w:sz w:val="18"/>
              </w:rPr>
              <w:t>Fortune Business Insights</w:t>
            </w:r>
          </w:p>
        </w:tc>
        <w:tc>
          <w:tcPr>
            <w:tcW w:type="dxa" w:w="3216"/>
          </w:tcPr>
          <w:p>
            <w:pPr>
              <w:jc w:val="center"/>
            </w:pPr>
            <w:r/>
            <w:r>
              <w:rPr>
                <w:sz w:val="18"/>
              </w:rPr>
              <w:t>2024</w:t>
            </w:r>
          </w:p>
        </w:tc>
        <w:tc>
          <w:tcPr>
            <w:tcW w:type="dxa" w:w="3216"/>
          </w:tcPr>
          <w:p>
            <w:pPr>
              <w:jc w:val="center"/>
            </w:pPr>
            <w:r/>
            <w:r>
              <w:rPr>
                <w:sz w:val="18"/>
              </w:rPr>
              <w:t>20.16</w:t>
            </w:r>
          </w:p>
        </w:tc>
      </w:tr>
      <w:tr>
        <w:tc>
          <w:tcPr>
            <w:tcW w:type="dxa" w:w="3216"/>
            <w:shd w:val="clear" w:fill="F5F7FA"/>
          </w:tcPr>
          <w:p>
            <w:pPr>
              <w:jc w:val="left"/>
            </w:pPr>
            <w:r/>
            <w:r>
              <w:rPr>
                <w:sz w:val="18"/>
              </w:rPr>
              <w:t>Fortune Business Insights</w:t>
            </w:r>
          </w:p>
        </w:tc>
        <w:tc>
          <w:tcPr>
            <w:tcW w:type="dxa" w:w="3216"/>
            <w:shd w:val="clear" w:fill="F5F7FA"/>
          </w:tcPr>
          <w:p>
            <w:pPr>
              <w:jc w:val="center"/>
            </w:pPr>
            <w:r/>
            <w:r>
              <w:rPr>
                <w:sz w:val="18"/>
              </w:rPr>
              <w:t>2025</w:t>
            </w:r>
          </w:p>
        </w:tc>
        <w:tc>
          <w:tcPr>
            <w:tcW w:type="dxa" w:w="3216"/>
            <w:shd w:val="clear" w:fill="F5F7FA"/>
          </w:tcPr>
          <w:p>
            <w:pPr>
              <w:jc w:val="center"/>
            </w:pPr>
            <w:r/>
            <w:r>
              <w:rPr>
                <w:sz w:val="18"/>
              </w:rPr>
              <w:t>31.18</w:t>
            </w:r>
          </w:p>
        </w:tc>
      </w:tr>
      <w:tr>
        <w:tc>
          <w:tcPr>
            <w:tcW w:type="dxa" w:w="3216"/>
          </w:tcPr>
          <w:p>
            <w:pPr>
              <w:jc w:val="left"/>
            </w:pPr>
            <w:r/>
            <w:r>
              <w:rPr>
                <w:sz w:val="18"/>
              </w:rPr>
              <w:t>Fortune Business Insights</w:t>
            </w:r>
          </w:p>
        </w:tc>
        <w:tc>
          <w:tcPr>
            <w:tcW w:type="dxa" w:w="3216"/>
          </w:tcPr>
          <w:p>
            <w:pPr>
              <w:jc w:val="center"/>
            </w:pPr>
            <w:r/>
            <w:r>
              <w:rPr>
                <w:sz w:val="18"/>
              </w:rPr>
              <w:t>2026</w:t>
            </w:r>
          </w:p>
        </w:tc>
        <w:tc>
          <w:tcPr>
            <w:tcW w:type="dxa" w:w="3216"/>
          </w:tcPr>
          <w:p>
            <w:pPr>
              <w:jc w:val="center"/>
            </w:pPr>
            <w:r/>
            <w:r>
              <w:rPr>
                <w:sz w:val="18"/>
              </w:rPr>
              <w:t>47.96</w:t>
            </w:r>
          </w:p>
        </w:tc>
      </w:tr>
      <w:tr>
        <w:tc>
          <w:tcPr>
            <w:tcW w:type="dxa" w:w="3216"/>
            <w:shd w:val="clear" w:fill="F5F7FA"/>
          </w:tcPr>
          <w:p>
            <w:pPr>
              <w:jc w:val="left"/>
            </w:pPr>
            <w:r/>
            <w:r>
              <w:rPr>
                <w:sz w:val="18"/>
              </w:rPr>
              <w:t>Fortune Business Insights</w:t>
            </w:r>
          </w:p>
        </w:tc>
        <w:tc>
          <w:tcPr>
            <w:tcW w:type="dxa" w:w="3216"/>
            <w:shd w:val="clear" w:fill="F5F7FA"/>
          </w:tcPr>
          <w:p>
            <w:pPr>
              <w:jc w:val="center"/>
            </w:pPr>
            <w:r/>
            <w:r>
              <w:rPr>
                <w:sz w:val="18"/>
              </w:rPr>
              <w:t>2030 (fcst)</w:t>
            </w:r>
          </w:p>
        </w:tc>
        <w:tc>
          <w:tcPr>
            <w:tcW w:type="dxa" w:w="3216"/>
            <w:shd w:val="clear" w:fill="F5F7FA"/>
          </w:tcPr>
          <w:p>
            <w:pPr>
              <w:jc w:val="center"/>
            </w:pPr>
            <w:r/>
            <w:r>
              <w:rPr>
                <w:sz w:val="18"/>
              </w:rPr>
              <w:t>825.93</w:t>
            </w:r>
          </w:p>
        </w:tc>
      </w:tr>
      <w:tr>
        <w:tc>
          <w:tcPr>
            <w:tcW w:type="dxa" w:w="3216"/>
          </w:tcPr>
          <w:p>
            <w:pPr>
              <w:jc w:val="left"/>
            </w:pPr>
            <w:r/>
            <w:r>
              <w:rPr>
                <w:sz w:val="18"/>
              </w:rPr>
              <w:t>MarketsandMarkets</w:t>
            </w:r>
          </w:p>
        </w:tc>
        <w:tc>
          <w:tcPr>
            <w:tcW w:type="dxa" w:w="3216"/>
          </w:tcPr>
          <w:p>
            <w:pPr>
              <w:jc w:val="center"/>
            </w:pPr>
            <w:r/>
            <w:r>
              <w:rPr>
                <w:sz w:val="18"/>
              </w:rPr>
              <w:t>2020</w:t>
            </w:r>
          </w:p>
        </w:tc>
        <w:tc>
          <w:tcPr>
            <w:tcW w:type="dxa" w:w="3216"/>
          </w:tcPr>
          <w:p>
            <w:pPr>
              <w:jc w:val="center"/>
            </w:pPr>
            <w:r/>
            <w:r>
              <w:rPr>
                <w:sz w:val="18"/>
              </w:rPr>
              <w:t>3.00</w:t>
            </w:r>
          </w:p>
        </w:tc>
      </w:tr>
      <w:tr>
        <w:tc>
          <w:tcPr>
            <w:tcW w:type="dxa" w:w="3216"/>
            <w:shd w:val="clear" w:fill="F5F7FA"/>
          </w:tcPr>
          <w:p>
            <w:pPr>
              <w:jc w:val="left"/>
            </w:pPr>
            <w:r/>
            <w:r>
              <w:rPr>
                <w:sz w:val="18"/>
              </w:rPr>
              <w:t>MarketsandMarkets</w:t>
            </w:r>
          </w:p>
        </w:tc>
        <w:tc>
          <w:tcPr>
            <w:tcW w:type="dxa" w:w="3216"/>
            <w:shd w:val="clear" w:fill="F5F7FA"/>
          </w:tcPr>
          <w:p>
            <w:pPr>
              <w:jc w:val="center"/>
            </w:pPr>
            <w:r/>
            <w:r>
              <w:rPr>
                <w:sz w:val="18"/>
              </w:rPr>
              <w:t>2022</w:t>
            </w:r>
          </w:p>
        </w:tc>
        <w:tc>
          <w:tcPr>
            <w:tcW w:type="dxa" w:w="3216"/>
            <w:shd w:val="clear" w:fill="F5F7FA"/>
          </w:tcPr>
          <w:p>
            <w:pPr>
              <w:jc w:val="center"/>
            </w:pPr>
            <w:r/>
            <w:r>
              <w:rPr>
                <w:sz w:val="18"/>
              </w:rPr>
              <w:t>7.40</w:t>
            </w:r>
          </w:p>
        </w:tc>
      </w:tr>
      <w:tr>
        <w:tc>
          <w:tcPr>
            <w:tcW w:type="dxa" w:w="3216"/>
          </w:tcPr>
          <w:p>
            <w:pPr>
              <w:jc w:val="left"/>
            </w:pPr>
            <w:r/>
            <w:r>
              <w:rPr>
                <w:sz w:val="18"/>
              </w:rPr>
              <w:t>MarketsandMarkets</w:t>
            </w:r>
          </w:p>
        </w:tc>
        <w:tc>
          <w:tcPr>
            <w:tcW w:type="dxa" w:w="3216"/>
          </w:tcPr>
          <w:p>
            <w:pPr>
              <w:jc w:val="center"/>
            </w:pPr>
            <w:r/>
            <w:r>
              <w:rPr>
                <w:sz w:val="18"/>
              </w:rPr>
              <w:t>2025</w:t>
            </w:r>
          </w:p>
        </w:tc>
        <w:tc>
          <w:tcPr>
            <w:tcW w:type="dxa" w:w="3216"/>
          </w:tcPr>
          <w:p>
            <w:pPr>
              <w:jc w:val="center"/>
            </w:pPr>
            <w:r/>
            <w:r>
              <w:rPr>
                <w:sz w:val="18"/>
              </w:rPr>
              <w:t>32.99</w:t>
            </w:r>
          </w:p>
        </w:tc>
      </w:tr>
      <w:tr>
        <w:tc>
          <w:tcPr>
            <w:tcW w:type="dxa" w:w="3216"/>
            <w:shd w:val="clear" w:fill="F5F7FA"/>
          </w:tcPr>
          <w:p>
            <w:pPr>
              <w:jc w:val="left"/>
            </w:pPr>
            <w:r/>
            <w:r>
              <w:rPr>
                <w:sz w:val="18"/>
              </w:rPr>
              <w:t>Precedence Research</w:t>
            </w:r>
          </w:p>
        </w:tc>
        <w:tc>
          <w:tcPr>
            <w:tcW w:type="dxa" w:w="3216"/>
            <w:shd w:val="clear" w:fill="F5F7FA"/>
          </w:tcPr>
          <w:p>
            <w:pPr>
              <w:jc w:val="center"/>
            </w:pPr>
            <w:r/>
            <w:r>
              <w:rPr>
                <w:sz w:val="18"/>
              </w:rPr>
              <w:t>2024</w:t>
            </w:r>
          </w:p>
        </w:tc>
        <w:tc>
          <w:tcPr>
            <w:tcW w:type="dxa" w:w="3216"/>
            <w:shd w:val="clear" w:fill="F5F7FA"/>
          </w:tcPr>
          <w:p>
            <w:pPr>
              <w:jc w:val="center"/>
            </w:pPr>
            <w:r/>
            <w:r>
              <w:rPr>
                <w:sz w:val="18"/>
              </w:rPr>
              <w:t>26.91</w:t>
            </w:r>
          </w:p>
        </w:tc>
      </w:tr>
      <w:tr>
        <w:tc>
          <w:tcPr>
            <w:tcW w:type="dxa" w:w="3216"/>
          </w:tcPr>
          <w:p>
            <w:pPr>
              <w:jc w:val="left"/>
            </w:pPr>
            <w:r/>
            <w:r>
              <w:rPr>
                <w:sz w:val="18"/>
              </w:rPr>
              <w:t>Precedence Research</w:t>
            </w:r>
          </w:p>
        </w:tc>
        <w:tc>
          <w:tcPr>
            <w:tcW w:type="dxa" w:w="3216"/>
          </w:tcPr>
          <w:p>
            <w:pPr>
              <w:jc w:val="center"/>
            </w:pPr>
            <w:r/>
            <w:r>
              <w:rPr>
                <w:sz w:val="18"/>
              </w:rPr>
              <w:t>2025</w:t>
            </w:r>
          </w:p>
        </w:tc>
        <w:tc>
          <w:tcPr>
            <w:tcW w:type="dxa" w:w="3216"/>
          </w:tcPr>
          <w:p>
            <w:pPr>
              <w:jc w:val="center"/>
            </w:pPr>
            <w:r/>
            <w:r>
              <w:rPr>
                <w:sz w:val="18"/>
              </w:rPr>
              <w:t>41.14</w:t>
            </w:r>
          </w:p>
        </w:tc>
      </w:tr>
      <w:tr>
        <w:tc>
          <w:tcPr>
            <w:tcW w:type="dxa" w:w="3216"/>
            <w:shd w:val="clear" w:fill="F5F7FA"/>
          </w:tcPr>
          <w:p>
            <w:pPr>
              <w:jc w:val="left"/>
            </w:pPr>
            <w:r/>
            <w:r>
              <w:rPr>
                <w:sz w:val="18"/>
              </w:rPr>
              <w:t>Precedence Research</w:t>
            </w:r>
          </w:p>
        </w:tc>
        <w:tc>
          <w:tcPr>
            <w:tcW w:type="dxa" w:w="3216"/>
            <w:shd w:val="clear" w:fill="F5F7FA"/>
          </w:tcPr>
          <w:p>
            <w:pPr>
              <w:jc w:val="center"/>
            </w:pPr>
            <w:r/>
            <w:r>
              <w:rPr>
                <w:sz w:val="18"/>
              </w:rPr>
              <w:t>2026</w:t>
            </w:r>
          </w:p>
        </w:tc>
        <w:tc>
          <w:tcPr>
            <w:tcW w:type="dxa" w:w="3216"/>
            <w:shd w:val="clear" w:fill="F5F7FA"/>
          </w:tcPr>
          <w:p>
            <w:pPr>
              <w:jc w:val="center"/>
            </w:pPr>
            <w:r/>
            <w:r>
              <w:rPr>
                <w:sz w:val="18"/>
              </w:rPr>
              <w:t>62.91</w:t>
            </w:r>
          </w:p>
        </w:tc>
      </w:tr>
      <w:tr>
        <w:tc>
          <w:tcPr>
            <w:tcW w:type="dxa" w:w="3216"/>
          </w:tcPr>
          <w:p>
            <w:pPr>
              <w:jc w:val="left"/>
            </w:pPr>
            <w:r/>
            <w:r>
              <w:rPr>
                <w:sz w:val="18"/>
              </w:rPr>
              <w:t>Precedence Research</w:t>
            </w:r>
          </w:p>
        </w:tc>
        <w:tc>
          <w:tcPr>
            <w:tcW w:type="dxa" w:w="3216"/>
          </w:tcPr>
          <w:p>
            <w:pPr>
              <w:jc w:val="center"/>
            </w:pPr>
            <w:r/>
            <w:r>
              <w:rPr>
                <w:sz w:val="18"/>
              </w:rPr>
              <w:t>2030 (fcst)</w:t>
            </w:r>
          </w:p>
        </w:tc>
        <w:tc>
          <w:tcPr>
            <w:tcW w:type="dxa" w:w="3216"/>
          </w:tcPr>
          <w:p>
            <w:pPr>
              <w:jc w:val="center"/>
            </w:pPr>
            <w:r/>
            <w:r>
              <w:rPr>
                <w:sz w:val="18"/>
              </w:rPr>
              <w:t>1431.54</w:t>
            </w:r>
          </w:p>
        </w:tc>
      </w:tr>
      <w:tr>
        <w:tc>
          <w:tcPr>
            <w:tcW w:type="dxa" w:w="3216"/>
            <w:shd w:val="clear" w:fill="F5F7FA"/>
          </w:tcPr>
          <w:p>
            <w:pPr>
              <w:jc w:val="left"/>
            </w:pPr>
            <w:r/>
            <w:r>
              <w:rPr>
                <w:sz w:val="18"/>
              </w:rPr>
              <w:t>Allied Market Research</w:t>
            </w:r>
          </w:p>
        </w:tc>
        <w:tc>
          <w:tcPr>
            <w:tcW w:type="dxa" w:w="3216"/>
            <w:shd w:val="clear" w:fill="F5F7FA"/>
          </w:tcPr>
          <w:p>
            <w:pPr>
              <w:jc w:val="center"/>
            </w:pPr>
            <w:r/>
            <w:r>
              <w:rPr>
                <w:sz w:val="18"/>
              </w:rPr>
              <w:t>2023</w:t>
            </w:r>
          </w:p>
        </w:tc>
        <w:tc>
          <w:tcPr>
            <w:tcW w:type="dxa" w:w="3216"/>
            <w:shd w:val="clear" w:fill="F5F7FA"/>
          </w:tcPr>
          <w:p>
            <w:pPr>
              <w:jc w:val="center"/>
            </w:pPr>
            <w:r/>
            <w:r>
              <w:rPr>
                <w:sz w:val="18"/>
              </w:rPr>
              <w:t>12.50</w:t>
            </w:r>
          </w:p>
        </w:tc>
      </w:tr>
      <w:tr>
        <w:tc>
          <w:tcPr>
            <w:tcW w:type="dxa" w:w="3216"/>
          </w:tcPr>
          <w:p>
            <w:pPr>
              <w:jc w:val="left"/>
            </w:pPr>
            <w:r/>
            <w:r>
              <w:rPr>
                <w:sz w:val="18"/>
              </w:rPr>
              <w:t>Allied Market Research</w:t>
            </w:r>
          </w:p>
        </w:tc>
        <w:tc>
          <w:tcPr>
            <w:tcW w:type="dxa" w:w="3216"/>
          </w:tcPr>
          <w:p>
            <w:pPr>
              <w:jc w:val="center"/>
            </w:pPr>
            <w:r/>
            <w:r>
              <w:rPr>
                <w:sz w:val="18"/>
              </w:rPr>
              <w:t>2030 (fcst)</w:t>
            </w:r>
          </w:p>
        </w:tc>
        <w:tc>
          <w:tcPr>
            <w:tcW w:type="dxa" w:w="3216"/>
          </w:tcPr>
          <w:p>
            <w:pPr>
              <w:jc w:val="center"/>
            </w:pPr>
            <w:r/>
            <w:r>
              <w:rPr>
                <w:sz w:val="18"/>
              </w:rPr>
              <w:t>1235.71</w:t>
            </w:r>
          </w:p>
        </w:tc>
      </w:tr>
      <w:tr>
        <w:tc>
          <w:tcPr>
            <w:tcW w:type="dxa" w:w="3216"/>
            <w:shd w:val="clear" w:fill="F5F7FA"/>
          </w:tcPr>
          <w:p>
            <w:pPr>
              <w:jc w:val="left"/>
            </w:pPr>
            <w:r/>
            <w:r>
              <w:rPr>
                <w:sz w:val="18"/>
              </w:rPr>
              <w:t>Polaris Market Research</w:t>
            </w:r>
          </w:p>
        </w:tc>
        <w:tc>
          <w:tcPr>
            <w:tcW w:type="dxa" w:w="3216"/>
            <w:shd w:val="clear" w:fill="F5F7FA"/>
          </w:tcPr>
          <w:p>
            <w:pPr>
              <w:jc w:val="center"/>
            </w:pPr>
            <w:r/>
            <w:r>
              <w:rPr>
                <w:sz w:val="18"/>
              </w:rPr>
              <w:t>2021</w:t>
            </w:r>
          </w:p>
        </w:tc>
        <w:tc>
          <w:tcPr>
            <w:tcW w:type="dxa" w:w="3216"/>
            <w:shd w:val="clear" w:fill="F5F7FA"/>
          </w:tcPr>
          <w:p>
            <w:pPr>
              <w:jc w:val="center"/>
            </w:pPr>
            <w:r/>
            <w:r>
              <w:rPr>
                <w:sz w:val="18"/>
              </w:rPr>
              <w:t>5.92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dc.com/getdoc.jsp?containerId=IDC_P37345" TargetMode="External"/><Relationship Id="rId10" Type="http://schemas.openxmlformats.org/officeDocument/2006/relationships/hyperlink" Target="https://www.statista.com/statistics/647231/worldwide-blockchain-technology-market-size/" TargetMode="External"/><Relationship Id="rId11" Type="http://schemas.openxmlformats.org/officeDocument/2006/relationships/hyperlink" Target="https://www.grandviewresearch.com/industry-analysis/blockchain-technology-market" TargetMode="External"/><Relationship Id="rId12" Type="http://schemas.openxmlformats.org/officeDocument/2006/relationships/hyperlink" Target="https://www.fortunebusinessinsights.com/industry-reports/blockchain-market-100072" TargetMode="External"/><Relationship Id="rId13" Type="http://schemas.openxmlformats.org/officeDocument/2006/relationships/hyperlink" Target="https://www.marketsandmarkets.com/Market-Reports/blockchain-technology-market-90100890.html" TargetMode="External"/><Relationship Id="rId14" Type="http://schemas.openxmlformats.org/officeDocument/2006/relationships/hyperlink" Target="https://www.precedenceresearch.com/blockchain-technology-market" TargetMode="External"/><Relationship Id="rId15" Type="http://schemas.openxmlformats.org/officeDocument/2006/relationships/hyperlink" Target="https://www.alliedmarketresearch.com/blockchain-technology-market-A06372" TargetMode="External"/><Relationship Id="rId16" Type="http://schemas.openxmlformats.org/officeDocument/2006/relationships/hyperlink" Target="https://www.polarismarketresearch.com/industry-analysis/blockchain-technology-mark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