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50FA" w14:textId="77777777" w:rsidR="00B7082F" w:rsidRPr="00DC42D1" w:rsidRDefault="00000000">
      <w:pPr>
        <w:jc w:val="center"/>
        <w:rPr>
          <w:rFonts w:ascii="Times New Roman" w:hAnsi="Times New Roman" w:cs="Times New Roman"/>
          <w:sz w:val="24"/>
          <w:szCs w:val="24"/>
        </w:rPr>
      </w:pPr>
      <w:r w:rsidRPr="00DC42D1">
        <w:rPr>
          <w:rFonts w:ascii="Times New Roman" w:hAnsi="Times New Roman" w:cs="Times New Roman"/>
          <w:b/>
          <w:sz w:val="24"/>
          <w:szCs w:val="24"/>
        </w:rPr>
        <w:t>DRAINAGE SENSOR PLACEMENT FOR URBAN FLOOD MONITORING</w:t>
      </w:r>
    </w:p>
    <w:p w14:paraId="01406DDA" w14:textId="49278D33" w:rsidR="00B7082F" w:rsidRDefault="00000000">
      <w:pPr>
        <w:jc w:val="center"/>
        <w:rPr>
          <w:rFonts w:ascii="Times New Roman" w:hAnsi="Times New Roman" w:cs="Times New Roman"/>
          <w:iCs/>
          <w:sz w:val="24"/>
          <w:szCs w:val="24"/>
        </w:rPr>
      </w:pPr>
      <w:r w:rsidRPr="00DC42D1">
        <w:rPr>
          <w:rFonts w:ascii="Times New Roman" w:hAnsi="Times New Roman" w:cs="Times New Roman"/>
          <w:iCs/>
          <w:sz w:val="24"/>
          <w:szCs w:val="24"/>
        </w:rPr>
        <w:t xml:space="preserve">KCCA / Kampala </w:t>
      </w:r>
      <w:r w:rsidR="00F47C71" w:rsidRPr="00DC42D1">
        <w:rPr>
          <w:rFonts w:ascii="Times New Roman" w:hAnsi="Times New Roman" w:cs="Times New Roman"/>
          <w:iCs/>
          <w:sz w:val="24"/>
          <w:szCs w:val="24"/>
        </w:rPr>
        <w:t>Context Technical</w:t>
      </w:r>
      <w:r w:rsidRPr="00DC42D1">
        <w:rPr>
          <w:rFonts w:ascii="Times New Roman" w:hAnsi="Times New Roman" w:cs="Times New Roman"/>
          <w:iCs/>
          <w:sz w:val="24"/>
          <w:szCs w:val="24"/>
        </w:rPr>
        <w:t xml:space="preserve"> Note and Field Prototype Schematics</w:t>
      </w:r>
    </w:p>
    <w:p w14:paraId="37626CAC" w14:textId="17757D46" w:rsidR="00E54DA4" w:rsidRPr="00DC42D1" w:rsidRDefault="00E54DA4">
      <w:pPr>
        <w:jc w:val="center"/>
        <w:rPr>
          <w:rFonts w:ascii="Times New Roman" w:hAnsi="Times New Roman" w:cs="Times New Roman"/>
          <w:iCs/>
          <w:sz w:val="24"/>
          <w:szCs w:val="24"/>
        </w:rPr>
      </w:pPr>
      <w:r>
        <w:rPr>
          <w:noProof/>
        </w:rPr>
        <w:drawing>
          <wp:inline distT="0" distB="0" distL="0" distR="0" wp14:anchorId="1C9A27D0" wp14:editId="63DE49BB">
            <wp:extent cx="1955800" cy="2421015"/>
            <wp:effectExtent l="0" t="0" r="6350" b="0"/>
            <wp:docPr id="6081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0543" name=""/>
                    <pic:cNvPicPr/>
                  </pic:nvPicPr>
                  <pic:blipFill>
                    <a:blip r:embed="rId6"/>
                    <a:stretch>
                      <a:fillRect/>
                    </a:stretch>
                  </pic:blipFill>
                  <pic:spPr>
                    <a:xfrm>
                      <a:off x="0" y="0"/>
                      <a:ext cx="1964853" cy="2432221"/>
                    </a:xfrm>
                    <a:prstGeom prst="rect">
                      <a:avLst/>
                    </a:prstGeom>
                  </pic:spPr>
                </pic:pic>
              </a:graphicData>
            </a:graphic>
          </wp:inline>
        </w:drawing>
      </w:r>
      <w:r>
        <w:rPr>
          <w:noProof/>
        </w:rPr>
        <w:drawing>
          <wp:inline distT="0" distB="0" distL="0" distR="0" wp14:anchorId="5C88E710" wp14:editId="702C266B">
            <wp:extent cx="1952442" cy="2501900"/>
            <wp:effectExtent l="0" t="0" r="0" b="0"/>
            <wp:docPr id="13513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6439" name=""/>
                    <pic:cNvPicPr/>
                  </pic:nvPicPr>
                  <pic:blipFill>
                    <a:blip r:embed="rId7"/>
                    <a:stretch>
                      <a:fillRect/>
                    </a:stretch>
                  </pic:blipFill>
                  <pic:spPr>
                    <a:xfrm>
                      <a:off x="0" y="0"/>
                      <a:ext cx="1964803" cy="2517739"/>
                    </a:xfrm>
                    <a:prstGeom prst="rect">
                      <a:avLst/>
                    </a:prstGeom>
                  </pic:spPr>
                </pic:pic>
              </a:graphicData>
            </a:graphic>
          </wp:inline>
        </w:drawing>
      </w:r>
      <w:r>
        <w:rPr>
          <w:noProof/>
        </w:rPr>
        <w:drawing>
          <wp:inline distT="0" distB="0" distL="0" distR="0" wp14:anchorId="0EBD7FAE" wp14:editId="728D6805">
            <wp:extent cx="3092450" cy="2123298"/>
            <wp:effectExtent l="0" t="0" r="0" b="0"/>
            <wp:docPr id="184918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8185" name=""/>
                    <pic:cNvPicPr/>
                  </pic:nvPicPr>
                  <pic:blipFill>
                    <a:blip r:embed="rId8"/>
                    <a:stretch>
                      <a:fillRect/>
                    </a:stretch>
                  </pic:blipFill>
                  <pic:spPr>
                    <a:xfrm>
                      <a:off x="0" y="0"/>
                      <a:ext cx="3107599" cy="2133699"/>
                    </a:xfrm>
                    <a:prstGeom prst="rect">
                      <a:avLst/>
                    </a:prstGeom>
                  </pic:spPr>
                </pic:pic>
              </a:graphicData>
            </a:graphic>
          </wp:inline>
        </w:drawing>
      </w:r>
      <w:r>
        <w:rPr>
          <w:noProof/>
        </w:rPr>
        <w:drawing>
          <wp:inline distT="0" distB="0" distL="0" distR="0" wp14:anchorId="115395CA" wp14:editId="09C1F698">
            <wp:extent cx="2438400" cy="2009372"/>
            <wp:effectExtent l="0" t="0" r="0" b="0"/>
            <wp:docPr id="74140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9226" name=""/>
                    <pic:cNvPicPr/>
                  </pic:nvPicPr>
                  <pic:blipFill>
                    <a:blip r:embed="rId9"/>
                    <a:stretch>
                      <a:fillRect/>
                    </a:stretch>
                  </pic:blipFill>
                  <pic:spPr>
                    <a:xfrm>
                      <a:off x="0" y="0"/>
                      <a:ext cx="2441702" cy="2012093"/>
                    </a:xfrm>
                    <a:prstGeom prst="rect">
                      <a:avLst/>
                    </a:prstGeom>
                  </pic:spPr>
                </pic:pic>
              </a:graphicData>
            </a:graphic>
          </wp:inline>
        </w:drawing>
      </w:r>
    </w:p>
    <w:p w14:paraId="1FC2EE4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Purpose: To identify practical drainage structures, sensor locations, mounting arrangements, sensing principles, and field-maintenance considerations for a first water-level monitoring prototype in Kampala.</w:t>
      </w:r>
    </w:p>
    <w:p w14:paraId="143D0353" w14:textId="298163C0" w:rsidR="00B7082F" w:rsidRPr="00DC42D1" w:rsidRDefault="00000000" w:rsidP="00C121B9">
      <w:pPr>
        <w:pStyle w:val="Heading1"/>
        <w:numPr>
          <w:ilvl w:val="0"/>
          <w:numId w:val="0"/>
        </w:numPr>
      </w:pPr>
      <w:r w:rsidRPr="00DC42D1">
        <w:t>Executive Summary</w:t>
      </w:r>
    </w:p>
    <w:p w14:paraId="03B55618"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For a first field prototype, an existing box culvert or stable open drainage channel at a documented flooding/blackspot location is a practical test site. The preferred first sensor arrangement is a non-contact ultrasonic water-level sensor mounted above the water surface, protected in a weatherproof/tamper-resistant enclosure. A pressure sensor can be used as a reference/validation instrument, preferably protected in a stilling arrangement, while cheap radar is better treated as a later-stage option until its field performance is demonstrated.</w:t>
      </w:r>
    </w:p>
    <w:p w14:paraId="5EB484C3" w14:textId="77777777" w:rsidR="00B7082F" w:rsidRPr="00DC42D1" w:rsidRDefault="00000000" w:rsidP="00CE5643">
      <w:pPr>
        <w:pStyle w:val="ListBullet"/>
        <w:numPr>
          <w:ilvl w:val="0"/>
          <w:numId w:val="11"/>
        </w:numPr>
        <w:rPr>
          <w:rFonts w:ascii="Times New Roman" w:hAnsi="Times New Roman" w:cs="Times New Roman"/>
          <w:sz w:val="24"/>
          <w:szCs w:val="24"/>
        </w:rPr>
      </w:pPr>
      <w:r w:rsidRPr="00DC42D1">
        <w:rPr>
          <w:rFonts w:ascii="Times New Roman" w:hAnsi="Times New Roman" w:cs="Times New Roman"/>
          <w:sz w:val="24"/>
          <w:szCs w:val="24"/>
        </w:rPr>
        <w:t>Measure water level where it is hydraulically meaningful; do not place the primary sensor directly in the trash/silt accumulation zone.</w:t>
      </w:r>
    </w:p>
    <w:p w14:paraId="4E560B36" w14:textId="77777777" w:rsidR="00B7082F" w:rsidRPr="00DC42D1" w:rsidRDefault="00000000" w:rsidP="00CE5643">
      <w:pPr>
        <w:pStyle w:val="ListBullet"/>
        <w:numPr>
          <w:ilvl w:val="0"/>
          <w:numId w:val="11"/>
        </w:numPr>
        <w:rPr>
          <w:rFonts w:ascii="Times New Roman" w:hAnsi="Times New Roman" w:cs="Times New Roman"/>
          <w:sz w:val="24"/>
          <w:szCs w:val="24"/>
        </w:rPr>
      </w:pPr>
      <w:r w:rsidRPr="00DC42D1">
        <w:rPr>
          <w:rFonts w:ascii="Times New Roman" w:hAnsi="Times New Roman" w:cs="Times New Roman"/>
          <w:sz w:val="24"/>
          <w:szCs w:val="24"/>
        </w:rPr>
        <w:t>Use the sensor to observe the hydraulic effect of obstruction rather than physically placing the sensor in the obstruction.</w:t>
      </w:r>
    </w:p>
    <w:p w14:paraId="3C8FAC56" w14:textId="77777777" w:rsidR="00CE5643" w:rsidRPr="00DC42D1" w:rsidRDefault="00000000" w:rsidP="00CE5643">
      <w:pPr>
        <w:pStyle w:val="ListBullet"/>
        <w:numPr>
          <w:ilvl w:val="0"/>
          <w:numId w:val="11"/>
        </w:numPr>
        <w:rPr>
          <w:rFonts w:ascii="Times New Roman" w:hAnsi="Times New Roman" w:cs="Times New Roman"/>
          <w:sz w:val="24"/>
          <w:szCs w:val="24"/>
        </w:rPr>
      </w:pPr>
      <w:r w:rsidRPr="00DC42D1">
        <w:rPr>
          <w:rFonts w:ascii="Times New Roman" w:hAnsi="Times New Roman" w:cs="Times New Roman"/>
          <w:sz w:val="24"/>
          <w:szCs w:val="24"/>
        </w:rPr>
        <w:t xml:space="preserve">Where possible, use upstream and downstream measurements to calculate </w:t>
      </w:r>
    </w:p>
    <w:p w14:paraId="475BDCF9" w14:textId="317F923C" w:rsidR="00CE5643" w:rsidRPr="00DC42D1" w:rsidRDefault="00CE5643" w:rsidP="00CE5643">
      <w:pPr>
        <w:pStyle w:val="MTDisplayEquation"/>
        <w:ind w:firstLine="0"/>
        <w:jc w:val="center"/>
      </w:pPr>
      <w:r w:rsidRPr="00DC42D1">
        <w:rPr>
          <w:position w:val="-10"/>
        </w:rPr>
        <w:object w:dxaOrig="4080" w:dyaOrig="320" w14:anchorId="0E229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4pt;height:16pt" o:ole="">
            <v:imagedata r:id="rId10" o:title=""/>
          </v:shape>
          <o:OLEObject Type="Embed" ProgID="Equation.DSMT4" ShapeID="_x0000_i1027" DrawAspect="Content" ObjectID="_1851974754" r:id="rId11"/>
        </w:object>
      </w:r>
    </w:p>
    <w:p w14:paraId="4BC2D7F1" w14:textId="77777777" w:rsidR="00B7082F" w:rsidRPr="00DC42D1" w:rsidRDefault="00000000" w:rsidP="00CE5643">
      <w:pPr>
        <w:pStyle w:val="ListBullet"/>
        <w:numPr>
          <w:ilvl w:val="0"/>
          <w:numId w:val="11"/>
        </w:numPr>
        <w:rPr>
          <w:rFonts w:ascii="Times New Roman" w:hAnsi="Times New Roman" w:cs="Times New Roman"/>
          <w:sz w:val="24"/>
          <w:szCs w:val="24"/>
        </w:rPr>
      </w:pPr>
      <w:r w:rsidRPr="00DC42D1">
        <w:rPr>
          <w:rFonts w:ascii="Times New Roman" w:hAnsi="Times New Roman" w:cs="Times New Roman"/>
          <w:sz w:val="24"/>
          <w:szCs w:val="24"/>
        </w:rPr>
        <w:t>Select an existing, stable structure rather than a drainage section scheduled for reconstruction.</w:t>
      </w:r>
    </w:p>
    <w:p w14:paraId="0CE30C53" w14:textId="2CC1F29B" w:rsidR="00B7082F" w:rsidRPr="00DC42D1" w:rsidRDefault="00000000" w:rsidP="00C121B9">
      <w:pPr>
        <w:pStyle w:val="Heading1"/>
      </w:pPr>
      <w:r w:rsidRPr="00DC42D1">
        <w:t>Kampala/KCCA Drainage Context</w:t>
      </w:r>
    </w:p>
    <w:p w14:paraId="7A5E6DA6" w14:textId="2784F801" w:rsidR="00CE5643"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KCCA drainage works include primary and secondary drainage channels, community/tertiary drains, road crossings and box culverts. KCCA's current strategic planning documents include continued investment in blackspot/road-crossing box culverts and community drains. Consequently, the exact geometry at an individual site must be confirmed from approved drawings or a site survey rather than assuming one universal Kampala drain size.</w:t>
      </w:r>
    </w:p>
    <w:p w14:paraId="6106503E" w14:textId="353431B7" w:rsidR="00B7082F" w:rsidRPr="00DC42D1" w:rsidRDefault="00000000" w:rsidP="00C121B9">
      <w:pPr>
        <w:pStyle w:val="Heading2"/>
      </w:pPr>
      <w:r w:rsidRPr="00DC42D1">
        <w:t>Relevant Drainage Structures and Typical Sensor Opportunity</w:t>
      </w:r>
    </w:p>
    <w:tbl>
      <w:tblPr>
        <w:tblStyle w:val="TableGrid"/>
        <w:tblW w:w="0" w:type="auto"/>
        <w:jc w:val="center"/>
        <w:tblLook w:val="04A0" w:firstRow="1" w:lastRow="0" w:firstColumn="1" w:lastColumn="0" w:noHBand="0" w:noVBand="1"/>
      </w:tblPr>
      <w:tblGrid>
        <w:gridCol w:w="2517"/>
        <w:gridCol w:w="2520"/>
        <w:gridCol w:w="2517"/>
        <w:gridCol w:w="2516"/>
      </w:tblGrid>
      <w:tr w:rsidR="00B7082F" w:rsidRPr="00DC42D1" w14:paraId="7147D4D6" w14:textId="77777777">
        <w:trPr>
          <w:jc w:val="center"/>
        </w:trPr>
        <w:tc>
          <w:tcPr>
            <w:tcW w:w="2520" w:type="dxa"/>
          </w:tcPr>
          <w:p w14:paraId="4A415721" w14:textId="77777777" w:rsidR="00B7082F" w:rsidRPr="00DC42D1" w:rsidRDefault="00000000">
            <w:pPr>
              <w:rPr>
                <w:rFonts w:ascii="Times New Roman" w:hAnsi="Times New Roman" w:cs="Times New Roman"/>
                <w:b/>
                <w:bCs/>
                <w:sz w:val="24"/>
                <w:szCs w:val="24"/>
              </w:rPr>
            </w:pPr>
            <w:r w:rsidRPr="00DC42D1">
              <w:rPr>
                <w:rFonts w:ascii="Times New Roman" w:hAnsi="Times New Roman" w:cs="Times New Roman"/>
                <w:b/>
                <w:bCs/>
                <w:sz w:val="24"/>
                <w:szCs w:val="24"/>
              </w:rPr>
              <w:t>Drainage situation</w:t>
            </w:r>
          </w:p>
        </w:tc>
        <w:tc>
          <w:tcPr>
            <w:tcW w:w="2520" w:type="dxa"/>
          </w:tcPr>
          <w:p w14:paraId="47B86973" w14:textId="77777777" w:rsidR="00B7082F" w:rsidRPr="00DC42D1" w:rsidRDefault="00000000">
            <w:pPr>
              <w:rPr>
                <w:rFonts w:ascii="Times New Roman" w:hAnsi="Times New Roman" w:cs="Times New Roman"/>
                <w:b/>
                <w:bCs/>
                <w:sz w:val="24"/>
                <w:szCs w:val="24"/>
              </w:rPr>
            </w:pPr>
            <w:r w:rsidRPr="00DC42D1">
              <w:rPr>
                <w:rFonts w:ascii="Times New Roman" w:hAnsi="Times New Roman" w:cs="Times New Roman"/>
                <w:b/>
                <w:bCs/>
                <w:sz w:val="24"/>
                <w:szCs w:val="24"/>
              </w:rPr>
              <w:t>Likely structure</w:t>
            </w:r>
          </w:p>
        </w:tc>
        <w:tc>
          <w:tcPr>
            <w:tcW w:w="2520" w:type="dxa"/>
          </w:tcPr>
          <w:p w14:paraId="08B2402A" w14:textId="77777777" w:rsidR="00B7082F" w:rsidRPr="00DC42D1" w:rsidRDefault="00000000">
            <w:pPr>
              <w:rPr>
                <w:rFonts w:ascii="Times New Roman" w:hAnsi="Times New Roman" w:cs="Times New Roman"/>
                <w:b/>
                <w:bCs/>
                <w:sz w:val="24"/>
                <w:szCs w:val="24"/>
              </w:rPr>
            </w:pPr>
            <w:r w:rsidRPr="00DC42D1">
              <w:rPr>
                <w:rFonts w:ascii="Times New Roman" w:hAnsi="Times New Roman" w:cs="Times New Roman"/>
                <w:b/>
                <w:bCs/>
                <w:sz w:val="24"/>
                <w:szCs w:val="24"/>
              </w:rPr>
              <w:t>Sensor sees water</w:t>
            </w:r>
          </w:p>
        </w:tc>
        <w:tc>
          <w:tcPr>
            <w:tcW w:w="2520" w:type="dxa"/>
          </w:tcPr>
          <w:p w14:paraId="39544780" w14:textId="77777777" w:rsidR="00B7082F" w:rsidRPr="00DC42D1" w:rsidRDefault="00000000">
            <w:pPr>
              <w:rPr>
                <w:rFonts w:ascii="Times New Roman" w:hAnsi="Times New Roman" w:cs="Times New Roman"/>
                <w:b/>
                <w:bCs/>
                <w:sz w:val="24"/>
                <w:szCs w:val="24"/>
              </w:rPr>
            </w:pPr>
            <w:r w:rsidRPr="00DC42D1">
              <w:rPr>
                <w:rFonts w:ascii="Times New Roman" w:hAnsi="Times New Roman" w:cs="Times New Roman"/>
                <w:b/>
                <w:bCs/>
                <w:sz w:val="24"/>
                <w:szCs w:val="24"/>
              </w:rPr>
              <w:t>Main trash/silt concern</w:t>
            </w:r>
          </w:p>
        </w:tc>
      </w:tr>
      <w:tr w:rsidR="00B7082F" w:rsidRPr="00DC42D1" w14:paraId="550CC4F9" w14:textId="77777777">
        <w:trPr>
          <w:jc w:val="center"/>
        </w:trPr>
        <w:tc>
          <w:tcPr>
            <w:tcW w:w="2520" w:type="dxa"/>
          </w:tcPr>
          <w:p w14:paraId="6BBCFFB0"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Roadside/local runoff</w:t>
            </w:r>
          </w:p>
        </w:tc>
        <w:tc>
          <w:tcPr>
            <w:tcW w:w="2520" w:type="dxa"/>
          </w:tcPr>
          <w:p w14:paraId="4CA9FD25"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Open rectangular/trapezoidal channel</w:t>
            </w:r>
          </w:p>
        </w:tc>
        <w:tc>
          <w:tcPr>
            <w:tcW w:w="2520" w:type="dxa"/>
          </w:tcPr>
          <w:p w14:paraId="3061582C"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At a representative upstream or stable section</w:t>
            </w:r>
          </w:p>
        </w:tc>
        <w:tc>
          <w:tcPr>
            <w:tcW w:w="2520" w:type="dxa"/>
          </w:tcPr>
          <w:p w14:paraId="218060C2"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Floating litter and sediment at low points</w:t>
            </w:r>
          </w:p>
        </w:tc>
      </w:tr>
      <w:tr w:rsidR="00B7082F" w:rsidRPr="00DC42D1" w14:paraId="3928FB3D" w14:textId="77777777">
        <w:trPr>
          <w:jc w:val="center"/>
        </w:trPr>
        <w:tc>
          <w:tcPr>
            <w:tcW w:w="2520" w:type="dxa"/>
          </w:tcPr>
          <w:p w14:paraId="65ED5DC5"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Community/local drainage</w:t>
            </w:r>
          </w:p>
        </w:tc>
        <w:tc>
          <w:tcPr>
            <w:tcW w:w="2520" w:type="dxa"/>
          </w:tcPr>
          <w:p w14:paraId="5E333C2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Community/tertiary drain</w:t>
            </w:r>
          </w:p>
        </w:tc>
        <w:tc>
          <w:tcPr>
            <w:tcW w:w="2520" w:type="dxa"/>
          </w:tcPr>
          <w:p w14:paraId="6E98CD4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At a protected wall/overhead section</w:t>
            </w:r>
          </w:p>
        </w:tc>
        <w:tc>
          <w:tcPr>
            <w:tcW w:w="2520" w:type="dxa"/>
          </w:tcPr>
          <w:p w14:paraId="770941AA"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Household waste, sediment, vegetation</w:t>
            </w:r>
          </w:p>
        </w:tc>
      </w:tr>
      <w:tr w:rsidR="00B7082F" w:rsidRPr="00DC42D1" w14:paraId="694B02BB" w14:textId="77777777">
        <w:trPr>
          <w:jc w:val="center"/>
        </w:trPr>
        <w:tc>
          <w:tcPr>
            <w:tcW w:w="2520" w:type="dxa"/>
          </w:tcPr>
          <w:p w14:paraId="743B1CF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Road crossing</w:t>
            </w:r>
          </w:p>
        </w:tc>
        <w:tc>
          <w:tcPr>
            <w:tcW w:w="2520" w:type="dxa"/>
          </w:tcPr>
          <w:p w14:paraId="1AD3065A"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Box culvert</w:t>
            </w:r>
          </w:p>
        </w:tc>
        <w:tc>
          <w:tcPr>
            <w:tcW w:w="2520" w:type="dxa"/>
          </w:tcPr>
          <w:p w14:paraId="2CA75D4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Preferably upstream of/near the crossing, clear of direct splash</w:t>
            </w:r>
          </w:p>
        </w:tc>
        <w:tc>
          <w:tcPr>
            <w:tcW w:w="2520" w:type="dxa"/>
          </w:tcPr>
          <w:p w14:paraId="2BB2113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Debris at inlet and sediment on invert</w:t>
            </w:r>
          </w:p>
        </w:tc>
      </w:tr>
      <w:tr w:rsidR="00B7082F" w:rsidRPr="00DC42D1" w14:paraId="3544C9D4" w14:textId="77777777">
        <w:trPr>
          <w:jc w:val="center"/>
        </w:trPr>
        <w:tc>
          <w:tcPr>
            <w:tcW w:w="2520" w:type="dxa"/>
          </w:tcPr>
          <w:p w14:paraId="7DB4B00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Smaller crossing</w:t>
            </w:r>
          </w:p>
        </w:tc>
        <w:tc>
          <w:tcPr>
            <w:tcW w:w="2520" w:type="dxa"/>
          </w:tcPr>
          <w:p w14:paraId="17D1CC32"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Pipe culvert</w:t>
            </w:r>
          </w:p>
        </w:tc>
        <w:tc>
          <w:tcPr>
            <w:tcW w:w="2520" w:type="dxa"/>
          </w:tcPr>
          <w:p w14:paraId="669350E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At an accessible upstream chamber/opening</w:t>
            </w:r>
          </w:p>
        </w:tc>
        <w:tc>
          <w:tcPr>
            <w:tcW w:w="2520" w:type="dxa"/>
          </w:tcPr>
          <w:p w14:paraId="3C94D88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Blockage and sediment at inlet</w:t>
            </w:r>
          </w:p>
        </w:tc>
      </w:tr>
      <w:tr w:rsidR="00B7082F" w:rsidRPr="00DC42D1" w14:paraId="35ACE07A" w14:textId="77777777">
        <w:trPr>
          <w:jc w:val="center"/>
        </w:trPr>
        <w:tc>
          <w:tcPr>
            <w:tcW w:w="2520" w:type="dxa"/>
          </w:tcPr>
          <w:p w14:paraId="2AFFA8BA"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Major channel</w:t>
            </w:r>
          </w:p>
        </w:tc>
        <w:tc>
          <w:tcPr>
            <w:tcW w:w="2520" w:type="dxa"/>
          </w:tcPr>
          <w:p w14:paraId="2CF8B1D3"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Primary/secondary channel</w:t>
            </w:r>
          </w:p>
        </w:tc>
        <w:tc>
          <w:tcPr>
            <w:tcW w:w="2520" w:type="dxa"/>
          </w:tcPr>
          <w:p w14:paraId="5BCAC5B7"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Stable section with defined reference level</w:t>
            </w:r>
          </w:p>
        </w:tc>
        <w:tc>
          <w:tcPr>
            <w:tcW w:w="2520" w:type="dxa"/>
          </w:tcPr>
          <w:p w14:paraId="0D0FE410"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Large debris, erosion, sedimentation</w:t>
            </w:r>
          </w:p>
        </w:tc>
      </w:tr>
    </w:tbl>
    <w:p w14:paraId="442C77AB" w14:textId="5F371A7B"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 xml:space="preserve">Indicative dimensions should not be treated as site specifications. The Uganda Urban Roads Design Manual includes example rectangular drain sections such as </w:t>
      </w:r>
      <w:r w:rsidR="00DC42D1" w:rsidRPr="00DC42D1">
        <w:rPr>
          <w:rFonts w:ascii="Times New Roman" w:hAnsi="Times New Roman" w:cs="Times New Roman"/>
          <w:sz w:val="24"/>
          <w:szCs w:val="24"/>
        </w:rPr>
        <w:t xml:space="preserve">shown below </w:t>
      </w:r>
      <w:r w:rsidRPr="00DC42D1">
        <w:rPr>
          <w:rFonts w:ascii="Times New Roman" w:hAnsi="Times New Roman" w:cs="Times New Roman"/>
          <w:sz w:val="24"/>
          <w:szCs w:val="24"/>
        </w:rPr>
        <w:t>subject to hydraulic design. For road culverts, national drainage guidance identifies 600 mm as a minimum pipe-culvert diameter under roads in the cited guidance, with hydraulic/self-scouring considerations.</w:t>
      </w:r>
    </w:p>
    <w:p w14:paraId="3655243E" w14:textId="2BB8BE9C" w:rsidR="00CE5643" w:rsidRPr="00CE5643" w:rsidRDefault="00CE5643" w:rsidP="00C121B9">
      <w:pPr>
        <w:pStyle w:val="Heading3"/>
      </w:pPr>
      <w:r w:rsidRPr="00CE5643">
        <w:t>Minimum Standard Culvert Sizes</w:t>
      </w:r>
    </w:p>
    <w:p w14:paraId="7B5C2D1F" w14:textId="77777777" w:rsidR="00CE5643" w:rsidRPr="00CE5643" w:rsidRDefault="00CE5643" w:rsidP="00CE5643">
      <w:pPr>
        <w:rPr>
          <w:rFonts w:ascii="Times New Roman" w:hAnsi="Times New Roman" w:cs="Times New Roman"/>
          <w:sz w:val="24"/>
          <w:szCs w:val="24"/>
        </w:rPr>
      </w:pPr>
      <w:r w:rsidRPr="00CE5643">
        <w:rPr>
          <w:rFonts w:ascii="Times New Roman" w:hAnsi="Times New Roman" w:cs="Times New Roman"/>
          <w:sz w:val="24"/>
          <w:szCs w:val="24"/>
        </w:rPr>
        <w:t>Under road infrastructure in Uganda, culverts must meet the following minimum physical dimensions:</w:t>
      </w:r>
    </w:p>
    <w:p w14:paraId="1A3BECDC" w14:textId="77777777" w:rsidR="00CE5643" w:rsidRPr="00CE5643" w:rsidRDefault="00CE5643" w:rsidP="00DC42D1">
      <w:pPr>
        <w:numPr>
          <w:ilvl w:val="0"/>
          <w:numId w:val="14"/>
        </w:numPr>
        <w:rPr>
          <w:rFonts w:ascii="Times New Roman" w:hAnsi="Times New Roman" w:cs="Times New Roman"/>
          <w:sz w:val="24"/>
          <w:szCs w:val="24"/>
        </w:rPr>
      </w:pPr>
      <w:r w:rsidRPr="00CE5643">
        <w:rPr>
          <w:rFonts w:ascii="Times New Roman" w:hAnsi="Times New Roman" w:cs="Times New Roman"/>
          <w:sz w:val="24"/>
          <w:szCs w:val="24"/>
        </w:rPr>
        <w:t>Pipe Culverts: Minimum diameter of 600 mm (0.6 m) or its equivalent in corrugated metal pipe arches.</w:t>
      </w:r>
    </w:p>
    <w:p w14:paraId="07FA6B4C" w14:textId="77777777" w:rsidR="00CE5643" w:rsidRPr="00CE5643" w:rsidRDefault="00CE5643" w:rsidP="00DC42D1">
      <w:pPr>
        <w:numPr>
          <w:ilvl w:val="0"/>
          <w:numId w:val="14"/>
        </w:numPr>
        <w:rPr>
          <w:rFonts w:ascii="Times New Roman" w:hAnsi="Times New Roman" w:cs="Times New Roman"/>
          <w:sz w:val="24"/>
          <w:szCs w:val="24"/>
        </w:rPr>
      </w:pPr>
      <w:r w:rsidRPr="00CE5643">
        <w:rPr>
          <w:rFonts w:ascii="Times New Roman" w:hAnsi="Times New Roman" w:cs="Times New Roman"/>
          <w:sz w:val="24"/>
          <w:szCs w:val="24"/>
        </w:rPr>
        <w:t>Precast Concrete Box / Portal Culverts: Minimum opening size of 600 mm × 450 mm.</w:t>
      </w:r>
    </w:p>
    <w:p w14:paraId="012D8C47" w14:textId="69189AE5" w:rsidR="00CE5643" w:rsidRPr="00CE5643" w:rsidRDefault="00CE5643" w:rsidP="00DC42D1">
      <w:pPr>
        <w:numPr>
          <w:ilvl w:val="1"/>
          <w:numId w:val="15"/>
        </w:numPr>
        <w:rPr>
          <w:rFonts w:ascii="Times New Roman" w:hAnsi="Times New Roman" w:cs="Times New Roman"/>
          <w:sz w:val="24"/>
          <w:szCs w:val="24"/>
        </w:rPr>
      </w:pPr>
      <w:r w:rsidRPr="00CE5643">
        <w:rPr>
          <w:rFonts w:ascii="Times New Roman" w:hAnsi="Times New Roman" w:cs="Times New Roman"/>
          <w:sz w:val="24"/>
          <w:szCs w:val="24"/>
        </w:rPr>
        <w:t>Exception: This may be reduced to 450 mm × 400 mm if self-scouring flow velocities are achieved to remain maintenance-free.</w:t>
      </w:r>
    </w:p>
    <w:p w14:paraId="4B6B3B23" w14:textId="78B2D802" w:rsidR="00CE5643" w:rsidRPr="00CE5643" w:rsidRDefault="00CE5643" w:rsidP="00C121B9">
      <w:pPr>
        <w:pStyle w:val="Heading3"/>
      </w:pPr>
      <w:r w:rsidRPr="00CE5643">
        <w:t>Standard Design Dimensions &amp; Capacity Ranges</w:t>
      </w:r>
    </w:p>
    <w:p w14:paraId="6BC88228" w14:textId="429EDCF9" w:rsidR="00CE5643" w:rsidRPr="00CE5643" w:rsidRDefault="00CE5643" w:rsidP="00CE5643">
      <w:pPr>
        <w:rPr>
          <w:rFonts w:ascii="Times New Roman" w:hAnsi="Times New Roman" w:cs="Times New Roman"/>
          <w:sz w:val="24"/>
          <w:szCs w:val="24"/>
        </w:rPr>
      </w:pPr>
      <w:r w:rsidRPr="00CE5643">
        <w:rPr>
          <w:rFonts w:ascii="Times New Roman" w:hAnsi="Times New Roman" w:cs="Times New Roman"/>
          <w:sz w:val="24"/>
          <w:szCs w:val="24"/>
        </w:rPr>
        <w:t xml:space="preserve">For major urban </w:t>
      </w:r>
      <w:r w:rsidR="00DC42D1" w:rsidRPr="00CE5643">
        <w:rPr>
          <w:rFonts w:ascii="Times New Roman" w:hAnsi="Times New Roman" w:cs="Times New Roman"/>
          <w:sz w:val="24"/>
          <w:szCs w:val="24"/>
        </w:rPr>
        <w:t>centres</w:t>
      </w:r>
      <w:r w:rsidRPr="00CE5643">
        <w:rPr>
          <w:rFonts w:ascii="Times New Roman" w:hAnsi="Times New Roman" w:cs="Times New Roman"/>
          <w:sz w:val="24"/>
          <w:szCs w:val="24"/>
        </w:rPr>
        <w:t xml:space="preserve"> with developed infrastructure like Kampala, the manual specifies kerb inlets, cross culverts, and underground pipe/box systems. The standard design charts and capacity tables cover the following ranges:</w:t>
      </w:r>
    </w:p>
    <w:p w14:paraId="0636390A" w14:textId="77777777" w:rsidR="00CE5643" w:rsidRPr="00CE5643" w:rsidRDefault="00CE5643" w:rsidP="00DC42D1">
      <w:pPr>
        <w:numPr>
          <w:ilvl w:val="0"/>
          <w:numId w:val="16"/>
        </w:numPr>
        <w:rPr>
          <w:rFonts w:ascii="Times New Roman" w:hAnsi="Times New Roman" w:cs="Times New Roman"/>
          <w:sz w:val="24"/>
          <w:szCs w:val="24"/>
        </w:rPr>
      </w:pPr>
      <w:r w:rsidRPr="00CE5643">
        <w:rPr>
          <w:rFonts w:ascii="Times New Roman" w:hAnsi="Times New Roman" w:cs="Times New Roman"/>
          <w:sz w:val="24"/>
          <w:szCs w:val="24"/>
        </w:rPr>
        <w:lastRenderedPageBreak/>
        <w:t>Concrete Pipe Culverts: Standard nominal diameters in the design capacity tables include 30" (750 mm), 36" (900 mm), 42" (1050 mm), and 48" (1200 mm), configured as single, double, or triple barrels.</w:t>
      </w:r>
    </w:p>
    <w:p w14:paraId="6936D586" w14:textId="77777777" w:rsidR="00CE5643" w:rsidRPr="00CE5643" w:rsidRDefault="00CE5643" w:rsidP="00DC42D1">
      <w:pPr>
        <w:numPr>
          <w:ilvl w:val="0"/>
          <w:numId w:val="16"/>
        </w:numPr>
        <w:rPr>
          <w:rFonts w:ascii="Times New Roman" w:hAnsi="Times New Roman" w:cs="Times New Roman"/>
          <w:sz w:val="24"/>
          <w:szCs w:val="24"/>
        </w:rPr>
      </w:pPr>
      <w:r w:rsidRPr="00CE5643">
        <w:rPr>
          <w:rFonts w:ascii="Times New Roman" w:hAnsi="Times New Roman" w:cs="Times New Roman"/>
          <w:sz w:val="24"/>
          <w:szCs w:val="24"/>
        </w:rPr>
        <w:t>Box Culverts: Standard design tables provide for spans ranging from 1.0 m to 6.0 m and heights from 0.9 m to 4.5 m. (For instance, standard design examples in the manual use box culverts sized 2135 mm × 1830 mm and 3.0 m × 2.0 m).</w:t>
      </w:r>
    </w:p>
    <w:p w14:paraId="77AA6BEA" w14:textId="77777777" w:rsidR="00CE5643" w:rsidRPr="00CE5643" w:rsidRDefault="00CE5643" w:rsidP="00DC42D1">
      <w:pPr>
        <w:numPr>
          <w:ilvl w:val="0"/>
          <w:numId w:val="16"/>
        </w:numPr>
        <w:rPr>
          <w:rFonts w:ascii="Times New Roman" w:hAnsi="Times New Roman" w:cs="Times New Roman"/>
          <w:sz w:val="24"/>
          <w:szCs w:val="24"/>
        </w:rPr>
      </w:pPr>
      <w:r w:rsidRPr="00CE5643">
        <w:rPr>
          <w:rFonts w:ascii="Times New Roman" w:hAnsi="Times New Roman" w:cs="Times New Roman"/>
          <w:sz w:val="24"/>
          <w:szCs w:val="24"/>
        </w:rPr>
        <w:t>Slab Culverts: Standard multi-opening designs typically utilize openings of 3.0 m span × 2.0 m height.</w:t>
      </w:r>
    </w:p>
    <w:p w14:paraId="3243FEA1" w14:textId="77777777" w:rsidR="00CE5643" w:rsidRPr="00DC42D1" w:rsidRDefault="00CE5643">
      <w:pPr>
        <w:rPr>
          <w:rFonts w:ascii="Times New Roman" w:hAnsi="Times New Roman" w:cs="Times New Roman"/>
          <w:sz w:val="24"/>
          <w:szCs w:val="24"/>
        </w:rPr>
      </w:pPr>
    </w:p>
    <w:p w14:paraId="78F7C2AB" w14:textId="3E1294DB" w:rsidR="00B7082F" w:rsidRDefault="00000000" w:rsidP="00C121B9">
      <w:pPr>
        <w:pStyle w:val="Heading1"/>
      </w:pPr>
      <w:r w:rsidRPr="00DC42D1">
        <w:t>Recommended First-Build Sensor Location</w:t>
      </w:r>
    </w:p>
    <w:p w14:paraId="44AB8A78" w14:textId="10043D8A" w:rsidR="00F47C71" w:rsidRPr="00F47C71" w:rsidRDefault="00F47C71" w:rsidP="00F47C71">
      <w:pPr>
        <w:jc w:val="center"/>
      </w:pPr>
      <w:r>
        <w:rPr>
          <w:noProof/>
        </w:rPr>
        <w:drawing>
          <wp:inline distT="0" distB="0" distL="0" distR="0" wp14:anchorId="0DB99D45" wp14:editId="1462B8D3">
            <wp:extent cx="3843655" cy="3708000"/>
            <wp:effectExtent l="0" t="0" r="4445" b="6985"/>
            <wp:docPr id="19166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40" name="Picture 19166340"/>
                    <pic:cNvPicPr/>
                  </pic:nvPicPr>
                  <pic:blipFill rotWithShape="1">
                    <a:blip r:embed="rId12"/>
                    <a:srcRect t="4" b="3529"/>
                    <a:stretch>
                      <a:fillRect/>
                    </a:stretch>
                  </pic:blipFill>
                  <pic:spPr bwMode="auto">
                    <a:xfrm>
                      <a:off x="0" y="0"/>
                      <a:ext cx="3848100" cy="3712288"/>
                    </a:xfrm>
                    <a:prstGeom prst="rect">
                      <a:avLst/>
                    </a:prstGeom>
                    <a:ln>
                      <a:noFill/>
                    </a:ln>
                    <a:extLst>
                      <a:ext uri="{53640926-AAD7-44D8-BBD7-CCE9431645EC}">
                        <a14:shadowObscured xmlns:a14="http://schemas.microsoft.com/office/drawing/2010/main"/>
                      </a:ext>
                    </a:extLst>
                  </pic:spPr>
                </pic:pic>
              </a:graphicData>
            </a:graphic>
          </wp:inline>
        </w:drawing>
      </w:r>
    </w:p>
    <w:p w14:paraId="24277646" w14:textId="77777777" w:rsidR="007D6444" w:rsidRDefault="007D6444">
      <w:pPr>
        <w:rPr>
          <w:rFonts w:ascii="Times New Roman" w:hAnsi="Times New Roman" w:cs="Times New Roman"/>
          <w:sz w:val="24"/>
          <w:szCs w:val="24"/>
        </w:rPr>
      </w:pPr>
    </w:p>
    <w:p w14:paraId="52896000" w14:textId="77777777" w:rsidR="007D6444" w:rsidRPr="007D6444" w:rsidRDefault="007D6444" w:rsidP="007D6444">
      <w:pPr>
        <w:rPr>
          <w:rFonts w:ascii="Times New Roman" w:hAnsi="Times New Roman" w:cs="Times New Roman"/>
          <w:sz w:val="24"/>
          <w:szCs w:val="24"/>
        </w:rPr>
      </w:pPr>
      <w:r w:rsidRPr="007D6444">
        <w:rPr>
          <w:rFonts w:ascii="Times New Roman" w:hAnsi="Times New Roman" w:cs="Times New Roman"/>
          <w:sz w:val="24"/>
          <w:szCs w:val="24"/>
        </w:rPr>
        <w:t>Implementing level and blockage monitoring on a box culvert involves deploying either overhead non-contact sensors or submerged contact devices based on site hydraulics and environmental constraints:</w:t>
      </w:r>
    </w:p>
    <w:p w14:paraId="7B34AE86" w14:textId="77777777" w:rsidR="007D6444" w:rsidRPr="007D6444" w:rsidRDefault="007D6444" w:rsidP="007B43CF">
      <w:pPr>
        <w:numPr>
          <w:ilvl w:val="0"/>
          <w:numId w:val="21"/>
        </w:numPr>
        <w:rPr>
          <w:rFonts w:ascii="Times New Roman" w:hAnsi="Times New Roman" w:cs="Times New Roman"/>
          <w:sz w:val="24"/>
          <w:szCs w:val="24"/>
        </w:rPr>
      </w:pPr>
      <w:r w:rsidRPr="007D6444">
        <w:rPr>
          <w:rFonts w:ascii="Times New Roman" w:hAnsi="Times New Roman" w:cs="Times New Roman"/>
          <w:sz w:val="24"/>
          <w:szCs w:val="24"/>
        </w:rPr>
        <w:t>Overhead 80 GHz Radar Sensors: Non-contact radar level transmitters are installed on the culvert roof or headwall, emitting high-frequency microwave pulses straight down to the water surface to determine water level via electromagnetic time-of-flight. Radar implementation is ideal for severe storm conditions because 80 GHz microwave pulses penetrate heavy surface foam, steam, condensation, and rapid air/temperature fluctuations without signal degradation, offering non-contact operation with high precision (down to ±2 mm) and zero risk of sensor fouling from debris.</w:t>
      </w:r>
    </w:p>
    <w:p w14:paraId="2F18324F" w14:textId="77777777" w:rsidR="007D6444" w:rsidRPr="007D6444" w:rsidRDefault="007D6444" w:rsidP="007B43CF">
      <w:pPr>
        <w:numPr>
          <w:ilvl w:val="0"/>
          <w:numId w:val="21"/>
        </w:numPr>
        <w:rPr>
          <w:rFonts w:ascii="Times New Roman" w:hAnsi="Times New Roman" w:cs="Times New Roman"/>
          <w:sz w:val="24"/>
          <w:szCs w:val="24"/>
        </w:rPr>
      </w:pPr>
      <w:r w:rsidRPr="007D6444">
        <w:rPr>
          <w:rFonts w:ascii="Times New Roman" w:hAnsi="Times New Roman" w:cs="Times New Roman"/>
          <w:sz w:val="24"/>
          <w:szCs w:val="24"/>
        </w:rPr>
        <w:lastRenderedPageBreak/>
        <w:t>Overhead Ultrasonic Sensors: Acoustic time-of-flight sensors are mounted on top mounting brackets or threaded ceiling fittings facing perpendicular to the water line. To ensure accurate echo detection, ultrasonic transducers must be installed away from turbulent inlet splash zones, positioned at least 0.3 m away from concrete sidewalls to prevent false structural reflections, and mounted high enough so maximum flood levels never intrude into the sensor's required blind/dead zone; in areas with persistent surface foam or wave turbulence, the sensor can be mounted inside a perforated vertical standpipe.</w:t>
      </w:r>
    </w:p>
    <w:p w14:paraId="4E4EBC44" w14:textId="1EE796DF" w:rsidR="007D6444" w:rsidRPr="007D6444" w:rsidRDefault="007D6444" w:rsidP="007B43CF">
      <w:pPr>
        <w:numPr>
          <w:ilvl w:val="0"/>
          <w:numId w:val="21"/>
        </w:numPr>
        <w:rPr>
          <w:rFonts w:ascii="Times New Roman" w:hAnsi="Times New Roman" w:cs="Times New Roman"/>
          <w:sz w:val="24"/>
          <w:szCs w:val="24"/>
        </w:rPr>
      </w:pPr>
      <w:r w:rsidRPr="007D6444">
        <w:rPr>
          <w:rFonts w:ascii="Times New Roman" w:hAnsi="Times New Roman" w:cs="Times New Roman"/>
          <w:sz w:val="24"/>
          <w:szCs w:val="24"/>
        </w:rPr>
        <w:t>Submersible Hydrostatic Pressure Transmitters: Submersible pressure sensors offer a contact-based alternative by resting directly along the culvert invert (channel floor) inside a protective, anti-pollution guide tube. These units utilize piezoresistive or ceramic sensing diaphragms to measure the hydrostatic pressure exerted by the overlying water column, outputting standard 4</w:t>
      </w:r>
      <w:r w:rsidR="007B43CF">
        <w:rPr>
          <w:rFonts w:ascii="Times New Roman" w:hAnsi="Times New Roman" w:cs="Times New Roman"/>
          <w:sz w:val="24"/>
          <w:szCs w:val="24"/>
        </w:rPr>
        <w:t>-</w:t>
      </w:r>
      <w:r w:rsidRPr="007D6444">
        <w:rPr>
          <w:rFonts w:ascii="Times New Roman" w:hAnsi="Times New Roman" w:cs="Times New Roman"/>
          <w:sz w:val="24"/>
          <w:szCs w:val="24"/>
        </w:rPr>
        <w:t>20 mA or RS485 digital signals to continuously track water depth directly from the bed</w:t>
      </w:r>
    </w:p>
    <w:p w14:paraId="2A4733AF" w14:textId="6C4725F3" w:rsidR="007B43CF" w:rsidRPr="00035000" w:rsidRDefault="00035000" w:rsidP="00C121B9">
      <w:pPr>
        <w:pStyle w:val="Heading1"/>
      </w:pPr>
      <w:r w:rsidRPr="00035000">
        <w:t>How are the sensor Mounted in the system</w:t>
      </w:r>
    </w:p>
    <w:p w14:paraId="0AF074EC" w14:textId="107DB767" w:rsidR="00035000" w:rsidRPr="00035000" w:rsidRDefault="00035000" w:rsidP="00C121B9">
      <w:pPr>
        <w:pStyle w:val="Heading2"/>
      </w:pPr>
      <w:r w:rsidRPr="00035000">
        <w:t>Use Side-Mount Brackets</w:t>
      </w:r>
    </w:p>
    <w:p w14:paraId="45C24A1D" w14:textId="77777777" w:rsidR="00035000" w:rsidRPr="00035000" w:rsidRDefault="00035000" w:rsidP="00035000">
      <w:pPr>
        <w:numPr>
          <w:ilvl w:val="0"/>
          <w:numId w:val="32"/>
        </w:numPr>
        <w:rPr>
          <w:rFonts w:ascii="Times New Roman" w:hAnsi="Times New Roman" w:cs="Times New Roman"/>
          <w:sz w:val="24"/>
          <w:szCs w:val="24"/>
        </w:rPr>
      </w:pPr>
      <w:r w:rsidRPr="00035000">
        <w:rPr>
          <w:rFonts w:ascii="Times New Roman" w:hAnsi="Times New Roman" w:cs="Times New Roman"/>
          <w:sz w:val="24"/>
          <w:szCs w:val="24"/>
        </w:rPr>
        <w:t>For open walls, tanks, and sumps, sensors are mounted using dedicated side-mount wall brackets (such as LVM-30 series brackets) attached directly to the vertical wall.</w:t>
      </w:r>
    </w:p>
    <w:p w14:paraId="49A22635" w14:textId="77777777" w:rsidR="00035000" w:rsidRPr="00035000" w:rsidRDefault="00035000" w:rsidP="00035000">
      <w:pPr>
        <w:numPr>
          <w:ilvl w:val="0"/>
          <w:numId w:val="32"/>
        </w:numPr>
        <w:rPr>
          <w:rFonts w:ascii="Times New Roman" w:hAnsi="Times New Roman" w:cs="Times New Roman"/>
          <w:sz w:val="24"/>
          <w:szCs w:val="24"/>
        </w:rPr>
      </w:pPr>
      <w:r w:rsidRPr="00035000">
        <w:rPr>
          <w:rFonts w:ascii="Times New Roman" w:hAnsi="Times New Roman" w:cs="Times New Roman"/>
          <w:sz w:val="24"/>
          <w:szCs w:val="24"/>
        </w:rPr>
        <w:t>The sensor threads into a plastic reducer bushing or fitting on the bracket arm, which extends out horizontally over the water surface.</w:t>
      </w:r>
    </w:p>
    <w:p w14:paraId="6CA099C4" w14:textId="53D8615A" w:rsidR="00035000" w:rsidRPr="00035000" w:rsidRDefault="00035000" w:rsidP="00C121B9">
      <w:pPr>
        <w:pStyle w:val="Heading2"/>
      </w:pPr>
      <w:r w:rsidRPr="00035000">
        <w:t>Maintain Minimum Wall Distance (Clearance)</w:t>
      </w:r>
    </w:p>
    <w:p w14:paraId="6837DE39" w14:textId="77777777" w:rsidR="00035000" w:rsidRPr="00035000" w:rsidRDefault="00035000" w:rsidP="00035000">
      <w:pPr>
        <w:numPr>
          <w:ilvl w:val="0"/>
          <w:numId w:val="33"/>
        </w:numPr>
        <w:rPr>
          <w:rFonts w:ascii="Times New Roman" w:hAnsi="Times New Roman" w:cs="Times New Roman"/>
          <w:sz w:val="24"/>
          <w:szCs w:val="24"/>
        </w:rPr>
      </w:pPr>
      <w:r w:rsidRPr="00035000">
        <w:rPr>
          <w:rFonts w:ascii="Times New Roman" w:hAnsi="Times New Roman" w:cs="Times New Roman"/>
          <w:sz w:val="24"/>
          <w:szCs w:val="24"/>
        </w:rPr>
        <w:t>Non-contact sensors (ultrasonic and radar) emit a beam cone and must not be mounted flush against the wall or too close to side surfaces.</w:t>
      </w:r>
    </w:p>
    <w:p w14:paraId="425531CF" w14:textId="77777777" w:rsidR="00035000" w:rsidRPr="00035000" w:rsidRDefault="00035000" w:rsidP="00035000">
      <w:pPr>
        <w:numPr>
          <w:ilvl w:val="0"/>
          <w:numId w:val="33"/>
        </w:numPr>
        <w:rPr>
          <w:rFonts w:ascii="Times New Roman" w:hAnsi="Times New Roman" w:cs="Times New Roman"/>
          <w:sz w:val="24"/>
          <w:szCs w:val="24"/>
        </w:rPr>
      </w:pPr>
      <w:r w:rsidRPr="00035000">
        <w:rPr>
          <w:rFonts w:ascii="Times New Roman" w:hAnsi="Times New Roman" w:cs="Times New Roman"/>
          <w:sz w:val="24"/>
          <w:szCs w:val="24"/>
        </w:rPr>
        <w:t>Distance Requirements: Mount the sensor at least 2 to 3 inches (5 to 7.6 cm) away from smooth side walls. If the wall is made of rough concrete, maintain a distance of at least 0.3 m (approx. 12 inches) to prevent false echo reflections from the wall surface.</w:t>
      </w:r>
    </w:p>
    <w:p w14:paraId="5964AAC3" w14:textId="5B589639" w:rsidR="00035000" w:rsidRPr="00035000" w:rsidRDefault="00035000" w:rsidP="00C121B9">
      <w:pPr>
        <w:pStyle w:val="Heading2"/>
      </w:pPr>
      <w:r w:rsidRPr="00035000">
        <w:t>Ensure Perpendicular Alignment</w:t>
      </w:r>
    </w:p>
    <w:p w14:paraId="05F7EF82" w14:textId="77777777" w:rsidR="00035000" w:rsidRPr="00035000" w:rsidRDefault="00035000" w:rsidP="00035000">
      <w:pPr>
        <w:numPr>
          <w:ilvl w:val="0"/>
          <w:numId w:val="34"/>
        </w:numPr>
        <w:rPr>
          <w:rFonts w:ascii="Times New Roman" w:hAnsi="Times New Roman" w:cs="Times New Roman"/>
          <w:sz w:val="24"/>
          <w:szCs w:val="24"/>
        </w:rPr>
      </w:pPr>
      <w:r w:rsidRPr="00035000">
        <w:rPr>
          <w:rFonts w:ascii="Times New Roman" w:hAnsi="Times New Roman" w:cs="Times New Roman"/>
          <w:sz w:val="24"/>
          <w:szCs w:val="24"/>
        </w:rPr>
        <w:t>The transducer face must be aligned perpendicular to the liquid surface (pointing straight down).</w:t>
      </w:r>
    </w:p>
    <w:p w14:paraId="13ABFA96" w14:textId="77777777" w:rsidR="00035000" w:rsidRPr="00035000" w:rsidRDefault="00035000" w:rsidP="00035000">
      <w:pPr>
        <w:numPr>
          <w:ilvl w:val="0"/>
          <w:numId w:val="34"/>
        </w:numPr>
        <w:rPr>
          <w:rFonts w:ascii="Times New Roman" w:hAnsi="Times New Roman" w:cs="Times New Roman"/>
          <w:sz w:val="24"/>
          <w:szCs w:val="24"/>
        </w:rPr>
      </w:pPr>
      <w:r w:rsidRPr="00035000">
        <w:rPr>
          <w:rFonts w:ascii="Times New Roman" w:hAnsi="Times New Roman" w:cs="Times New Roman"/>
          <w:sz w:val="24"/>
          <w:szCs w:val="24"/>
        </w:rPr>
        <w:t>The sensor should never be mounted at an angle relative to the water line, as tilted sensors reflect acoustic/radar pulses away rather than receiving return echoes.</w:t>
      </w:r>
    </w:p>
    <w:p w14:paraId="47B91459" w14:textId="110DE472" w:rsidR="00035000" w:rsidRPr="00035000" w:rsidRDefault="00035000" w:rsidP="00C121B9">
      <w:pPr>
        <w:pStyle w:val="Heading2"/>
      </w:pPr>
      <w:r w:rsidRPr="00035000">
        <w:t>Cable Protection &amp; Drip Loops on Walls</w:t>
      </w:r>
    </w:p>
    <w:p w14:paraId="224E7B97" w14:textId="77777777" w:rsidR="00035000" w:rsidRPr="00035000" w:rsidRDefault="00035000" w:rsidP="00035000">
      <w:pPr>
        <w:numPr>
          <w:ilvl w:val="0"/>
          <w:numId w:val="35"/>
        </w:numPr>
        <w:rPr>
          <w:rFonts w:ascii="Times New Roman" w:hAnsi="Times New Roman" w:cs="Times New Roman"/>
          <w:sz w:val="24"/>
          <w:szCs w:val="24"/>
        </w:rPr>
      </w:pPr>
      <w:r w:rsidRPr="00035000">
        <w:rPr>
          <w:rFonts w:ascii="Times New Roman" w:hAnsi="Times New Roman" w:cs="Times New Roman"/>
          <w:sz w:val="24"/>
          <w:szCs w:val="24"/>
        </w:rPr>
        <w:t>When running sensor cables along outdoor or wet walls, seal all conduit entries and cable glands to prevent water ingress.</w:t>
      </w:r>
    </w:p>
    <w:p w14:paraId="37E820DB" w14:textId="77777777" w:rsidR="00035000" w:rsidRPr="00035000" w:rsidRDefault="00035000" w:rsidP="00035000">
      <w:pPr>
        <w:numPr>
          <w:ilvl w:val="0"/>
          <w:numId w:val="35"/>
        </w:numPr>
        <w:rPr>
          <w:rFonts w:ascii="Times New Roman" w:hAnsi="Times New Roman" w:cs="Times New Roman"/>
          <w:sz w:val="24"/>
          <w:szCs w:val="24"/>
        </w:rPr>
      </w:pPr>
      <w:r w:rsidRPr="00035000">
        <w:rPr>
          <w:rFonts w:ascii="Times New Roman" w:hAnsi="Times New Roman" w:cs="Times New Roman"/>
          <w:sz w:val="24"/>
          <w:szCs w:val="24"/>
        </w:rPr>
        <w:t>Drip Loops: Bend the signal cable downwards in a loop before it enters the electronics or junction enclosure to prevent rainwater or condensation from flowing down the cable into the housing</w:t>
      </w:r>
    </w:p>
    <w:p w14:paraId="7477EC65" w14:textId="77777777" w:rsidR="00035000" w:rsidRPr="007B43CF" w:rsidRDefault="00035000" w:rsidP="007D6444">
      <w:pPr>
        <w:rPr>
          <w:rFonts w:ascii="Times New Roman" w:hAnsi="Times New Roman" w:cs="Times New Roman"/>
          <w:b/>
          <w:bCs/>
          <w:sz w:val="24"/>
          <w:szCs w:val="24"/>
        </w:rPr>
      </w:pPr>
    </w:p>
    <w:p w14:paraId="12A65D97" w14:textId="0B6460B8" w:rsidR="007B43CF" w:rsidRPr="007B43CF" w:rsidRDefault="007B43CF" w:rsidP="007D6444">
      <w:pPr>
        <w:rPr>
          <w:rFonts w:ascii="Times New Roman" w:hAnsi="Times New Roman" w:cs="Times New Roman"/>
          <w:b/>
          <w:bCs/>
          <w:sz w:val="24"/>
          <w:szCs w:val="24"/>
        </w:rPr>
      </w:pPr>
      <w:r w:rsidRPr="007B43CF">
        <w:rPr>
          <w:rFonts w:ascii="Times New Roman" w:hAnsi="Times New Roman" w:cs="Times New Roman"/>
          <w:b/>
          <w:bCs/>
          <w:sz w:val="24"/>
          <w:szCs w:val="24"/>
        </w:rPr>
        <w:lastRenderedPageBreak/>
        <w:t>Note:</w:t>
      </w:r>
    </w:p>
    <w:p w14:paraId="68A73059" w14:textId="08968CDB" w:rsidR="007D6444" w:rsidRPr="007D6444" w:rsidRDefault="007D6444" w:rsidP="007D6444">
      <w:pPr>
        <w:rPr>
          <w:rFonts w:ascii="Times New Roman" w:hAnsi="Times New Roman" w:cs="Times New Roman"/>
          <w:sz w:val="24"/>
          <w:szCs w:val="24"/>
        </w:rPr>
      </w:pPr>
      <w:r w:rsidRPr="007D6444">
        <w:rPr>
          <w:rFonts w:ascii="Times New Roman" w:hAnsi="Times New Roman" w:cs="Times New Roman"/>
          <w:sz w:val="24"/>
          <w:szCs w:val="24"/>
        </w:rPr>
        <w:t>For reliable detection of both flooding and silt accumulation in a box culvert, the 80 GHz Non-Contact Radar Level Sensor is the strongest recommendation.</w:t>
      </w:r>
    </w:p>
    <w:p w14:paraId="70F6A27E" w14:textId="77777777" w:rsidR="007D6444" w:rsidRPr="007D6444" w:rsidRDefault="007D6444" w:rsidP="007D6444">
      <w:pPr>
        <w:rPr>
          <w:rFonts w:ascii="Times New Roman" w:hAnsi="Times New Roman" w:cs="Times New Roman"/>
          <w:sz w:val="24"/>
          <w:szCs w:val="24"/>
        </w:rPr>
      </w:pPr>
      <w:r w:rsidRPr="007D6444">
        <w:rPr>
          <w:rFonts w:ascii="Times New Roman" w:hAnsi="Times New Roman" w:cs="Times New Roman"/>
          <w:sz w:val="24"/>
          <w:szCs w:val="24"/>
        </w:rPr>
        <w:t>Here is a breakdown of how the three options compare for this specific application:</w:t>
      </w:r>
    </w:p>
    <w:p w14:paraId="40C4A5A6" w14:textId="3C8AEDF4" w:rsidR="007D6444" w:rsidRPr="007D6444" w:rsidRDefault="003220B2" w:rsidP="003220B2">
      <w:pPr>
        <w:jc w:val="center"/>
        <w:rPr>
          <w:rFonts w:ascii="Times New Roman" w:hAnsi="Times New Roman" w:cs="Times New Roman"/>
          <w:sz w:val="24"/>
          <w:szCs w:val="24"/>
        </w:rPr>
      </w:pPr>
      <w:r w:rsidRPr="007B43CF">
        <w:rPr>
          <w:rFonts w:ascii="Times New Roman" w:hAnsi="Times New Roman" w:cs="Times New Roman"/>
          <w:sz w:val="24"/>
          <w:szCs w:val="24"/>
        </w:rPr>
        <w:drawing>
          <wp:inline distT="0" distB="0" distL="0" distR="0" wp14:anchorId="38D77731" wp14:editId="60A7C345">
            <wp:extent cx="5047820" cy="2664000"/>
            <wp:effectExtent l="0" t="0" r="635" b="3175"/>
            <wp:docPr id="90280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4449" name="Picture 902804449"/>
                    <pic:cNvPicPr/>
                  </pic:nvPicPr>
                  <pic:blipFill rotWithShape="1">
                    <a:blip r:embed="rId13"/>
                    <a:srcRect b="5444"/>
                    <a:stretch>
                      <a:fillRect/>
                    </a:stretch>
                  </pic:blipFill>
                  <pic:spPr bwMode="auto">
                    <a:xfrm>
                      <a:off x="0" y="0"/>
                      <a:ext cx="5068064" cy="2674684"/>
                    </a:xfrm>
                    <a:prstGeom prst="rect">
                      <a:avLst/>
                    </a:prstGeom>
                    <a:ln>
                      <a:noFill/>
                    </a:ln>
                    <a:extLst>
                      <a:ext uri="{53640926-AAD7-44D8-BBD7-CCE9431645EC}">
                        <a14:shadowObscured xmlns:a14="http://schemas.microsoft.com/office/drawing/2010/main"/>
                      </a:ext>
                    </a:extLst>
                  </pic:spPr>
                </pic:pic>
              </a:graphicData>
            </a:graphic>
          </wp:inline>
        </w:drawing>
      </w:r>
    </w:p>
    <w:p w14:paraId="53139E1B" w14:textId="3CDA0B3A" w:rsidR="007D6444" w:rsidRPr="007D6444" w:rsidRDefault="007D6444" w:rsidP="00C121B9">
      <w:pPr>
        <w:pStyle w:val="Heading2"/>
      </w:pPr>
      <w:r w:rsidRPr="007D6444">
        <w:t>Top Recommendation: 80 GHz Non-Contact Radar Sensor</w:t>
      </w:r>
    </w:p>
    <w:p w14:paraId="32A5529E" w14:textId="77777777" w:rsidR="007D6444" w:rsidRPr="007D6444" w:rsidRDefault="007D6444" w:rsidP="007B43CF">
      <w:pPr>
        <w:numPr>
          <w:ilvl w:val="0"/>
          <w:numId w:val="22"/>
        </w:numPr>
        <w:rPr>
          <w:rFonts w:ascii="Times New Roman" w:hAnsi="Times New Roman" w:cs="Times New Roman"/>
          <w:sz w:val="24"/>
          <w:szCs w:val="24"/>
        </w:rPr>
      </w:pPr>
      <w:r w:rsidRPr="007D6444">
        <w:rPr>
          <w:rFonts w:ascii="Times New Roman" w:hAnsi="Times New Roman" w:cs="Times New Roman"/>
          <w:sz w:val="24"/>
          <w:szCs w:val="24"/>
        </w:rPr>
        <w:t>Flood Detection Performance: During severe storm events, floodwater creates heavy surface foam, splash turbulence, steam, and rapid air temperature swings. An 80 GHz radar sensor emits high-frequency electromagnetic microwave pulses that penetrate foam, condensation, and temperature variations without signal degradation or false echoes. It delivers continuous, high-precision level measurements (down to ±2 mm).</w:t>
      </w:r>
    </w:p>
    <w:p w14:paraId="0B5F44F4" w14:textId="77777777" w:rsidR="007D6444" w:rsidRPr="007D6444" w:rsidRDefault="007D6444" w:rsidP="007B43CF">
      <w:pPr>
        <w:numPr>
          <w:ilvl w:val="0"/>
          <w:numId w:val="22"/>
        </w:numPr>
        <w:rPr>
          <w:rFonts w:ascii="Times New Roman" w:hAnsi="Times New Roman" w:cs="Times New Roman"/>
          <w:sz w:val="24"/>
          <w:szCs w:val="24"/>
        </w:rPr>
      </w:pPr>
      <w:r w:rsidRPr="007D6444">
        <w:rPr>
          <w:rFonts w:ascii="Times New Roman" w:hAnsi="Times New Roman" w:cs="Times New Roman"/>
          <w:sz w:val="24"/>
          <w:szCs w:val="24"/>
        </w:rPr>
        <w:t>Silt Accumulation Detection: Because radar is mounted on the culvert roof or top headwall, it measures the clearance distance down to the floor during dry or low-flow conditions. As sediment and silt accumulate on the bed, the measured distance decreases, allowing real-time tracking of silt depth without physical contact.</w:t>
      </w:r>
    </w:p>
    <w:p w14:paraId="60E4F80A" w14:textId="77777777" w:rsidR="007D6444" w:rsidRPr="007D6444" w:rsidRDefault="007D6444" w:rsidP="007B43CF">
      <w:pPr>
        <w:numPr>
          <w:ilvl w:val="0"/>
          <w:numId w:val="22"/>
        </w:numPr>
        <w:rPr>
          <w:rFonts w:ascii="Times New Roman" w:hAnsi="Times New Roman" w:cs="Times New Roman"/>
          <w:sz w:val="24"/>
          <w:szCs w:val="24"/>
        </w:rPr>
      </w:pPr>
      <w:r w:rsidRPr="007D6444">
        <w:rPr>
          <w:rFonts w:ascii="Times New Roman" w:hAnsi="Times New Roman" w:cs="Times New Roman"/>
          <w:sz w:val="24"/>
          <w:szCs w:val="24"/>
        </w:rPr>
        <w:t>Maintenance &amp; Reliability: Unaffected by sticky, dirty, or corrosive media, radar has zero moving parts, does not wear or clog, and offers the lowest long-term maintenance requirements.</w:t>
      </w:r>
    </w:p>
    <w:p w14:paraId="4B0C88B3" w14:textId="24C1CF4C" w:rsidR="007D6444" w:rsidRDefault="007D6444" w:rsidP="007D6444">
      <w:pPr>
        <w:rPr>
          <w:rFonts w:ascii="Times New Roman" w:hAnsi="Times New Roman" w:cs="Times New Roman"/>
          <w:sz w:val="24"/>
          <w:szCs w:val="24"/>
        </w:rPr>
      </w:pPr>
    </w:p>
    <w:p w14:paraId="6DA10B1A" w14:textId="77777777" w:rsidR="007B43CF" w:rsidRDefault="007B43CF" w:rsidP="007D6444">
      <w:pPr>
        <w:rPr>
          <w:rFonts w:ascii="Times New Roman" w:hAnsi="Times New Roman" w:cs="Times New Roman"/>
          <w:sz w:val="24"/>
          <w:szCs w:val="24"/>
        </w:rPr>
      </w:pPr>
    </w:p>
    <w:p w14:paraId="1E5EF6EC" w14:textId="77777777" w:rsidR="007B43CF" w:rsidRDefault="007B43CF" w:rsidP="007D6444">
      <w:pPr>
        <w:rPr>
          <w:rFonts w:ascii="Times New Roman" w:hAnsi="Times New Roman" w:cs="Times New Roman"/>
          <w:sz w:val="24"/>
          <w:szCs w:val="24"/>
        </w:rPr>
      </w:pPr>
    </w:p>
    <w:p w14:paraId="1C975848" w14:textId="77777777" w:rsidR="007B43CF" w:rsidRDefault="007B43CF" w:rsidP="007D6444">
      <w:pPr>
        <w:rPr>
          <w:rFonts w:ascii="Times New Roman" w:hAnsi="Times New Roman" w:cs="Times New Roman"/>
          <w:sz w:val="24"/>
          <w:szCs w:val="24"/>
        </w:rPr>
      </w:pPr>
    </w:p>
    <w:p w14:paraId="49D04DF1" w14:textId="77777777" w:rsidR="007B43CF" w:rsidRDefault="007B43CF" w:rsidP="007D6444">
      <w:pPr>
        <w:rPr>
          <w:rFonts w:ascii="Times New Roman" w:hAnsi="Times New Roman" w:cs="Times New Roman"/>
          <w:sz w:val="24"/>
          <w:szCs w:val="24"/>
        </w:rPr>
      </w:pPr>
    </w:p>
    <w:p w14:paraId="6FBE8BF7" w14:textId="77777777" w:rsidR="007B43CF" w:rsidRDefault="007B43CF" w:rsidP="007D6444">
      <w:pPr>
        <w:rPr>
          <w:rFonts w:ascii="Times New Roman" w:hAnsi="Times New Roman" w:cs="Times New Roman"/>
          <w:sz w:val="24"/>
          <w:szCs w:val="24"/>
        </w:rPr>
      </w:pPr>
    </w:p>
    <w:p w14:paraId="04AC37BC" w14:textId="77777777" w:rsidR="007B43CF" w:rsidRDefault="007B43CF" w:rsidP="007D6444">
      <w:pPr>
        <w:rPr>
          <w:rFonts w:ascii="Times New Roman" w:hAnsi="Times New Roman" w:cs="Times New Roman"/>
          <w:sz w:val="24"/>
          <w:szCs w:val="24"/>
        </w:rPr>
      </w:pPr>
    </w:p>
    <w:p w14:paraId="61630172" w14:textId="77777777" w:rsidR="007B43CF" w:rsidRDefault="007B43CF" w:rsidP="007D6444">
      <w:pPr>
        <w:rPr>
          <w:rFonts w:ascii="Times New Roman" w:hAnsi="Times New Roman" w:cs="Times New Roman"/>
          <w:sz w:val="24"/>
          <w:szCs w:val="24"/>
        </w:rPr>
      </w:pPr>
    </w:p>
    <w:p w14:paraId="3894F57D" w14:textId="77777777" w:rsidR="007B43CF" w:rsidRPr="007D6444" w:rsidRDefault="007B43CF" w:rsidP="007D6444">
      <w:pPr>
        <w:rPr>
          <w:rFonts w:ascii="Times New Roman" w:hAnsi="Times New Roman" w:cs="Times New Roman"/>
          <w:sz w:val="24"/>
          <w:szCs w:val="24"/>
        </w:rPr>
      </w:pPr>
    </w:p>
    <w:p w14:paraId="3AE5188A" w14:textId="5F3BED13" w:rsidR="007D6444" w:rsidRPr="007B43CF" w:rsidRDefault="007D6444" w:rsidP="00C121B9">
      <w:pPr>
        <w:pStyle w:val="Heading2"/>
      </w:pPr>
      <w:r w:rsidRPr="007D6444">
        <w:t>Why Submersible Pressure Transmitters are NOT Advised for Silt Monitoring</w:t>
      </w:r>
    </w:p>
    <w:p w14:paraId="54FC125B" w14:textId="278F2782" w:rsidR="003220B2" w:rsidRPr="007D6444" w:rsidRDefault="003220B2" w:rsidP="003220B2">
      <w:pPr>
        <w:jc w:val="center"/>
        <w:rPr>
          <w:rFonts w:ascii="Times New Roman" w:hAnsi="Times New Roman" w:cs="Times New Roman"/>
          <w:sz w:val="24"/>
          <w:szCs w:val="24"/>
        </w:rPr>
      </w:pPr>
      <w:r w:rsidRPr="007B43CF">
        <w:rPr>
          <w:rFonts w:ascii="Times New Roman" w:hAnsi="Times New Roman" w:cs="Times New Roman"/>
          <w:sz w:val="24"/>
          <w:szCs w:val="24"/>
        </w:rPr>
        <w:drawing>
          <wp:inline distT="0" distB="0" distL="0" distR="0" wp14:anchorId="39EB671D" wp14:editId="172818B3">
            <wp:extent cx="4284000" cy="2804795"/>
            <wp:effectExtent l="0" t="0" r="2540" b="0"/>
            <wp:docPr id="827956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6817" name="Picture 827956817"/>
                    <pic:cNvPicPr/>
                  </pic:nvPicPr>
                  <pic:blipFill rotWithShape="1">
                    <a:blip r:embed="rId14"/>
                    <a:srcRect l="2148" t="827" r="4254" b="14830"/>
                    <a:stretch>
                      <a:fillRect/>
                    </a:stretch>
                  </pic:blipFill>
                  <pic:spPr bwMode="auto">
                    <a:xfrm>
                      <a:off x="0" y="0"/>
                      <a:ext cx="4313051" cy="2823815"/>
                    </a:xfrm>
                    <a:prstGeom prst="rect">
                      <a:avLst/>
                    </a:prstGeom>
                    <a:ln>
                      <a:noFill/>
                    </a:ln>
                    <a:extLst>
                      <a:ext uri="{53640926-AAD7-44D8-BBD7-CCE9431645EC}">
                        <a14:shadowObscured xmlns:a14="http://schemas.microsoft.com/office/drawing/2010/main"/>
                      </a:ext>
                    </a:extLst>
                  </pic:spPr>
                </pic:pic>
              </a:graphicData>
            </a:graphic>
          </wp:inline>
        </w:drawing>
      </w:r>
    </w:p>
    <w:p w14:paraId="01EB33FD" w14:textId="77777777" w:rsidR="007D6444" w:rsidRPr="007D6444" w:rsidRDefault="007D6444" w:rsidP="007B43CF">
      <w:pPr>
        <w:numPr>
          <w:ilvl w:val="0"/>
          <w:numId w:val="24"/>
        </w:numPr>
        <w:rPr>
          <w:rFonts w:ascii="Times New Roman" w:hAnsi="Times New Roman" w:cs="Times New Roman"/>
          <w:sz w:val="24"/>
          <w:szCs w:val="24"/>
        </w:rPr>
      </w:pPr>
      <w:r w:rsidRPr="007D6444">
        <w:rPr>
          <w:rFonts w:ascii="Times New Roman" w:hAnsi="Times New Roman" w:cs="Times New Roman"/>
          <w:sz w:val="24"/>
          <w:szCs w:val="24"/>
        </w:rPr>
        <w:t>Submersible hydrostatic pressure sensors are contact-based devices designed to rest on the culvert bed.</w:t>
      </w:r>
    </w:p>
    <w:p w14:paraId="373619D2" w14:textId="77777777" w:rsidR="007D6444" w:rsidRPr="007D6444" w:rsidRDefault="007D6444" w:rsidP="007B43CF">
      <w:pPr>
        <w:numPr>
          <w:ilvl w:val="0"/>
          <w:numId w:val="24"/>
        </w:numPr>
        <w:rPr>
          <w:rFonts w:ascii="Times New Roman" w:hAnsi="Times New Roman" w:cs="Times New Roman"/>
          <w:sz w:val="24"/>
          <w:szCs w:val="24"/>
        </w:rPr>
      </w:pPr>
      <w:r w:rsidRPr="007D6444">
        <w:rPr>
          <w:rFonts w:ascii="Times New Roman" w:hAnsi="Times New Roman" w:cs="Times New Roman"/>
          <w:sz w:val="24"/>
          <w:szCs w:val="24"/>
        </w:rPr>
        <w:t>In culverts prone to siltation, sand, mud, and sediment settle around the sensor, easily burying or clogging the pressure diaphragm. Exposure to dirty, sticking, or scaling bed materials causes sensor drift, signal error, or physical failure.</w:t>
      </w:r>
    </w:p>
    <w:p w14:paraId="31896DE0" w14:textId="3425AF46" w:rsidR="007D6444" w:rsidRPr="007B43CF" w:rsidRDefault="007D6444" w:rsidP="007D6444">
      <w:pPr>
        <w:rPr>
          <w:rFonts w:ascii="Times New Roman" w:hAnsi="Times New Roman" w:cs="Times New Roman"/>
          <w:sz w:val="24"/>
          <w:szCs w:val="24"/>
        </w:rPr>
      </w:pPr>
    </w:p>
    <w:p w14:paraId="22BB1ACE" w14:textId="77777777" w:rsidR="003220B2" w:rsidRPr="007B43CF" w:rsidRDefault="003220B2" w:rsidP="007D6444">
      <w:pPr>
        <w:rPr>
          <w:rFonts w:ascii="Times New Roman" w:hAnsi="Times New Roman" w:cs="Times New Roman"/>
          <w:sz w:val="24"/>
          <w:szCs w:val="24"/>
        </w:rPr>
      </w:pPr>
    </w:p>
    <w:p w14:paraId="406A0EF3" w14:textId="77777777" w:rsidR="003220B2" w:rsidRDefault="003220B2" w:rsidP="007D6444">
      <w:pPr>
        <w:rPr>
          <w:rFonts w:ascii="Times New Roman" w:hAnsi="Times New Roman" w:cs="Times New Roman"/>
          <w:sz w:val="24"/>
          <w:szCs w:val="24"/>
        </w:rPr>
      </w:pPr>
    </w:p>
    <w:p w14:paraId="7F4CE348" w14:textId="77777777" w:rsidR="007B43CF" w:rsidRDefault="007B43CF" w:rsidP="007D6444">
      <w:pPr>
        <w:rPr>
          <w:rFonts w:ascii="Times New Roman" w:hAnsi="Times New Roman" w:cs="Times New Roman"/>
          <w:sz w:val="24"/>
          <w:szCs w:val="24"/>
        </w:rPr>
      </w:pPr>
    </w:p>
    <w:p w14:paraId="0D0C8B0E" w14:textId="77777777" w:rsidR="007B43CF" w:rsidRDefault="007B43CF" w:rsidP="007D6444">
      <w:pPr>
        <w:rPr>
          <w:rFonts w:ascii="Times New Roman" w:hAnsi="Times New Roman" w:cs="Times New Roman"/>
          <w:sz w:val="24"/>
          <w:szCs w:val="24"/>
        </w:rPr>
      </w:pPr>
    </w:p>
    <w:p w14:paraId="576B0EAF" w14:textId="77777777" w:rsidR="007B43CF" w:rsidRDefault="007B43CF" w:rsidP="007D6444">
      <w:pPr>
        <w:rPr>
          <w:rFonts w:ascii="Times New Roman" w:hAnsi="Times New Roman" w:cs="Times New Roman"/>
          <w:sz w:val="24"/>
          <w:szCs w:val="24"/>
        </w:rPr>
      </w:pPr>
    </w:p>
    <w:p w14:paraId="63C6B634" w14:textId="77777777" w:rsidR="007B43CF" w:rsidRDefault="007B43CF" w:rsidP="007D6444">
      <w:pPr>
        <w:rPr>
          <w:rFonts w:ascii="Times New Roman" w:hAnsi="Times New Roman" w:cs="Times New Roman"/>
          <w:sz w:val="24"/>
          <w:szCs w:val="24"/>
        </w:rPr>
      </w:pPr>
    </w:p>
    <w:p w14:paraId="5A5D0F55" w14:textId="77777777" w:rsidR="007B43CF" w:rsidRDefault="007B43CF" w:rsidP="007D6444">
      <w:pPr>
        <w:rPr>
          <w:rFonts w:ascii="Times New Roman" w:hAnsi="Times New Roman" w:cs="Times New Roman"/>
          <w:sz w:val="24"/>
          <w:szCs w:val="24"/>
        </w:rPr>
      </w:pPr>
    </w:p>
    <w:p w14:paraId="1ADB26FD" w14:textId="77777777" w:rsidR="007B43CF" w:rsidRDefault="007B43CF" w:rsidP="007D6444">
      <w:pPr>
        <w:rPr>
          <w:rFonts w:ascii="Times New Roman" w:hAnsi="Times New Roman" w:cs="Times New Roman"/>
          <w:sz w:val="24"/>
          <w:szCs w:val="24"/>
        </w:rPr>
      </w:pPr>
    </w:p>
    <w:p w14:paraId="3CAED255" w14:textId="77777777" w:rsidR="007B43CF" w:rsidRDefault="007B43CF" w:rsidP="007D6444">
      <w:pPr>
        <w:rPr>
          <w:rFonts w:ascii="Times New Roman" w:hAnsi="Times New Roman" w:cs="Times New Roman"/>
          <w:sz w:val="24"/>
          <w:szCs w:val="24"/>
        </w:rPr>
      </w:pPr>
    </w:p>
    <w:p w14:paraId="24B9DC5F" w14:textId="77777777" w:rsidR="007B43CF" w:rsidRDefault="007B43CF" w:rsidP="007D6444">
      <w:pPr>
        <w:rPr>
          <w:rFonts w:ascii="Times New Roman" w:hAnsi="Times New Roman" w:cs="Times New Roman"/>
          <w:sz w:val="24"/>
          <w:szCs w:val="24"/>
        </w:rPr>
      </w:pPr>
    </w:p>
    <w:p w14:paraId="26141BF8" w14:textId="77777777" w:rsidR="007B43CF" w:rsidRPr="007B43CF" w:rsidRDefault="007B43CF" w:rsidP="007D6444">
      <w:pPr>
        <w:rPr>
          <w:rFonts w:ascii="Times New Roman" w:hAnsi="Times New Roman" w:cs="Times New Roman"/>
          <w:sz w:val="24"/>
          <w:szCs w:val="24"/>
        </w:rPr>
      </w:pPr>
    </w:p>
    <w:p w14:paraId="1B1AA00F" w14:textId="77777777" w:rsidR="003220B2" w:rsidRPr="007D6444" w:rsidRDefault="003220B2" w:rsidP="007D6444">
      <w:pPr>
        <w:rPr>
          <w:rFonts w:ascii="Times New Roman" w:hAnsi="Times New Roman" w:cs="Times New Roman"/>
          <w:sz w:val="24"/>
          <w:szCs w:val="24"/>
        </w:rPr>
      </w:pPr>
    </w:p>
    <w:p w14:paraId="0048FA07" w14:textId="7E021A6F" w:rsidR="007D6444" w:rsidRPr="007B43CF" w:rsidRDefault="007D6444" w:rsidP="00C121B9">
      <w:pPr>
        <w:pStyle w:val="Heading2"/>
      </w:pPr>
      <w:r w:rsidRPr="007D6444">
        <w:t>3Secondary Option: Non-Contact Ultrasonic Sensors</w:t>
      </w:r>
    </w:p>
    <w:p w14:paraId="73D86E66" w14:textId="7709FC23" w:rsidR="003220B2" w:rsidRPr="007D6444" w:rsidRDefault="003220B2" w:rsidP="003220B2">
      <w:pPr>
        <w:jc w:val="center"/>
        <w:rPr>
          <w:rFonts w:ascii="Times New Roman" w:hAnsi="Times New Roman" w:cs="Times New Roman"/>
          <w:sz w:val="24"/>
          <w:szCs w:val="24"/>
        </w:rPr>
      </w:pPr>
      <w:r w:rsidRPr="007B43CF">
        <w:rPr>
          <w:rFonts w:ascii="Times New Roman" w:hAnsi="Times New Roman" w:cs="Times New Roman"/>
          <w:sz w:val="24"/>
          <w:szCs w:val="24"/>
        </w:rPr>
        <w:drawing>
          <wp:inline distT="0" distB="0" distL="0" distR="0" wp14:anchorId="551AC6A5" wp14:editId="1FFF0927">
            <wp:extent cx="4088765" cy="2952000"/>
            <wp:effectExtent l="0" t="0" r="6985" b="1270"/>
            <wp:docPr id="1074444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4375" name="Picture 1074444375"/>
                    <pic:cNvPicPr/>
                  </pic:nvPicPr>
                  <pic:blipFill rotWithShape="1">
                    <a:blip r:embed="rId15"/>
                    <a:srcRect b="3301"/>
                    <a:stretch>
                      <a:fillRect/>
                    </a:stretch>
                  </pic:blipFill>
                  <pic:spPr bwMode="auto">
                    <a:xfrm>
                      <a:off x="0" y="0"/>
                      <a:ext cx="4104521" cy="2963375"/>
                    </a:xfrm>
                    <a:prstGeom prst="rect">
                      <a:avLst/>
                    </a:prstGeom>
                    <a:ln>
                      <a:noFill/>
                    </a:ln>
                    <a:extLst>
                      <a:ext uri="{53640926-AAD7-44D8-BBD7-CCE9431645EC}">
                        <a14:shadowObscured xmlns:a14="http://schemas.microsoft.com/office/drawing/2010/main"/>
                      </a:ext>
                    </a:extLst>
                  </pic:spPr>
                </pic:pic>
              </a:graphicData>
            </a:graphic>
          </wp:inline>
        </w:drawing>
      </w:r>
    </w:p>
    <w:p w14:paraId="0AAC953F" w14:textId="77777777" w:rsidR="007D6444" w:rsidRPr="007D6444" w:rsidRDefault="007D6444" w:rsidP="007B43CF">
      <w:pPr>
        <w:numPr>
          <w:ilvl w:val="0"/>
          <w:numId w:val="25"/>
        </w:numPr>
        <w:rPr>
          <w:rFonts w:ascii="Times New Roman" w:hAnsi="Times New Roman" w:cs="Times New Roman"/>
          <w:sz w:val="24"/>
          <w:szCs w:val="24"/>
        </w:rPr>
      </w:pPr>
      <w:r w:rsidRPr="007D6444">
        <w:rPr>
          <w:rFonts w:ascii="Times New Roman" w:hAnsi="Times New Roman" w:cs="Times New Roman"/>
          <w:sz w:val="24"/>
          <w:szCs w:val="24"/>
        </w:rPr>
        <w:t>Ultrasonic sensors provide a non-contact alternative at a lower initial cost.</w:t>
      </w:r>
    </w:p>
    <w:p w14:paraId="19E635EE" w14:textId="77777777" w:rsidR="007D6444" w:rsidRPr="007D6444" w:rsidRDefault="007D6444" w:rsidP="007B43CF">
      <w:pPr>
        <w:numPr>
          <w:ilvl w:val="0"/>
          <w:numId w:val="25"/>
        </w:numPr>
        <w:rPr>
          <w:rFonts w:ascii="Times New Roman" w:hAnsi="Times New Roman" w:cs="Times New Roman"/>
          <w:sz w:val="24"/>
          <w:szCs w:val="24"/>
        </w:rPr>
      </w:pPr>
      <w:r w:rsidRPr="007D6444">
        <w:rPr>
          <w:rFonts w:ascii="Times New Roman" w:hAnsi="Times New Roman" w:cs="Times New Roman"/>
          <w:sz w:val="24"/>
          <w:szCs w:val="24"/>
        </w:rPr>
        <w:t>Drawbacks in Floods: Acoustic waves rely on sound propagation through air, making them sensitive to air temperature changes. Furthermore, heavy surface foam and violent water turbulence reflect or absorb sound waves, creating false echoes or signal loss.</w:t>
      </w:r>
    </w:p>
    <w:p w14:paraId="2FAFBB7A" w14:textId="77777777" w:rsidR="007D6444" w:rsidRPr="007D6444" w:rsidRDefault="007D6444" w:rsidP="007B43CF">
      <w:pPr>
        <w:numPr>
          <w:ilvl w:val="0"/>
          <w:numId w:val="25"/>
        </w:numPr>
        <w:rPr>
          <w:rFonts w:ascii="Times New Roman" w:hAnsi="Times New Roman" w:cs="Times New Roman"/>
          <w:sz w:val="24"/>
          <w:szCs w:val="24"/>
        </w:rPr>
      </w:pPr>
      <w:r w:rsidRPr="007D6444">
        <w:rPr>
          <w:rFonts w:ascii="Times New Roman" w:hAnsi="Times New Roman" w:cs="Times New Roman"/>
          <w:sz w:val="24"/>
          <w:szCs w:val="24"/>
        </w:rPr>
        <w:t>Mitigation: If ultrasonic sensors are chosen for budget reasons, they should be installed with a perforated guide pipe (stilling tube) to dampen surface turbulence and foam.</w:t>
      </w:r>
    </w:p>
    <w:p w14:paraId="03B8019E" w14:textId="0E74DBEC" w:rsidR="007D6444" w:rsidRPr="007D6444" w:rsidRDefault="007D6444" w:rsidP="007D6444">
      <w:pPr>
        <w:rPr>
          <w:rFonts w:ascii="Times New Roman" w:hAnsi="Times New Roman" w:cs="Times New Roman"/>
          <w:sz w:val="24"/>
          <w:szCs w:val="24"/>
        </w:rPr>
      </w:pPr>
    </w:p>
    <w:p w14:paraId="4522AE67" w14:textId="77777777" w:rsidR="007D6444" w:rsidRPr="007D6444" w:rsidRDefault="007D6444" w:rsidP="007D6444">
      <w:pPr>
        <w:rPr>
          <w:rFonts w:ascii="Times New Roman" w:hAnsi="Times New Roman" w:cs="Times New Roman"/>
          <w:sz w:val="24"/>
          <w:szCs w:val="24"/>
        </w:rPr>
      </w:pPr>
      <w:r w:rsidRPr="007D6444">
        <w:rPr>
          <w:rFonts w:ascii="Times New Roman" w:hAnsi="Times New Roman" w:cs="Times New Roman"/>
          <w:sz w:val="24"/>
          <w:szCs w:val="24"/>
        </w:rPr>
        <w:t>Summary Conclusion</w:t>
      </w:r>
    </w:p>
    <w:p w14:paraId="5E8976C0" w14:textId="77777777" w:rsidR="007D6444" w:rsidRPr="007D6444" w:rsidRDefault="007D6444" w:rsidP="007D6444">
      <w:pPr>
        <w:rPr>
          <w:rFonts w:ascii="Times New Roman" w:hAnsi="Times New Roman" w:cs="Times New Roman"/>
          <w:sz w:val="24"/>
          <w:szCs w:val="24"/>
        </w:rPr>
      </w:pPr>
      <w:r w:rsidRPr="007D6444">
        <w:rPr>
          <w:rFonts w:ascii="Times New Roman" w:hAnsi="Times New Roman" w:cs="Times New Roman"/>
          <w:sz w:val="24"/>
          <w:szCs w:val="24"/>
        </w:rPr>
        <w:t>The 80 GHz Non-Contact Radar Sensor is the most robust, low-maintenance choice for box culverts. It reliably captures high flood levels through heavy storm turbulence while tracking bed sediment buildup during low flows without any risk of sensor burial or fouling</w:t>
      </w:r>
    </w:p>
    <w:p w14:paraId="73A78282" w14:textId="77777777" w:rsidR="007D6444" w:rsidRDefault="007D6444">
      <w:pPr>
        <w:rPr>
          <w:rFonts w:ascii="Times New Roman" w:hAnsi="Times New Roman" w:cs="Times New Roman"/>
          <w:sz w:val="24"/>
          <w:szCs w:val="24"/>
        </w:rPr>
      </w:pPr>
    </w:p>
    <w:p w14:paraId="379B2C6C" w14:textId="77777777" w:rsidR="007B43CF" w:rsidRDefault="007B43CF">
      <w:pPr>
        <w:rPr>
          <w:rFonts w:ascii="Times New Roman" w:hAnsi="Times New Roman" w:cs="Times New Roman"/>
          <w:sz w:val="24"/>
          <w:szCs w:val="24"/>
        </w:rPr>
      </w:pPr>
    </w:p>
    <w:p w14:paraId="4F240882" w14:textId="77777777" w:rsidR="007B43CF" w:rsidRDefault="007B43CF">
      <w:pPr>
        <w:rPr>
          <w:rFonts w:ascii="Times New Roman" w:hAnsi="Times New Roman" w:cs="Times New Roman"/>
          <w:sz w:val="24"/>
          <w:szCs w:val="24"/>
        </w:rPr>
      </w:pPr>
    </w:p>
    <w:p w14:paraId="7611D8B1" w14:textId="77777777" w:rsidR="007B43CF" w:rsidRDefault="007B43CF">
      <w:pPr>
        <w:rPr>
          <w:rFonts w:ascii="Times New Roman" w:hAnsi="Times New Roman" w:cs="Times New Roman"/>
          <w:sz w:val="24"/>
          <w:szCs w:val="24"/>
        </w:rPr>
      </w:pPr>
    </w:p>
    <w:p w14:paraId="5DC67906" w14:textId="77777777" w:rsidR="007B43CF" w:rsidRDefault="007B43CF">
      <w:pPr>
        <w:rPr>
          <w:rFonts w:ascii="Times New Roman" w:hAnsi="Times New Roman" w:cs="Times New Roman"/>
          <w:sz w:val="24"/>
          <w:szCs w:val="24"/>
        </w:rPr>
      </w:pPr>
    </w:p>
    <w:p w14:paraId="615E63F3" w14:textId="36D041D3" w:rsidR="00B7082F" w:rsidRPr="00DC42D1" w:rsidRDefault="00000000" w:rsidP="00C121B9">
      <w:pPr>
        <w:pStyle w:val="Heading1"/>
      </w:pPr>
      <w:r w:rsidRPr="00DC42D1">
        <w:lastRenderedPageBreak/>
        <w:t>Upstream and Downstream Monitoring Concept</w:t>
      </w:r>
    </w:p>
    <w:p w14:paraId="7D2D48D3"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A two-point configuration is useful when the research question concerns blockage, restriction or sedimentation. The upstream level can rise relative to the downstream level when the hydraulic resistance of the crossing increases. The difference can be represented as:</w:t>
      </w:r>
    </w:p>
    <w:p w14:paraId="4D4FC7E7" w14:textId="52096377" w:rsidR="00B7082F" w:rsidRDefault="007B43CF" w:rsidP="007B43CF">
      <w:pPr>
        <w:pStyle w:val="MTDisplayEquation"/>
        <w:jc w:val="center"/>
      </w:pPr>
      <w:r w:rsidRPr="007B43CF">
        <w:rPr>
          <w:position w:val="-10"/>
        </w:rPr>
        <w:object w:dxaOrig="4180" w:dyaOrig="320" w14:anchorId="0E79ABEC">
          <v:shape id="_x0000_i1082" type="#_x0000_t75" style="width:209pt;height:16pt" o:ole="">
            <v:imagedata r:id="rId16" o:title=""/>
          </v:shape>
          <o:OLEObject Type="Embed" ProgID="Equation.DSMT4" ShapeID="_x0000_i1082" DrawAspect="Content" ObjectID="_1851974755" r:id="rId17"/>
        </w:object>
      </w:r>
    </w:p>
    <w:p w14:paraId="5DB60947" w14:textId="221AAC81" w:rsidR="00F47C71" w:rsidRPr="00F47C71" w:rsidRDefault="00F47C71" w:rsidP="00F47C71">
      <w:pPr>
        <w:jc w:val="center"/>
      </w:pPr>
      <w:r>
        <w:rPr>
          <w:noProof/>
        </w:rPr>
        <w:drawing>
          <wp:inline distT="0" distB="0" distL="0" distR="0" wp14:anchorId="745893EC" wp14:editId="66E4F8FB">
            <wp:extent cx="4493392" cy="2376000"/>
            <wp:effectExtent l="0" t="0" r="2540" b="5715"/>
            <wp:docPr id="1262976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76774" name="Picture 1262976774"/>
                    <pic:cNvPicPr/>
                  </pic:nvPicPr>
                  <pic:blipFill rotWithShape="1">
                    <a:blip r:embed="rId18"/>
                    <a:srcRect b="5260"/>
                    <a:stretch>
                      <a:fillRect/>
                    </a:stretch>
                  </pic:blipFill>
                  <pic:spPr bwMode="auto">
                    <a:xfrm>
                      <a:off x="0" y="0"/>
                      <a:ext cx="4511127" cy="2385378"/>
                    </a:xfrm>
                    <a:prstGeom prst="rect">
                      <a:avLst/>
                    </a:prstGeom>
                    <a:ln>
                      <a:noFill/>
                    </a:ln>
                    <a:extLst>
                      <a:ext uri="{53640926-AAD7-44D8-BBD7-CCE9431645EC}">
                        <a14:shadowObscured xmlns:a14="http://schemas.microsoft.com/office/drawing/2010/main"/>
                      </a:ext>
                    </a:extLst>
                  </pic:spPr>
                </pic:pic>
              </a:graphicData>
            </a:graphic>
          </wp:inline>
        </w:drawing>
      </w:r>
    </w:p>
    <w:p w14:paraId="11049D3F" w14:textId="2287A965" w:rsidR="00B7082F" w:rsidRPr="00DC42D1" w:rsidRDefault="00000000" w:rsidP="00C121B9">
      <w:pPr>
        <w:pStyle w:val="Heading1"/>
      </w:pPr>
      <w:r w:rsidRPr="00DC42D1">
        <w:t>Where the Sensor Should NOT Go</w:t>
      </w:r>
    </w:p>
    <w:p w14:paraId="79113AD9"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Directly on the culvert invert where silt accumulates.</w:t>
      </w:r>
    </w:p>
    <w:p w14:paraId="250B832E"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Immediately at the culvert entrance where branches, plastic and splash strike the sensor.</w:t>
      </w:r>
    </w:p>
    <w:p w14:paraId="45B4485D"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In the centre of the flow where cleaning equipment can hit it.</w:t>
      </w:r>
    </w:p>
    <w:p w14:paraId="3048EAA8"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In a location that must be removed for routine desilting.</w:t>
      </w:r>
    </w:p>
    <w:p w14:paraId="785F04D2"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At a drainage section that is about to be reconstructed, widened or replaced.</w:t>
      </w:r>
    </w:p>
    <w:p w14:paraId="7048EBAA" w14:textId="77777777" w:rsidR="00B7082F" w:rsidRPr="00DC42D1" w:rsidRDefault="00000000" w:rsidP="00D40D1D">
      <w:pPr>
        <w:pStyle w:val="ListBullet"/>
        <w:numPr>
          <w:ilvl w:val="0"/>
          <w:numId w:val="26"/>
        </w:numPr>
        <w:rPr>
          <w:rFonts w:ascii="Times New Roman" w:hAnsi="Times New Roman" w:cs="Times New Roman"/>
          <w:sz w:val="24"/>
          <w:szCs w:val="24"/>
        </w:rPr>
      </w:pPr>
      <w:r w:rsidRPr="00DC42D1">
        <w:rPr>
          <w:rFonts w:ascii="Times New Roman" w:hAnsi="Times New Roman" w:cs="Times New Roman"/>
          <w:sz w:val="24"/>
          <w:szCs w:val="24"/>
        </w:rPr>
        <w:t>In a visibly accessible position where the electronics can easily be stolen or tampered with.</w:t>
      </w:r>
    </w:p>
    <w:p w14:paraId="3885D0DE" w14:textId="01F93F6B" w:rsidR="00B7082F" w:rsidRPr="00DC42D1" w:rsidRDefault="00000000" w:rsidP="00C121B9">
      <w:pPr>
        <w:pStyle w:val="Heading1"/>
      </w:pPr>
      <w:r w:rsidRPr="00DC42D1">
        <w:t xml:space="preserve"> Construction and Maintenance Considerations</w:t>
      </w:r>
    </w:p>
    <w:p w14:paraId="0AF2D544" w14:textId="77777777" w:rsidR="00D40D1D" w:rsidRDefault="00000000">
      <w:pPr>
        <w:rPr>
          <w:rFonts w:ascii="Times New Roman" w:hAnsi="Times New Roman" w:cs="Times New Roman"/>
          <w:sz w:val="24"/>
          <w:szCs w:val="24"/>
        </w:rPr>
      </w:pPr>
      <w:r w:rsidRPr="00DC42D1">
        <w:rPr>
          <w:rFonts w:ascii="Times New Roman" w:hAnsi="Times New Roman" w:cs="Times New Roman"/>
          <w:sz w:val="24"/>
          <w:szCs w:val="24"/>
        </w:rPr>
        <w:t>KCCA undertakes routine drainage maintenance, including manual and mechanised desilting/clearing, and has also involved communities, local leaders and private-sector partners in drainage and waste-management activities. The prototype therefore has to be designed around maintenance operations, not merely hydraulic measurement.</w:t>
      </w:r>
    </w:p>
    <w:p w14:paraId="4915EE7B" w14:textId="77777777" w:rsidR="00D40D1D" w:rsidRDefault="00D40D1D">
      <w:pPr>
        <w:rPr>
          <w:rFonts w:ascii="Times New Roman" w:hAnsi="Times New Roman" w:cs="Times New Roman"/>
          <w:sz w:val="24"/>
          <w:szCs w:val="24"/>
        </w:rPr>
      </w:pPr>
    </w:p>
    <w:p w14:paraId="40EAB788" w14:textId="77777777" w:rsidR="00D40D1D" w:rsidRDefault="00D40D1D">
      <w:pPr>
        <w:rPr>
          <w:rFonts w:ascii="Times New Roman" w:hAnsi="Times New Roman" w:cs="Times New Roman"/>
          <w:sz w:val="24"/>
          <w:szCs w:val="24"/>
        </w:rPr>
      </w:pPr>
    </w:p>
    <w:p w14:paraId="2D8C14DD" w14:textId="77777777" w:rsidR="00D40D1D" w:rsidRDefault="00D40D1D">
      <w:pPr>
        <w:rPr>
          <w:rFonts w:ascii="Times New Roman" w:hAnsi="Times New Roman" w:cs="Times New Roman"/>
          <w:sz w:val="24"/>
          <w:szCs w:val="24"/>
        </w:rPr>
      </w:pPr>
    </w:p>
    <w:p w14:paraId="667CD2FF" w14:textId="77777777" w:rsidR="00D40D1D" w:rsidRDefault="00D40D1D">
      <w:pPr>
        <w:rPr>
          <w:rFonts w:ascii="Times New Roman" w:hAnsi="Times New Roman" w:cs="Times New Roman"/>
          <w:sz w:val="24"/>
          <w:szCs w:val="24"/>
        </w:rPr>
      </w:pPr>
    </w:p>
    <w:p w14:paraId="5E5BC8E3" w14:textId="77777777" w:rsidR="00D40D1D" w:rsidRDefault="00D40D1D">
      <w:pPr>
        <w:rPr>
          <w:rFonts w:ascii="Times New Roman" w:hAnsi="Times New Roman" w:cs="Times New Roman"/>
          <w:sz w:val="24"/>
          <w:szCs w:val="24"/>
        </w:rPr>
      </w:pPr>
    </w:p>
    <w:p w14:paraId="0326D4DA" w14:textId="77777777" w:rsidR="00D40D1D" w:rsidRDefault="00D40D1D">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370"/>
        <w:gridCol w:w="4688"/>
      </w:tblGrid>
      <w:tr w:rsidR="00D40D1D" w:rsidRPr="00D40D1D" w14:paraId="1A6BE510" w14:textId="77777777">
        <w:trPr>
          <w:tblCellSpacing w:w="15" w:type="dxa"/>
        </w:trPr>
        <w:tc>
          <w:tcPr>
            <w:tcW w:w="0" w:type="auto"/>
            <w:vAlign w:val="center"/>
            <w:hideMark/>
          </w:tcPr>
          <w:p w14:paraId="21693B6E"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lastRenderedPageBreak/>
              <w:t>Threat</w:t>
            </w:r>
          </w:p>
        </w:tc>
        <w:tc>
          <w:tcPr>
            <w:tcW w:w="0" w:type="auto"/>
            <w:vAlign w:val="center"/>
            <w:hideMark/>
          </w:tcPr>
          <w:p w14:paraId="5D19B6F0"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t>What can happen</w:t>
            </w:r>
          </w:p>
        </w:tc>
        <w:tc>
          <w:tcPr>
            <w:tcW w:w="0" w:type="auto"/>
            <w:vAlign w:val="center"/>
            <w:hideMark/>
          </w:tcPr>
          <w:p w14:paraId="3E8BF612"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t>Design response</w:t>
            </w:r>
          </w:p>
        </w:tc>
      </w:tr>
      <w:tr w:rsidR="00D40D1D" w:rsidRPr="00D40D1D" w14:paraId="5BBFF3C4" w14:textId="77777777">
        <w:trPr>
          <w:tblCellSpacing w:w="15" w:type="dxa"/>
        </w:trPr>
        <w:tc>
          <w:tcPr>
            <w:tcW w:w="0" w:type="auto"/>
            <w:vAlign w:val="center"/>
            <w:hideMark/>
          </w:tcPr>
          <w:p w14:paraId="383F4618"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b/>
                <w:bCs/>
                <w:sz w:val="24"/>
                <w:szCs w:val="24"/>
                <w:lang w:val="en-UG"/>
              </w:rPr>
              <w:t>Internal Structural Echoes &amp; Condensation</w:t>
            </w:r>
          </w:p>
        </w:tc>
        <w:tc>
          <w:tcPr>
            <w:tcW w:w="0" w:type="auto"/>
            <w:vAlign w:val="center"/>
            <w:hideMark/>
          </w:tcPr>
          <w:p w14:paraId="6E70D1CB"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Microwave beam reflecting off concrete sidewalls/ribs causes false level readings; moisture on the antenna causes signal attenuation.</w:t>
            </w:r>
          </w:p>
        </w:tc>
        <w:tc>
          <w:tcPr>
            <w:tcW w:w="0" w:type="auto"/>
            <w:vAlign w:val="center"/>
            <w:hideMark/>
          </w:tcPr>
          <w:p w14:paraId="792D5918"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 xml:space="preserve">Use high-frequency </w:t>
            </w:r>
            <w:r w:rsidRPr="00D40D1D">
              <w:rPr>
                <w:rFonts w:ascii="Times New Roman" w:hAnsi="Times New Roman" w:cs="Times New Roman"/>
                <w:b/>
                <w:bCs/>
                <w:sz w:val="24"/>
                <w:szCs w:val="24"/>
                <w:lang w:val="en-UG"/>
              </w:rPr>
              <w:t>80 GHz radar</w:t>
            </w:r>
            <w:r w:rsidRPr="00D40D1D">
              <w:rPr>
                <w:rFonts w:ascii="Times New Roman" w:hAnsi="Times New Roman" w:cs="Times New Roman"/>
                <w:sz w:val="24"/>
                <w:szCs w:val="24"/>
                <w:lang w:val="en-UG"/>
              </w:rPr>
              <w:t xml:space="preserve"> with a narrow beam angle (e.g., 3°), mount along the </w:t>
            </w:r>
            <w:proofErr w:type="spellStart"/>
            <w:r w:rsidRPr="00D40D1D">
              <w:rPr>
                <w:rFonts w:ascii="Times New Roman" w:hAnsi="Times New Roman" w:cs="Times New Roman"/>
                <w:sz w:val="24"/>
                <w:szCs w:val="24"/>
                <w:lang w:val="en-UG"/>
              </w:rPr>
              <w:t>center</w:t>
            </w:r>
            <w:proofErr w:type="spellEnd"/>
            <w:r w:rsidRPr="00D40D1D">
              <w:rPr>
                <w:rFonts w:ascii="Times New Roman" w:hAnsi="Times New Roman" w:cs="Times New Roman"/>
                <w:sz w:val="24"/>
                <w:szCs w:val="24"/>
                <w:lang w:val="en-UG"/>
              </w:rPr>
              <w:t xml:space="preserve"> ceiling slab away from walls, utilize hydrophobic PTFE/PFA antenna material, and enable software false-echo masking.</w:t>
            </w:r>
          </w:p>
        </w:tc>
      </w:tr>
    </w:tbl>
    <w:p w14:paraId="6DF77E64"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pict w14:anchorId="20EC3991">
          <v:rect id="_x0000_i1091" style="width:0;height:1.5pt" o:hralign="center" o:hrstd="t" o:hr="t" fillcolor="#a0a0a0" stroked="f"/>
        </w:pict>
      </w:r>
    </w:p>
    <w:p w14:paraId="4AB8BA83"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b/>
          <w:bCs/>
          <w:sz w:val="24"/>
          <w:szCs w:val="24"/>
          <w:lang w:val="en-UG"/>
        </w:rPr>
        <w:t>Alternative Radar-Specific Threat Entries (if needed for your design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3174"/>
        <w:gridCol w:w="4607"/>
      </w:tblGrid>
      <w:tr w:rsidR="00D40D1D" w:rsidRPr="00D40D1D" w14:paraId="0735D340" w14:textId="77777777">
        <w:trPr>
          <w:tblCellSpacing w:w="15" w:type="dxa"/>
        </w:trPr>
        <w:tc>
          <w:tcPr>
            <w:tcW w:w="0" w:type="auto"/>
            <w:vAlign w:val="center"/>
            <w:hideMark/>
          </w:tcPr>
          <w:p w14:paraId="2BD81AEB"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t>Threat</w:t>
            </w:r>
          </w:p>
        </w:tc>
        <w:tc>
          <w:tcPr>
            <w:tcW w:w="0" w:type="auto"/>
            <w:vAlign w:val="center"/>
            <w:hideMark/>
          </w:tcPr>
          <w:p w14:paraId="1C8D6F5B"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t>What can happen</w:t>
            </w:r>
          </w:p>
        </w:tc>
        <w:tc>
          <w:tcPr>
            <w:tcW w:w="0" w:type="auto"/>
            <w:vAlign w:val="center"/>
            <w:hideMark/>
          </w:tcPr>
          <w:p w14:paraId="78F5C28F" w14:textId="77777777" w:rsidR="00D40D1D" w:rsidRPr="00D40D1D" w:rsidRDefault="00D40D1D" w:rsidP="00D40D1D">
            <w:pPr>
              <w:rPr>
                <w:rFonts w:ascii="Times New Roman" w:hAnsi="Times New Roman" w:cs="Times New Roman"/>
                <w:b/>
                <w:bCs/>
                <w:sz w:val="24"/>
                <w:szCs w:val="24"/>
                <w:lang w:val="en-UG"/>
              </w:rPr>
            </w:pPr>
            <w:r w:rsidRPr="00D40D1D">
              <w:rPr>
                <w:rFonts w:ascii="Times New Roman" w:hAnsi="Times New Roman" w:cs="Times New Roman"/>
                <w:b/>
                <w:bCs/>
                <w:sz w:val="24"/>
                <w:szCs w:val="24"/>
                <w:lang w:val="en-UG"/>
              </w:rPr>
              <w:t>Design response</w:t>
            </w:r>
          </w:p>
        </w:tc>
      </w:tr>
      <w:tr w:rsidR="00D40D1D" w:rsidRPr="00D40D1D" w14:paraId="3AD3CF97" w14:textId="77777777">
        <w:trPr>
          <w:tblCellSpacing w:w="15" w:type="dxa"/>
        </w:trPr>
        <w:tc>
          <w:tcPr>
            <w:tcW w:w="0" w:type="auto"/>
            <w:vAlign w:val="center"/>
            <w:hideMark/>
          </w:tcPr>
          <w:p w14:paraId="36F5F5EC"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b/>
                <w:bCs/>
                <w:sz w:val="24"/>
                <w:szCs w:val="24"/>
                <w:lang w:val="en-UG"/>
              </w:rPr>
              <w:t>Culvert Submersion / Over-topping Flood</w:t>
            </w:r>
          </w:p>
        </w:tc>
        <w:tc>
          <w:tcPr>
            <w:tcW w:w="0" w:type="auto"/>
            <w:vAlign w:val="center"/>
            <w:hideMark/>
          </w:tcPr>
          <w:p w14:paraId="14E83701"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Severe floodwaters rise to the ceiling slab, completely submerging the sensor unit.</w:t>
            </w:r>
          </w:p>
        </w:tc>
        <w:tc>
          <w:tcPr>
            <w:tcW w:w="0" w:type="auto"/>
            <w:vAlign w:val="center"/>
            <w:hideMark/>
          </w:tcPr>
          <w:p w14:paraId="2B92D3CB"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 xml:space="preserve">Specify an </w:t>
            </w:r>
            <w:r w:rsidRPr="00D40D1D">
              <w:rPr>
                <w:rFonts w:ascii="Times New Roman" w:hAnsi="Times New Roman" w:cs="Times New Roman"/>
                <w:b/>
                <w:bCs/>
                <w:sz w:val="24"/>
                <w:szCs w:val="24"/>
                <w:lang w:val="en-UG"/>
              </w:rPr>
              <w:t>IP68-rated, fully-potted housing</w:t>
            </w:r>
            <w:r w:rsidRPr="00D40D1D">
              <w:rPr>
                <w:rFonts w:ascii="Times New Roman" w:hAnsi="Times New Roman" w:cs="Times New Roman"/>
                <w:sz w:val="24"/>
                <w:szCs w:val="24"/>
                <w:lang w:val="en-UG"/>
              </w:rPr>
              <w:t xml:space="preserve"> (e.g., CPVC / 316SS) with sealed waterproof cable glands, and configure fail-safe full-scale output alerts.</w:t>
            </w:r>
          </w:p>
        </w:tc>
      </w:tr>
      <w:tr w:rsidR="00D40D1D" w:rsidRPr="00D40D1D" w14:paraId="5428FB19" w14:textId="77777777">
        <w:trPr>
          <w:tblCellSpacing w:w="15" w:type="dxa"/>
        </w:trPr>
        <w:tc>
          <w:tcPr>
            <w:tcW w:w="0" w:type="auto"/>
            <w:vAlign w:val="center"/>
            <w:hideMark/>
          </w:tcPr>
          <w:p w14:paraId="6ACF9A36"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b/>
                <w:bCs/>
                <w:sz w:val="24"/>
                <w:szCs w:val="24"/>
                <w:lang w:val="en-UG"/>
              </w:rPr>
              <w:t>Dielectric Constant Variations (Low Reflectivity)</w:t>
            </w:r>
          </w:p>
        </w:tc>
        <w:tc>
          <w:tcPr>
            <w:tcW w:w="0" w:type="auto"/>
            <w:vAlign w:val="center"/>
            <w:hideMark/>
          </w:tcPr>
          <w:p w14:paraId="395BF8F6"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Very clear or low-dielectric liquids reflect weak microwave echo signals back to the sensor.</w:t>
            </w:r>
          </w:p>
        </w:tc>
        <w:tc>
          <w:tcPr>
            <w:tcW w:w="0" w:type="auto"/>
            <w:vAlign w:val="center"/>
            <w:hideMark/>
          </w:tcPr>
          <w:p w14:paraId="186ACC36" w14:textId="77777777" w:rsidR="00D40D1D" w:rsidRPr="00D40D1D" w:rsidRDefault="00D40D1D" w:rsidP="00D40D1D">
            <w:pPr>
              <w:rPr>
                <w:rFonts w:ascii="Times New Roman" w:hAnsi="Times New Roman" w:cs="Times New Roman"/>
                <w:sz w:val="24"/>
                <w:szCs w:val="24"/>
                <w:lang w:val="en-UG"/>
              </w:rPr>
            </w:pPr>
            <w:r w:rsidRPr="00D40D1D">
              <w:rPr>
                <w:rFonts w:ascii="Times New Roman" w:hAnsi="Times New Roman" w:cs="Times New Roman"/>
                <w:sz w:val="24"/>
                <w:szCs w:val="24"/>
                <w:lang w:val="en-UG"/>
              </w:rPr>
              <w:t xml:space="preserve">Utilize </w:t>
            </w:r>
            <w:r w:rsidRPr="00D40D1D">
              <w:rPr>
                <w:rFonts w:ascii="Times New Roman" w:hAnsi="Times New Roman" w:cs="Times New Roman"/>
                <w:b/>
                <w:bCs/>
                <w:sz w:val="24"/>
                <w:szCs w:val="24"/>
                <w:lang w:val="en-UG"/>
              </w:rPr>
              <w:t>FMCW 80 GHz radar</w:t>
            </w:r>
            <w:r w:rsidRPr="00D40D1D">
              <w:rPr>
                <w:rFonts w:ascii="Times New Roman" w:hAnsi="Times New Roman" w:cs="Times New Roman"/>
                <w:sz w:val="24"/>
                <w:szCs w:val="24"/>
                <w:lang w:val="en-UG"/>
              </w:rPr>
              <w:t xml:space="preserve"> with high signal processing gain (TVG) and calibrate sensitivity thresholds for open-channel water</w:t>
            </w:r>
          </w:p>
        </w:tc>
      </w:tr>
    </w:tbl>
    <w:p w14:paraId="0116E964" w14:textId="155C1BED" w:rsidR="00B7082F" w:rsidRPr="00DC42D1" w:rsidRDefault="00000000" w:rsidP="00C121B9">
      <w:pPr>
        <w:pStyle w:val="Heading1"/>
      </w:pPr>
      <w:r w:rsidRPr="00DC42D1">
        <w:t>Environmental and Security Stress Test</w:t>
      </w:r>
    </w:p>
    <w:tbl>
      <w:tblPr>
        <w:tblStyle w:val="TableGrid"/>
        <w:tblW w:w="0" w:type="auto"/>
        <w:tblLook w:val="04A0" w:firstRow="1" w:lastRow="0" w:firstColumn="1" w:lastColumn="0" w:noHBand="0" w:noVBand="1"/>
      </w:tblPr>
      <w:tblGrid>
        <w:gridCol w:w="3357"/>
        <w:gridCol w:w="3356"/>
        <w:gridCol w:w="3357"/>
      </w:tblGrid>
      <w:tr w:rsidR="00B7082F" w:rsidRPr="00DC42D1" w14:paraId="5E2F4925" w14:textId="77777777">
        <w:tc>
          <w:tcPr>
            <w:tcW w:w="3360" w:type="dxa"/>
          </w:tcPr>
          <w:p w14:paraId="67045254"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Threat</w:t>
            </w:r>
          </w:p>
        </w:tc>
        <w:tc>
          <w:tcPr>
            <w:tcW w:w="3360" w:type="dxa"/>
          </w:tcPr>
          <w:p w14:paraId="2BD758C7"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What can happen</w:t>
            </w:r>
          </w:p>
        </w:tc>
        <w:tc>
          <w:tcPr>
            <w:tcW w:w="3360" w:type="dxa"/>
          </w:tcPr>
          <w:p w14:paraId="7F759DAF"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Design response</w:t>
            </w:r>
          </w:p>
        </w:tc>
      </w:tr>
      <w:tr w:rsidR="00B7082F" w:rsidRPr="00DC42D1" w14:paraId="208F6688" w14:textId="77777777">
        <w:tc>
          <w:tcPr>
            <w:tcW w:w="3360" w:type="dxa"/>
          </w:tcPr>
          <w:p w14:paraId="5715F2F9"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Splash/turbulence</w:t>
            </w:r>
          </w:p>
        </w:tc>
        <w:tc>
          <w:tcPr>
            <w:tcW w:w="3360" w:type="dxa"/>
          </w:tcPr>
          <w:p w14:paraId="00170ED5"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False or unstable ultrasonic readings</w:t>
            </w:r>
          </w:p>
        </w:tc>
        <w:tc>
          <w:tcPr>
            <w:tcW w:w="3360" w:type="dxa"/>
          </w:tcPr>
          <w:p w14:paraId="0FA0A2BA"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Move sensor away from inlet splash; use rigid overhead mounting.</w:t>
            </w:r>
          </w:p>
        </w:tc>
      </w:tr>
      <w:tr w:rsidR="00B7082F" w:rsidRPr="00DC42D1" w14:paraId="4EA576DF" w14:textId="77777777">
        <w:tc>
          <w:tcPr>
            <w:tcW w:w="3360" w:type="dxa"/>
          </w:tcPr>
          <w:p w14:paraId="385D2FF0"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Trash/debris</w:t>
            </w:r>
          </w:p>
        </w:tc>
        <w:tc>
          <w:tcPr>
            <w:tcW w:w="3360" w:type="dxa"/>
          </w:tcPr>
          <w:p w14:paraId="6A04EB38"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Sensor blocked or physically struck</w:t>
            </w:r>
          </w:p>
        </w:tc>
        <w:tc>
          <w:tcPr>
            <w:tcW w:w="3360" w:type="dxa"/>
          </w:tcPr>
          <w:p w14:paraId="59C0A5CC"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Keep sensing path out of debris accumulation zone.</w:t>
            </w:r>
          </w:p>
        </w:tc>
      </w:tr>
      <w:tr w:rsidR="00B7082F" w:rsidRPr="00DC42D1" w14:paraId="32FE0BC2" w14:textId="77777777">
        <w:tc>
          <w:tcPr>
            <w:tcW w:w="3360" w:type="dxa"/>
          </w:tcPr>
          <w:p w14:paraId="3CCE3B34"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Silt</w:t>
            </w:r>
          </w:p>
        </w:tc>
        <w:tc>
          <w:tcPr>
            <w:tcW w:w="3360" w:type="dxa"/>
          </w:tcPr>
          <w:p w14:paraId="4EC20CD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Pressure sensor buried; invert measurement changes</w:t>
            </w:r>
          </w:p>
        </w:tc>
        <w:tc>
          <w:tcPr>
            <w:tcW w:w="3360" w:type="dxa"/>
          </w:tcPr>
          <w:p w14:paraId="05734A82"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Use overhead ultrasonic or protected pressure arrangement.</w:t>
            </w:r>
          </w:p>
        </w:tc>
      </w:tr>
      <w:tr w:rsidR="00B7082F" w:rsidRPr="00DC42D1" w14:paraId="1580D773" w14:textId="77777777">
        <w:tc>
          <w:tcPr>
            <w:tcW w:w="3360" w:type="dxa"/>
          </w:tcPr>
          <w:p w14:paraId="5715E399"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Sun/heat/UV</w:t>
            </w:r>
          </w:p>
        </w:tc>
        <w:tc>
          <w:tcPr>
            <w:tcW w:w="3360" w:type="dxa"/>
          </w:tcPr>
          <w:p w14:paraId="7DC9416A"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Enclosure and electronics degrade</w:t>
            </w:r>
          </w:p>
        </w:tc>
        <w:tc>
          <w:tcPr>
            <w:tcW w:w="3360" w:type="dxa"/>
          </w:tcPr>
          <w:p w14:paraId="2CDF81BC"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Use suitable weather-resistant enclosure and shielding.</w:t>
            </w:r>
          </w:p>
        </w:tc>
      </w:tr>
      <w:tr w:rsidR="00B7082F" w:rsidRPr="00DC42D1" w14:paraId="3DCD95B6" w14:textId="77777777">
        <w:tc>
          <w:tcPr>
            <w:tcW w:w="3360" w:type="dxa"/>
          </w:tcPr>
          <w:p w14:paraId="0AD61B91"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Theft/vandalism</w:t>
            </w:r>
          </w:p>
        </w:tc>
        <w:tc>
          <w:tcPr>
            <w:tcW w:w="3360" w:type="dxa"/>
          </w:tcPr>
          <w:p w14:paraId="52EC3369"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Sensor or electronics removed</w:t>
            </w:r>
          </w:p>
        </w:tc>
        <w:tc>
          <w:tcPr>
            <w:tcW w:w="3360" w:type="dxa"/>
          </w:tcPr>
          <w:p w14:paraId="4A7D23A7"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Lockable enclosure, concealed/protected cable, tamper-resistant mounting.</w:t>
            </w:r>
          </w:p>
        </w:tc>
      </w:tr>
      <w:tr w:rsidR="00B7082F" w:rsidRPr="00DC42D1" w14:paraId="0F4E1CFA" w14:textId="77777777">
        <w:tc>
          <w:tcPr>
            <w:tcW w:w="3360" w:type="dxa"/>
          </w:tcPr>
          <w:p w14:paraId="12F52B01"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Desilting</w:t>
            </w:r>
          </w:p>
        </w:tc>
        <w:tc>
          <w:tcPr>
            <w:tcW w:w="3360" w:type="dxa"/>
          </w:tcPr>
          <w:p w14:paraId="627F8E91"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Maintenance crew damages or removes sensor</w:t>
            </w:r>
          </w:p>
        </w:tc>
        <w:tc>
          <w:tcPr>
            <w:tcW w:w="3360" w:type="dxa"/>
          </w:tcPr>
          <w:p w14:paraId="528D3C46"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Mount outside normal shovel/cleaning path; coordinate with maintenance team.</w:t>
            </w:r>
          </w:p>
        </w:tc>
      </w:tr>
    </w:tbl>
    <w:p w14:paraId="58BDED8D" w14:textId="77777777" w:rsidR="00C121B9" w:rsidRDefault="00C121B9" w:rsidP="00C121B9">
      <w:pPr>
        <w:pStyle w:val="Heading1"/>
        <w:numPr>
          <w:ilvl w:val="0"/>
          <w:numId w:val="0"/>
        </w:numPr>
        <w:rPr>
          <w:rFonts w:cs="Times New Roman"/>
          <w:szCs w:val="24"/>
        </w:rPr>
      </w:pPr>
    </w:p>
    <w:p w14:paraId="42BA6A9A" w14:textId="12C633CD" w:rsidR="00B7082F" w:rsidRPr="00DC42D1" w:rsidRDefault="00000000" w:rsidP="00C121B9">
      <w:pPr>
        <w:pStyle w:val="Heading1"/>
      </w:pPr>
      <w:r w:rsidRPr="00C121B9">
        <w:t>Effect</w:t>
      </w:r>
      <w:r w:rsidRPr="00DC42D1">
        <w:t xml:space="preserve"> of Ongoing KCCA Drainage Construction</w:t>
      </w:r>
    </w:p>
    <w:p w14:paraId="0498703D" w14:textId="77777777" w:rsidR="00B7082F" w:rsidRPr="00DC42D1" w:rsidRDefault="00000000">
      <w:pPr>
        <w:rPr>
          <w:rFonts w:ascii="Times New Roman" w:hAnsi="Times New Roman" w:cs="Times New Roman"/>
          <w:sz w:val="24"/>
          <w:szCs w:val="24"/>
        </w:rPr>
      </w:pPr>
      <w:r w:rsidRPr="00DC42D1">
        <w:rPr>
          <w:rFonts w:ascii="Times New Roman" w:hAnsi="Times New Roman" w:cs="Times New Roman"/>
          <w:sz w:val="24"/>
          <w:szCs w:val="24"/>
        </w:rPr>
        <w:t>Ongoing construction changes the site-selection logic. A newly constructed or actively reconstructed drain can change its cross-section, invert level, inlet geometry and hydraulic behaviour. For a first study, choose an existing structure with stable geometry and documented flooding history. Record the as-built dimensions and take photographs/survey points before installation.</w:t>
      </w:r>
    </w:p>
    <w:p w14:paraId="671682EA"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Confirm whether the selected structure is scheduled for reconstruction.</w:t>
      </w:r>
    </w:p>
    <w:p w14:paraId="65A93208"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Record channel/culvert width, height, invert condition and sediment depth.</w:t>
      </w:r>
    </w:p>
    <w:p w14:paraId="26F153BF"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Identify the nearest upstream and downstream access points.</w:t>
      </w:r>
    </w:p>
    <w:p w14:paraId="13267D03"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Document existing trash accumulation and signs of previous desilting.</w:t>
      </w:r>
    </w:p>
    <w:p w14:paraId="46969F86"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Record rainfall/flow conditions during each sensor test.</w:t>
      </w:r>
    </w:p>
    <w:p w14:paraId="1B72C3CE" w14:textId="77777777" w:rsidR="00B7082F" w:rsidRPr="00DC42D1" w:rsidRDefault="00000000" w:rsidP="00D40D1D">
      <w:pPr>
        <w:pStyle w:val="ListBullet"/>
        <w:numPr>
          <w:ilvl w:val="0"/>
          <w:numId w:val="27"/>
        </w:numPr>
        <w:rPr>
          <w:rFonts w:ascii="Times New Roman" w:hAnsi="Times New Roman" w:cs="Times New Roman"/>
          <w:sz w:val="24"/>
          <w:szCs w:val="24"/>
        </w:rPr>
      </w:pPr>
      <w:r w:rsidRPr="00DC42D1">
        <w:rPr>
          <w:rFonts w:ascii="Times New Roman" w:hAnsi="Times New Roman" w:cs="Times New Roman"/>
          <w:sz w:val="24"/>
          <w:szCs w:val="24"/>
        </w:rPr>
        <w:t>If construction is unavoidable, treat the construction stage as a separate experimental condition rather than mixing different geometries.</w:t>
      </w:r>
    </w:p>
    <w:p w14:paraId="1CCE6D6F" w14:textId="0C4F5382" w:rsidR="00B7082F" w:rsidRDefault="00000000" w:rsidP="00C121B9">
      <w:pPr>
        <w:pStyle w:val="Heading1"/>
      </w:pPr>
      <w:r w:rsidRPr="00DC42D1">
        <w:t>Suggested First Prototype Configuration</w:t>
      </w:r>
    </w:p>
    <w:p w14:paraId="26EB0B64" w14:textId="5078FA09" w:rsidR="00D40D1D" w:rsidRPr="00D40D1D" w:rsidRDefault="00035000" w:rsidP="00035000">
      <w:pPr>
        <w:jc w:val="center"/>
      </w:pPr>
      <w:r>
        <w:rPr>
          <w:noProof/>
        </w:rPr>
        <w:drawing>
          <wp:inline distT="0" distB="0" distL="0" distR="0" wp14:anchorId="4C1D1538" wp14:editId="2738C0DD">
            <wp:extent cx="3426852" cy="3204000"/>
            <wp:effectExtent l="0" t="0" r="2540" b="0"/>
            <wp:docPr id="136408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8102" name="Picture 136408102"/>
                    <pic:cNvPicPr/>
                  </pic:nvPicPr>
                  <pic:blipFill rotWithShape="1">
                    <a:blip r:embed="rId19"/>
                    <a:srcRect b="6504"/>
                    <a:stretch>
                      <a:fillRect/>
                    </a:stretch>
                  </pic:blipFill>
                  <pic:spPr bwMode="auto">
                    <a:xfrm>
                      <a:off x="0" y="0"/>
                      <a:ext cx="3429000" cy="3206009"/>
                    </a:xfrm>
                    <a:prstGeom prst="rect">
                      <a:avLst/>
                    </a:prstGeom>
                    <a:ln>
                      <a:noFill/>
                    </a:ln>
                    <a:extLst>
                      <a:ext uri="{53640926-AAD7-44D8-BBD7-CCE9431645EC}">
                        <a14:shadowObscured xmlns:a14="http://schemas.microsoft.com/office/drawing/2010/main"/>
                      </a:ext>
                    </a:extLst>
                  </pic:spPr>
                </pic:pic>
              </a:graphicData>
            </a:graphic>
          </wp:inline>
        </w:drawing>
      </w:r>
    </w:p>
    <w:p w14:paraId="6AD10550" w14:textId="5735D59E" w:rsidR="00B7082F" w:rsidRPr="00DC42D1" w:rsidRDefault="00000000" w:rsidP="00C121B9">
      <w:pPr>
        <w:pStyle w:val="Heading1"/>
      </w:pPr>
      <w:r w:rsidRPr="00DC42D1">
        <w:t>Practical Research Variables</w:t>
      </w:r>
    </w:p>
    <w:p w14:paraId="6FC5BE4D"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Water level H (m)</w:t>
      </w:r>
    </w:p>
    <w:p w14:paraId="10229413"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 xml:space="preserve">Upstream water level </w:t>
      </w:r>
      <w:proofErr w:type="spellStart"/>
      <w:r w:rsidRPr="00DC42D1">
        <w:rPr>
          <w:rFonts w:ascii="Times New Roman" w:hAnsi="Times New Roman" w:cs="Times New Roman"/>
          <w:sz w:val="24"/>
          <w:szCs w:val="24"/>
        </w:rPr>
        <w:t>H_upstream</w:t>
      </w:r>
      <w:proofErr w:type="spellEnd"/>
      <w:r w:rsidRPr="00DC42D1">
        <w:rPr>
          <w:rFonts w:ascii="Times New Roman" w:hAnsi="Times New Roman" w:cs="Times New Roman"/>
          <w:sz w:val="24"/>
          <w:szCs w:val="24"/>
        </w:rPr>
        <w:t xml:space="preserve"> (m)</w:t>
      </w:r>
    </w:p>
    <w:p w14:paraId="1997595F"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 xml:space="preserve">Downstream water level </w:t>
      </w:r>
      <w:proofErr w:type="spellStart"/>
      <w:r w:rsidRPr="00DC42D1">
        <w:rPr>
          <w:rFonts w:ascii="Times New Roman" w:hAnsi="Times New Roman" w:cs="Times New Roman"/>
          <w:sz w:val="24"/>
          <w:szCs w:val="24"/>
        </w:rPr>
        <w:t>H_downstream</w:t>
      </w:r>
      <w:proofErr w:type="spellEnd"/>
      <w:r w:rsidRPr="00DC42D1">
        <w:rPr>
          <w:rFonts w:ascii="Times New Roman" w:hAnsi="Times New Roman" w:cs="Times New Roman"/>
          <w:sz w:val="24"/>
          <w:szCs w:val="24"/>
        </w:rPr>
        <w:t xml:space="preserve"> (m)</w:t>
      </w:r>
    </w:p>
    <w:p w14:paraId="5E4C5B64"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Head difference ΔH (m)</w:t>
      </w:r>
    </w:p>
    <w:p w14:paraId="325AE8EA"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Rainfall intensity (mm/h), where available</w:t>
      </w:r>
    </w:p>
    <w:p w14:paraId="64A62DD3"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Sediment depth (mm or m)</w:t>
      </w:r>
    </w:p>
    <w:p w14:paraId="5638E92B"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Observed debris/trash condition</w:t>
      </w:r>
    </w:p>
    <w:p w14:paraId="6055F794"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lastRenderedPageBreak/>
        <w:t>Culvert/channel dimensions</w:t>
      </w:r>
    </w:p>
    <w:p w14:paraId="5D07C440"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Time/date and maintenance events</w:t>
      </w:r>
    </w:p>
    <w:p w14:paraId="0E00C323" w14:textId="77777777" w:rsidR="00B7082F" w:rsidRPr="00DC42D1" w:rsidRDefault="00000000" w:rsidP="00C121B9">
      <w:pPr>
        <w:pStyle w:val="ListBullet"/>
        <w:numPr>
          <w:ilvl w:val="0"/>
          <w:numId w:val="37"/>
        </w:numPr>
        <w:rPr>
          <w:rFonts w:ascii="Times New Roman" w:hAnsi="Times New Roman" w:cs="Times New Roman"/>
          <w:sz w:val="24"/>
          <w:szCs w:val="24"/>
        </w:rPr>
      </w:pPr>
      <w:r w:rsidRPr="00DC42D1">
        <w:rPr>
          <w:rFonts w:ascii="Times New Roman" w:hAnsi="Times New Roman" w:cs="Times New Roman"/>
          <w:sz w:val="24"/>
          <w:szCs w:val="24"/>
        </w:rPr>
        <w:t>Sensor quality flag / confidence indicator</w:t>
      </w:r>
    </w:p>
    <w:p w14:paraId="4E4AE12B" w14:textId="7F4F3B1A" w:rsidR="00B7082F" w:rsidRPr="00DC42D1" w:rsidRDefault="00000000" w:rsidP="00C121B9">
      <w:pPr>
        <w:pStyle w:val="Heading1"/>
        <w:numPr>
          <w:ilvl w:val="0"/>
          <w:numId w:val="0"/>
        </w:numPr>
        <w:rPr>
          <w:rFonts w:cs="Times New Roman"/>
          <w:szCs w:val="24"/>
        </w:rPr>
      </w:pPr>
      <w:r w:rsidRPr="00DC42D1">
        <w:rPr>
          <w:rFonts w:cs="Times New Roman"/>
          <w:szCs w:val="24"/>
        </w:rPr>
        <w:t>Key Engineering Takeaway</w:t>
      </w:r>
    </w:p>
    <w:p w14:paraId="762A0A3A" w14:textId="5B6DB19C" w:rsidR="00C121B9" w:rsidRDefault="00000000" w:rsidP="00C121B9">
      <w:pPr>
        <w:rPr>
          <w:rFonts w:ascii="Times New Roman" w:hAnsi="Times New Roman" w:cs="Times New Roman"/>
          <w:sz w:val="24"/>
          <w:szCs w:val="24"/>
        </w:rPr>
      </w:pPr>
      <w:r w:rsidRPr="00DC42D1">
        <w:rPr>
          <w:rFonts w:ascii="Times New Roman" w:hAnsi="Times New Roman" w:cs="Times New Roman"/>
          <w:sz w:val="24"/>
          <w:szCs w:val="24"/>
        </w:rPr>
        <w:t>The strongest first-build concept is not simply 'put a sensor in a blackspot.' It is to select a stable drainage structure where water level has a clear hydraulic meaning, install the sensor where maintenance and debris are least likely to damage it, and collect measurements that can be related to flooding, obstruction and drainage performance.</w:t>
      </w:r>
    </w:p>
    <w:p w14:paraId="7CA117ED" w14:textId="77777777" w:rsidR="00C121B9" w:rsidRDefault="00C121B9" w:rsidP="00C121B9">
      <w:pPr>
        <w:rPr>
          <w:rFonts w:ascii="Times New Roman" w:hAnsi="Times New Roman" w:cs="Times New Roman"/>
          <w:sz w:val="24"/>
          <w:szCs w:val="24"/>
        </w:rPr>
      </w:pPr>
    </w:p>
    <w:p w14:paraId="2141F93C" w14:textId="77777777" w:rsidR="00C121B9" w:rsidRDefault="00C121B9" w:rsidP="00C121B9">
      <w:pPr>
        <w:rPr>
          <w:rFonts w:ascii="Times New Roman" w:hAnsi="Times New Roman" w:cs="Times New Roman"/>
          <w:sz w:val="24"/>
          <w:szCs w:val="24"/>
        </w:rPr>
      </w:pPr>
    </w:p>
    <w:p w14:paraId="47160C9B" w14:textId="77777777" w:rsidR="00C121B9" w:rsidRDefault="00C121B9" w:rsidP="00C121B9">
      <w:pPr>
        <w:rPr>
          <w:rFonts w:ascii="Times New Roman" w:hAnsi="Times New Roman" w:cs="Times New Roman"/>
          <w:sz w:val="24"/>
          <w:szCs w:val="24"/>
        </w:rPr>
      </w:pPr>
    </w:p>
    <w:p w14:paraId="5BA206E0" w14:textId="77777777" w:rsidR="00C121B9" w:rsidRDefault="00C121B9" w:rsidP="00C121B9">
      <w:pPr>
        <w:rPr>
          <w:rFonts w:ascii="Times New Roman" w:hAnsi="Times New Roman" w:cs="Times New Roman"/>
          <w:sz w:val="24"/>
          <w:szCs w:val="24"/>
        </w:rPr>
      </w:pPr>
    </w:p>
    <w:p w14:paraId="6A0E1DED" w14:textId="77777777" w:rsidR="00C121B9" w:rsidRDefault="00C121B9" w:rsidP="00C121B9">
      <w:pPr>
        <w:rPr>
          <w:rFonts w:ascii="Times New Roman" w:hAnsi="Times New Roman" w:cs="Times New Roman"/>
          <w:sz w:val="24"/>
          <w:szCs w:val="24"/>
        </w:rPr>
      </w:pPr>
    </w:p>
    <w:p w14:paraId="7F643BF5" w14:textId="77777777" w:rsidR="00C121B9" w:rsidRDefault="00C121B9" w:rsidP="00C121B9">
      <w:pPr>
        <w:rPr>
          <w:rFonts w:ascii="Times New Roman" w:hAnsi="Times New Roman" w:cs="Times New Roman"/>
          <w:sz w:val="24"/>
          <w:szCs w:val="24"/>
        </w:rPr>
      </w:pPr>
    </w:p>
    <w:p w14:paraId="65846889" w14:textId="77777777" w:rsidR="00C121B9" w:rsidRDefault="00C121B9" w:rsidP="00C121B9">
      <w:pPr>
        <w:rPr>
          <w:rFonts w:ascii="Times New Roman" w:hAnsi="Times New Roman" w:cs="Times New Roman"/>
          <w:sz w:val="24"/>
          <w:szCs w:val="24"/>
        </w:rPr>
      </w:pPr>
    </w:p>
    <w:p w14:paraId="7C8CC79E" w14:textId="77777777" w:rsidR="00C121B9" w:rsidRDefault="00C121B9" w:rsidP="00C121B9">
      <w:pPr>
        <w:rPr>
          <w:rFonts w:ascii="Times New Roman" w:hAnsi="Times New Roman" w:cs="Times New Roman"/>
          <w:sz w:val="24"/>
          <w:szCs w:val="24"/>
        </w:rPr>
      </w:pPr>
    </w:p>
    <w:p w14:paraId="1D9A869F" w14:textId="77777777" w:rsidR="00C121B9" w:rsidRDefault="00C121B9" w:rsidP="00C121B9">
      <w:pPr>
        <w:rPr>
          <w:rFonts w:ascii="Times New Roman" w:hAnsi="Times New Roman" w:cs="Times New Roman"/>
          <w:sz w:val="24"/>
          <w:szCs w:val="24"/>
        </w:rPr>
      </w:pPr>
    </w:p>
    <w:p w14:paraId="315B4EB0" w14:textId="77777777" w:rsidR="00C121B9" w:rsidRDefault="00C121B9" w:rsidP="00C121B9">
      <w:pPr>
        <w:rPr>
          <w:rFonts w:ascii="Times New Roman" w:hAnsi="Times New Roman" w:cs="Times New Roman"/>
          <w:sz w:val="24"/>
          <w:szCs w:val="24"/>
        </w:rPr>
      </w:pPr>
    </w:p>
    <w:p w14:paraId="21ABAA91" w14:textId="77777777" w:rsidR="00C121B9" w:rsidRDefault="00C121B9" w:rsidP="00C121B9">
      <w:pPr>
        <w:rPr>
          <w:rFonts w:ascii="Times New Roman" w:hAnsi="Times New Roman" w:cs="Times New Roman"/>
          <w:sz w:val="24"/>
          <w:szCs w:val="24"/>
        </w:rPr>
      </w:pPr>
    </w:p>
    <w:p w14:paraId="1A158196" w14:textId="77777777" w:rsidR="00C121B9" w:rsidRDefault="00C121B9" w:rsidP="00C121B9">
      <w:pPr>
        <w:rPr>
          <w:rFonts w:ascii="Times New Roman" w:hAnsi="Times New Roman" w:cs="Times New Roman"/>
          <w:sz w:val="24"/>
          <w:szCs w:val="24"/>
        </w:rPr>
      </w:pPr>
    </w:p>
    <w:p w14:paraId="4B44EC91" w14:textId="77777777" w:rsidR="00C121B9" w:rsidRDefault="00C121B9" w:rsidP="00C121B9">
      <w:pPr>
        <w:rPr>
          <w:rFonts w:ascii="Times New Roman" w:hAnsi="Times New Roman" w:cs="Times New Roman"/>
          <w:sz w:val="24"/>
          <w:szCs w:val="24"/>
        </w:rPr>
      </w:pPr>
    </w:p>
    <w:p w14:paraId="2649DD6A" w14:textId="77777777" w:rsidR="00C121B9" w:rsidRDefault="00C121B9" w:rsidP="00C121B9">
      <w:pPr>
        <w:rPr>
          <w:rFonts w:ascii="Times New Roman" w:hAnsi="Times New Roman" w:cs="Times New Roman"/>
          <w:sz w:val="24"/>
          <w:szCs w:val="24"/>
        </w:rPr>
      </w:pPr>
    </w:p>
    <w:p w14:paraId="3049FF28" w14:textId="77777777" w:rsidR="00C121B9" w:rsidRDefault="00C121B9" w:rsidP="00C121B9">
      <w:pPr>
        <w:rPr>
          <w:rFonts w:ascii="Times New Roman" w:hAnsi="Times New Roman" w:cs="Times New Roman"/>
          <w:sz w:val="24"/>
          <w:szCs w:val="24"/>
        </w:rPr>
      </w:pPr>
    </w:p>
    <w:p w14:paraId="07885266" w14:textId="77777777" w:rsidR="00C121B9" w:rsidRDefault="00C121B9" w:rsidP="00C121B9">
      <w:pPr>
        <w:rPr>
          <w:rFonts w:ascii="Times New Roman" w:hAnsi="Times New Roman" w:cs="Times New Roman"/>
          <w:sz w:val="24"/>
          <w:szCs w:val="24"/>
        </w:rPr>
      </w:pPr>
    </w:p>
    <w:p w14:paraId="56017B33" w14:textId="77777777" w:rsidR="00C121B9" w:rsidRDefault="00C121B9" w:rsidP="00C121B9">
      <w:pPr>
        <w:rPr>
          <w:rFonts w:ascii="Times New Roman" w:hAnsi="Times New Roman" w:cs="Times New Roman"/>
          <w:sz w:val="24"/>
          <w:szCs w:val="24"/>
        </w:rPr>
      </w:pPr>
    </w:p>
    <w:p w14:paraId="642D134C" w14:textId="77777777" w:rsidR="00C121B9" w:rsidRDefault="00C121B9" w:rsidP="00C121B9">
      <w:pPr>
        <w:rPr>
          <w:rFonts w:ascii="Times New Roman" w:hAnsi="Times New Roman" w:cs="Times New Roman"/>
          <w:sz w:val="24"/>
          <w:szCs w:val="24"/>
        </w:rPr>
      </w:pPr>
    </w:p>
    <w:p w14:paraId="2867D5D0" w14:textId="77777777" w:rsidR="00C121B9" w:rsidRDefault="00C121B9" w:rsidP="00C121B9">
      <w:pPr>
        <w:rPr>
          <w:rFonts w:ascii="Times New Roman" w:hAnsi="Times New Roman" w:cs="Times New Roman"/>
          <w:sz w:val="24"/>
          <w:szCs w:val="24"/>
        </w:rPr>
      </w:pPr>
    </w:p>
    <w:p w14:paraId="4BB6FC18" w14:textId="77777777" w:rsidR="00C121B9" w:rsidRDefault="00C121B9" w:rsidP="00C121B9">
      <w:pPr>
        <w:rPr>
          <w:rFonts w:ascii="Times New Roman" w:hAnsi="Times New Roman" w:cs="Times New Roman"/>
          <w:sz w:val="24"/>
          <w:szCs w:val="24"/>
        </w:rPr>
      </w:pPr>
    </w:p>
    <w:p w14:paraId="394772FF" w14:textId="77777777" w:rsidR="00C121B9" w:rsidRDefault="00C121B9" w:rsidP="00C121B9">
      <w:pPr>
        <w:rPr>
          <w:rFonts w:cs="Times New Roman"/>
          <w:szCs w:val="24"/>
        </w:rPr>
      </w:pPr>
    </w:p>
    <w:p w14:paraId="0312220C" w14:textId="26533D6A" w:rsidR="00C121B9" w:rsidRPr="00C121B9" w:rsidRDefault="00C121B9" w:rsidP="00C121B9">
      <w:pPr>
        <w:pStyle w:val="Heading1"/>
        <w:numPr>
          <w:ilvl w:val="0"/>
          <w:numId w:val="0"/>
        </w:numPr>
      </w:pPr>
      <w:r>
        <w:lastRenderedPageBreak/>
        <w:t>References</w:t>
      </w:r>
    </w:p>
    <w:p w14:paraId="0998B272" w14:textId="659793E8" w:rsidR="00B7082F" w:rsidRPr="00DC42D1" w:rsidRDefault="00000000">
      <w:pPr>
        <w:pStyle w:val="ListBullet"/>
        <w:rPr>
          <w:rFonts w:ascii="Times New Roman" w:hAnsi="Times New Roman" w:cs="Times New Roman"/>
          <w:sz w:val="24"/>
          <w:szCs w:val="24"/>
        </w:rPr>
      </w:pPr>
      <w:r w:rsidRPr="00DC42D1">
        <w:rPr>
          <w:rFonts w:ascii="Times New Roman" w:hAnsi="Times New Roman" w:cs="Times New Roman"/>
          <w:sz w:val="24"/>
          <w:szCs w:val="24"/>
        </w:rPr>
        <w:t>Kampala Capital City Authority (KCCA), KCCA Strategic Plan 2025/26–2029/30 – drainage, blackspot/road-crossing box culvert and community-drain programmes.</w:t>
      </w:r>
    </w:p>
    <w:p w14:paraId="42027CC8" w14:textId="77777777" w:rsidR="00B7082F" w:rsidRPr="00DC42D1" w:rsidRDefault="00000000">
      <w:pPr>
        <w:pStyle w:val="ListBullet"/>
        <w:rPr>
          <w:rFonts w:ascii="Times New Roman" w:hAnsi="Times New Roman" w:cs="Times New Roman"/>
          <w:sz w:val="24"/>
          <w:szCs w:val="24"/>
        </w:rPr>
      </w:pPr>
      <w:r w:rsidRPr="00DC42D1">
        <w:rPr>
          <w:rFonts w:ascii="Times New Roman" w:hAnsi="Times New Roman" w:cs="Times New Roman"/>
          <w:sz w:val="24"/>
          <w:szCs w:val="24"/>
        </w:rPr>
        <w:t>KCCA, KCCA-KIIDP2 Terms of Reference for diagnostic assessment, modelling and mapping of sub-surface storm-water drainage – drainage planning/design context.</w:t>
      </w:r>
    </w:p>
    <w:p w14:paraId="7479D56D" w14:textId="77777777" w:rsidR="00B7082F" w:rsidRPr="00DC42D1" w:rsidRDefault="00000000">
      <w:pPr>
        <w:pStyle w:val="ListBullet"/>
        <w:rPr>
          <w:rFonts w:ascii="Times New Roman" w:hAnsi="Times New Roman" w:cs="Times New Roman"/>
          <w:sz w:val="24"/>
          <w:szCs w:val="24"/>
        </w:rPr>
      </w:pPr>
      <w:r w:rsidRPr="00DC42D1">
        <w:rPr>
          <w:rFonts w:ascii="Times New Roman" w:hAnsi="Times New Roman" w:cs="Times New Roman"/>
          <w:sz w:val="24"/>
          <w:szCs w:val="24"/>
        </w:rPr>
        <w:t>KCCA, 2026 drainage/flood preparedness communications – routine and mechanised drainage maintenance/desilting.</w:t>
      </w:r>
    </w:p>
    <w:p w14:paraId="00FDAF76" w14:textId="77777777" w:rsidR="00B7082F" w:rsidRPr="00DC42D1" w:rsidRDefault="00000000">
      <w:pPr>
        <w:pStyle w:val="ListBullet"/>
        <w:rPr>
          <w:rFonts w:ascii="Times New Roman" w:hAnsi="Times New Roman" w:cs="Times New Roman"/>
          <w:sz w:val="24"/>
          <w:szCs w:val="24"/>
        </w:rPr>
      </w:pPr>
      <w:r w:rsidRPr="00DC42D1">
        <w:rPr>
          <w:rFonts w:ascii="Times New Roman" w:hAnsi="Times New Roman" w:cs="Times New Roman"/>
          <w:sz w:val="24"/>
          <w:szCs w:val="24"/>
        </w:rPr>
        <w:t>Uganda Urban Roads Design Manual (</w:t>
      </w:r>
      <w:proofErr w:type="spellStart"/>
      <w:r w:rsidRPr="00DC42D1">
        <w:rPr>
          <w:rFonts w:ascii="Times New Roman" w:hAnsi="Times New Roman" w:cs="Times New Roman"/>
          <w:sz w:val="24"/>
          <w:szCs w:val="24"/>
        </w:rPr>
        <w:t>MoWT</w:t>
      </w:r>
      <w:proofErr w:type="spellEnd"/>
      <w:r w:rsidRPr="00DC42D1">
        <w:rPr>
          <w:rFonts w:ascii="Times New Roman" w:hAnsi="Times New Roman" w:cs="Times New Roman"/>
          <w:sz w:val="24"/>
          <w:szCs w:val="24"/>
        </w:rPr>
        <w:t>), Part 1 – indicative urban drainage section examples and design context.</w:t>
      </w:r>
    </w:p>
    <w:p w14:paraId="1F40F4E5" w14:textId="77777777" w:rsidR="00B7082F" w:rsidRDefault="00000000">
      <w:pPr>
        <w:pStyle w:val="ListBullet"/>
        <w:rPr>
          <w:rFonts w:ascii="Times New Roman" w:hAnsi="Times New Roman" w:cs="Times New Roman"/>
          <w:sz w:val="24"/>
          <w:szCs w:val="24"/>
        </w:rPr>
      </w:pPr>
      <w:r w:rsidRPr="00DC42D1">
        <w:rPr>
          <w:rFonts w:ascii="Times New Roman" w:hAnsi="Times New Roman" w:cs="Times New Roman"/>
          <w:sz w:val="24"/>
          <w:szCs w:val="24"/>
        </w:rPr>
        <w:t>Uganda Drainage Design Manual / national road drainage guidance – culvert sizing and hydraulic/self-scouring considerations.</w:t>
      </w:r>
    </w:p>
    <w:p w14:paraId="21854F1D" w14:textId="58ABD4B4" w:rsidR="00035000" w:rsidRPr="00035000" w:rsidRDefault="00035000" w:rsidP="00035000">
      <w:pPr>
        <w:pStyle w:val="ListBullet"/>
        <w:rPr>
          <w:rFonts w:ascii="Times New Roman" w:hAnsi="Times New Roman" w:cs="Times New Roman"/>
          <w:sz w:val="24"/>
          <w:szCs w:val="24"/>
          <w:lang w:val="en-UG"/>
        </w:rPr>
      </w:pPr>
      <w:r w:rsidRPr="00035000">
        <w:rPr>
          <w:rFonts w:ascii="Times New Roman" w:hAnsi="Times New Roman" w:cs="Times New Roman"/>
          <w:b/>
          <w:bCs/>
          <w:sz w:val="24"/>
          <w:szCs w:val="24"/>
          <w:lang w:val="en-UG"/>
        </w:rPr>
        <w:t>Hunan MAC Sensor Co., Ltd.</w:t>
      </w:r>
      <w:r w:rsidRPr="00035000">
        <w:rPr>
          <w:rFonts w:ascii="Times New Roman" w:hAnsi="Times New Roman" w:cs="Times New Roman"/>
          <w:sz w:val="24"/>
          <w:szCs w:val="24"/>
          <w:lang w:val="en-UG"/>
        </w:rPr>
        <w:t xml:space="preserve"> (2025, October 15). </w:t>
      </w:r>
      <w:r w:rsidRPr="00035000">
        <w:rPr>
          <w:rFonts w:ascii="Times New Roman" w:hAnsi="Times New Roman" w:cs="Times New Roman"/>
          <w:i/>
          <w:iCs/>
          <w:sz w:val="24"/>
          <w:szCs w:val="24"/>
          <w:lang w:val="en-UG"/>
        </w:rPr>
        <w:t>How to use, install and maintain ultrasonic level sensor?</w:t>
      </w:r>
      <w:r w:rsidRPr="00035000">
        <w:rPr>
          <w:rFonts w:ascii="Times New Roman" w:hAnsi="Times New Roman" w:cs="Times New Roman"/>
          <w:sz w:val="24"/>
          <w:szCs w:val="24"/>
          <w:lang w:val="en-UG"/>
        </w:rPr>
        <w:t xml:space="preserve"> MACSENSOR. https://www.macsensor.com/info/how-to-use-install-and-maintain-ultrasonic-le-103166307.html</w:t>
      </w:r>
    </w:p>
    <w:p w14:paraId="1238D2B8" w14:textId="300F5248" w:rsidR="00035000" w:rsidRPr="00035000" w:rsidRDefault="00035000" w:rsidP="00035000">
      <w:pPr>
        <w:pStyle w:val="ListBullet"/>
        <w:rPr>
          <w:rFonts w:ascii="Times New Roman" w:hAnsi="Times New Roman" w:cs="Times New Roman"/>
          <w:sz w:val="24"/>
          <w:szCs w:val="24"/>
          <w:lang w:val="en-UG"/>
        </w:rPr>
      </w:pPr>
      <w:r w:rsidRPr="00035000">
        <w:rPr>
          <w:rFonts w:ascii="Times New Roman" w:hAnsi="Times New Roman" w:cs="Times New Roman"/>
          <w:b/>
          <w:bCs/>
          <w:sz w:val="24"/>
          <w:szCs w:val="24"/>
          <w:lang w:val="en-UG"/>
        </w:rPr>
        <w:t>Icon Process Controls.</w:t>
      </w:r>
      <w:r w:rsidRPr="00035000">
        <w:rPr>
          <w:rFonts w:ascii="Times New Roman" w:hAnsi="Times New Roman" w:cs="Times New Roman"/>
          <w:sz w:val="24"/>
          <w:szCs w:val="24"/>
          <w:lang w:val="en-UG"/>
        </w:rPr>
        <w:t xml:space="preserve"> (2025, June 10). </w:t>
      </w:r>
      <w:r w:rsidRPr="00035000">
        <w:rPr>
          <w:rFonts w:ascii="Times New Roman" w:hAnsi="Times New Roman" w:cs="Times New Roman"/>
          <w:i/>
          <w:iCs/>
          <w:sz w:val="24"/>
          <w:szCs w:val="24"/>
          <w:lang w:val="en-UG"/>
        </w:rPr>
        <w:t>A complete guide to radar liquid level sensors: Precision measurement for complex applications</w:t>
      </w:r>
      <w:r w:rsidRPr="00035000">
        <w:rPr>
          <w:rFonts w:ascii="Times New Roman" w:hAnsi="Times New Roman" w:cs="Times New Roman"/>
          <w:sz w:val="24"/>
          <w:szCs w:val="24"/>
          <w:lang w:val="en-UG"/>
        </w:rPr>
        <w:t>. https://iconprocon.com/blog_post/a-complete-guide-to-radar-liquid-level-sensors-precision-measurement-for-complex-applications/</w:t>
      </w:r>
    </w:p>
    <w:p w14:paraId="28F8A5C0" w14:textId="7461D7A3" w:rsidR="00035000" w:rsidRPr="00035000" w:rsidRDefault="00035000" w:rsidP="00035000">
      <w:pPr>
        <w:pStyle w:val="ListBullet"/>
        <w:rPr>
          <w:rFonts w:ascii="Times New Roman" w:hAnsi="Times New Roman" w:cs="Times New Roman"/>
          <w:sz w:val="24"/>
          <w:szCs w:val="24"/>
          <w:lang w:val="en-UG"/>
        </w:rPr>
      </w:pPr>
      <w:r w:rsidRPr="00035000">
        <w:rPr>
          <w:rFonts w:ascii="Times New Roman" w:hAnsi="Times New Roman" w:cs="Times New Roman"/>
          <w:b/>
          <w:bCs/>
          <w:sz w:val="24"/>
          <w:szCs w:val="24"/>
          <w:lang w:val="en-UG"/>
        </w:rPr>
        <w:t>Li, O.</w:t>
      </w:r>
      <w:r w:rsidRPr="00035000">
        <w:rPr>
          <w:rFonts w:ascii="Times New Roman" w:hAnsi="Times New Roman" w:cs="Times New Roman"/>
          <w:sz w:val="24"/>
          <w:szCs w:val="24"/>
          <w:lang w:val="en-UG"/>
        </w:rPr>
        <w:t xml:space="preserve"> (2026, August 19). </w:t>
      </w:r>
      <w:r w:rsidRPr="00035000">
        <w:rPr>
          <w:rFonts w:ascii="Times New Roman" w:hAnsi="Times New Roman" w:cs="Times New Roman"/>
          <w:i/>
          <w:iCs/>
          <w:sz w:val="24"/>
          <w:szCs w:val="24"/>
          <w:lang w:val="en-UG"/>
        </w:rPr>
        <w:t>Pressure sensor: The ultimate guide for beginners</w:t>
      </w:r>
      <w:r w:rsidRPr="00035000">
        <w:rPr>
          <w:rFonts w:ascii="Times New Roman" w:hAnsi="Times New Roman" w:cs="Times New Roman"/>
          <w:sz w:val="24"/>
          <w:szCs w:val="24"/>
          <w:lang w:val="en-UG"/>
        </w:rPr>
        <w:t>. GAMICOS. https://www.gamicos.com/Newsinfo/The-Ultimate-Guide-to-Pressure-Sensor</w:t>
      </w:r>
    </w:p>
    <w:p w14:paraId="65FB8679" w14:textId="55762B34" w:rsidR="00035000" w:rsidRPr="00035000" w:rsidRDefault="00035000" w:rsidP="00035000">
      <w:pPr>
        <w:pStyle w:val="ListBullet"/>
        <w:rPr>
          <w:rFonts w:ascii="Times New Roman" w:hAnsi="Times New Roman" w:cs="Times New Roman"/>
          <w:sz w:val="24"/>
          <w:szCs w:val="24"/>
          <w:lang w:val="en-UG"/>
        </w:rPr>
      </w:pPr>
      <w:r w:rsidRPr="00035000">
        <w:rPr>
          <w:rFonts w:ascii="Times New Roman" w:hAnsi="Times New Roman" w:cs="Times New Roman"/>
          <w:b/>
          <w:bCs/>
          <w:sz w:val="24"/>
          <w:szCs w:val="24"/>
          <w:lang w:val="en-UG"/>
        </w:rPr>
        <w:t>Ministry of Works and Transport.</w:t>
      </w:r>
      <w:r w:rsidRPr="00035000">
        <w:rPr>
          <w:rFonts w:ascii="Times New Roman" w:hAnsi="Times New Roman" w:cs="Times New Roman"/>
          <w:sz w:val="24"/>
          <w:szCs w:val="24"/>
          <w:lang w:val="en-UG"/>
        </w:rPr>
        <w:t xml:space="preserve"> (2010, January). </w:t>
      </w:r>
      <w:r w:rsidRPr="00035000">
        <w:rPr>
          <w:rFonts w:ascii="Times New Roman" w:hAnsi="Times New Roman" w:cs="Times New Roman"/>
          <w:i/>
          <w:iCs/>
          <w:sz w:val="24"/>
          <w:szCs w:val="24"/>
          <w:lang w:val="en-UG"/>
        </w:rPr>
        <w:t>Road design manual volume II: Drainage design manual</w:t>
      </w:r>
      <w:r w:rsidRPr="00035000">
        <w:rPr>
          <w:rFonts w:ascii="Times New Roman" w:hAnsi="Times New Roman" w:cs="Times New Roman"/>
          <w:sz w:val="24"/>
          <w:szCs w:val="24"/>
          <w:lang w:val="en-UG"/>
        </w:rPr>
        <w:t>. Republic of Uganda.</w:t>
      </w:r>
    </w:p>
    <w:p w14:paraId="7D62B3FC" w14:textId="75EC1EAA" w:rsidR="00035000" w:rsidRPr="00035000" w:rsidRDefault="00035000" w:rsidP="00035000">
      <w:pPr>
        <w:pStyle w:val="ListBullet"/>
        <w:rPr>
          <w:rFonts w:ascii="Times New Roman" w:hAnsi="Times New Roman" w:cs="Times New Roman"/>
          <w:sz w:val="24"/>
          <w:szCs w:val="24"/>
          <w:lang w:val="en-UG"/>
        </w:rPr>
      </w:pPr>
      <w:r w:rsidRPr="00035000">
        <w:rPr>
          <w:rFonts w:ascii="Times New Roman" w:hAnsi="Times New Roman" w:cs="Times New Roman"/>
          <w:b/>
          <w:bCs/>
          <w:sz w:val="24"/>
          <w:szCs w:val="24"/>
          <w:lang w:val="en-UG"/>
        </w:rPr>
        <w:t>Omega Engineering.</w:t>
      </w:r>
      <w:r w:rsidRPr="00035000">
        <w:rPr>
          <w:rFonts w:ascii="Times New Roman" w:hAnsi="Times New Roman" w:cs="Times New Roman"/>
          <w:sz w:val="24"/>
          <w:szCs w:val="24"/>
          <w:lang w:val="en-UG"/>
        </w:rPr>
        <w:t xml:space="preserve"> (n.d.). </w:t>
      </w:r>
      <w:r w:rsidRPr="00035000">
        <w:rPr>
          <w:rFonts w:ascii="Times New Roman" w:hAnsi="Times New Roman" w:cs="Times New Roman"/>
          <w:i/>
          <w:iCs/>
          <w:sz w:val="24"/>
          <w:szCs w:val="24"/>
          <w:lang w:val="en-UG"/>
        </w:rPr>
        <w:t>LVCN210, LVCN318 &amp; LVCN414 series ultrasonic level sensor user's guide</w:t>
      </w:r>
      <w:r w:rsidRPr="00035000">
        <w:rPr>
          <w:rFonts w:ascii="Times New Roman" w:hAnsi="Times New Roman" w:cs="Times New Roman"/>
          <w:sz w:val="24"/>
          <w:szCs w:val="24"/>
          <w:lang w:val="en-UG"/>
        </w:rPr>
        <w:t xml:space="preserve"> (Manual No. M4462). Omega Engineering, Inc.</w:t>
      </w:r>
    </w:p>
    <w:p w14:paraId="3EE0956D" w14:textId="4996B96D" w:rsidR="00035000" w:rsidRPr="00DC42D1" w:rsidRDefault="00035000" w:rsidP="00035000">
      <w:pPr>
        <w:pStyle w:val="ListBullet"/>
        <w:rPr>
          <w:rFonts w:ascii="Times New Roman" w:hAnsi="Times New Roman" w:cs="Times New Roman"/>
          <w:sz w:val="24"/>
          <w:szCs w:val="24"/>
        </w:rPr>
      </w:pPr>
      <w:r w:rsidRPr="00035000">
        <w:rPr>
          <w:rFonts w:ascii="Times New Roman" w:hAnsi="Times New Roman" w:cs="Times New Roman"/>
          <w:b/>
          <w:bCs/>
          <w:sz w:val="24"/>
          <w:szCs w:val="24"/>
          <w:lang w:val="en-UG"/>
        </w:rPr>
        <w:t>Toa, M., &amp; Whitehead, A.</w:t>
      </w:r>
      <w:r w:rsidRPr="00035000">
        <w:rPr>
          <w:rFonts w:ascii="Times New Roman" w:hAnsi="Times New Roman" w:cs="Times New Roman"/>
          <w:sz w:val="24"/>
          <w:szCs w:val="24"/>
          <w:lang w:val="en-UG"/>
        </w:rPr>
        <w:t xml:space="preserve"> (2021, December). </w:t>
      </w:r>
      <w:r w:rsidRPr="00035000">
        <w:rPr>
          <w:rFonts w:ascii="Times New Roman" w:hAnsi="Times New Roman" w:cs="Times New Roman"/>
          <w:i/>
          <w:iCs/>
          <w:sz w:val="24"/>
          <w:szCs w:val="24"/>
          <w:lang w:val="en-UG"/>
        </w:rPr>
        <w:t>Ultrasonic sensing basics</w:t>
      </w:r>
      <w:r w:rsidRPr="00035000">
        <w:rPr>
          <w:rFonts w:ascii="Times New Roman" w:hAnsi="Times New Roman" w:cs="Times New Roman"/>
          <w:sz w:val="24"/>
          <w:szCs w:val="24"/>
          <w:lang w:val="en-UG"/>
        </w:rPr>
        <w:t xml:space="preserve"> (Application Report No. SLAA907D). Texas Instruments.</w:t>
      </w:r>
    </w:p>
    <w:p w14:paraId="19FFC36C" w14:textId="77777777" w:rsidR="00B7082F" w:rsidRPr="00DC42D1" w:rsidRDefault="00B7082F">
      <w:pPr>
        <w:rPr>
          <w:rFonts w:ascii="Times New Roman" w:hAnsi="Times New Roman" w:cs="Times New Roman"/>
          <w:sz w:val="24"/>
          <w:szCs w:val="24"/>
        </w:rPr>
      </w:pPr>
    </w:p>
    <w:p w14:paraId="03F8B721" w14:textId="77777777" w:rsidR="00B7082F" w:rsidRPr="00C569F9" w:rsidRDefault="00000000">
      <w:pPr>
        <w:jc w:val="center"/>
        <w:rPr>
          <w:rFonts w:ascii="Times New Roman" w:hAnsi="Times New Roman" w:cs="Times New Roman"/>
          <w:sz w:val="24"/>
          <w:szCs w:val="24"/>
        </w:rPr>
      </w:pPr>
      <w:r w:rsidRPr="00DC42D1">
        <w:rPr>
          <w:rFonts w:ascii="Times New Roman" w:hAnsi="Times New Roman" w:cs="Times New Roman"/>
          <w:i/>
          <w:sz w:val="24"/>
          <w:szCs w:val="24"/>
        </w:rPr>
        <w:t>Note: Dimensions and site suitability must be verified against the approved design drawings, hydraulic calculations, site survey and the responsible authority before field installation.</w:t>
      </w:r>
    </w:p>
    <w:sectPr w:rsidR="00B7082F" w:rsidRPr="00C569F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084E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F0A97"/>
    <w:multiLevelType w:val="multilevel"/>
    <w:tmpl w:val="4F586D1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B1F97"/>
    <w:multiLevelType w:val="multilevel"/>
    <w:tmpl w:val="1864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71914"/>
    <w:multiLevelType w:val="multilevel"/>
    <w:tmpl w:val="B426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11A99"/>
    <w:multiLevelType w:val="multilevel"/>
    <w:tmpl w:val="B31472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4068A"/>
    <w:multiLevelType w:val="multilevel"/>
    <w:tmpl w:val="E52084A0"/>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A43CF"/>
    <w:multiLevelType w:val="hybridMultilevel"/>
    <w:tmpl w:val="189454CC"/>
    <w:lvl w:ilvl="0" w:tplc="15D01E1C">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A0C4AA2"/>
    <w:multiLevelType w:val="multilevel"/>
    <w:tmpl w:val="C9D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E17D4"/>
    <w:multiLevelType w:val="multilevel"/>
    <w:tmpl w:val="AFC2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20138"/>
    <w:multiLevelType w:val="multilevel"/>
    <w:tmpl w:val="3C7E1C42"/>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E2364"/>
    <w:multiLevelType w:val="multilevel"/>
    <w:tmpl w:val="ADC25B32"/>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354AF"/>
    <w:multiLevelType w:val="multilevel"/>
    <w:tmpl w:val="8D7431E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90484"/>
    <w:multiLevelType w:val="multilevel"/>
    <w:tmpl w:val="6A5CEA3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F4100"/>
    <w:multiLevelType w:val="multilevel"/>
    <w:tmpl w:val="D30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11A8E"/>
    <w:multiLevelType w:val="multilevel"/>
    <w:tmpl w:val="D17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83EE7"/>
    <w:multiLevelType w:val="multilevel"/>
    <w:tmpl w:val="A4A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B46E3"/>
    <w:multiLevelType w:val="multilevel"/>
    <w:tmpl w:val="628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40E54"/>
    <w:multiLevelType w:val="multilevel"/>
    <w:tmpl w:val="3DDEDA82"/>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F0832"/>
    <w:multiLevelType w:val="hybridMultilevel"/>
    <w:tmpl w:val="EBA240AE"/>
    <w:lvl w:ilvl="0" w:tplc="15D01E1C">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7A1713"/>
    <w:multiLevelType w:val="multilevel"/>
    <w:tmpl w:val="B9C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33DCE"/>
    <w:multiLevelType w:val="multilevel"/>
    <w:tmpl w:val="62302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16BF5"/>
    <w:multiLevelType w:val="multilevel"/>
    <w:tmpl w:val="7BCA8F72"/>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41CA8"/>
    <w:multiLevelType w:val="multilevel"/>
    <w:tmpl w:val="2EC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65AB6"/>
    <w:multiLevelType w:val="hybridMultilevel"/>
    <w:tmpl w:val="5E9AC6A2"/>
    <w:lvl w:ilvl="0" w:tplc="AF2CCF58">
      <w:start w:val="1"/>
      <w:numFmt w:val="decimal"/>
      <w:lvlText w:val="%1.0"/>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F4334EB"/>
    <w:multiLevelType w:val="multilevel"/>
    <w:tmpl w:val="E4D4186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65634"/>
    <w:multiLevelType w:val="multilevel"/>
    <w:tmpl w:val="B49E8EA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4" w15:restartNumberingAfterBreak="0">
    <w:nsid w:val="7BAD5D64"/>
    <w:multiLevelType w:val="multilevel"/>
    <w:tmpl w:val="D68C4F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464D1"/>
    <w:multiLevelType w:val="hybridMultilevel"/>
    <w:tmpl w:val="02CC8534"/>
    <w:lvl w:ilvl="0" w:tplc="EFB0DA1C">
      <w:start w:val="1"/>
      <w:numFmt w:val="lowerRoman"/>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7DA32C4A"/>
    <w:multiLevelType w:val="hybridMultilevel"/>
    <w:tmpl w:val="9D10E6AC"/>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45821010">
    <w:abstractNumId w:val="8"/>
  </w:num>
  <w:num w:numId="2" w16cid:durableId="1342243093">
    <w:abstractNumId w:val="6"/>
  </w:num>
  <w:num w:numId="3" w16cid:durableId="1353654980">
    <w:abstractNumId w:val="5"/>
  </w:num>
  <w:num w:numId="4" w16cid:durableId="1214347540">
    <w:abstractNumId w:val="4"/>
  </w:num>
  <w:num w:numId="5" w16cid:durableId="611010778">
    <w:abstractNumId w:val="7"/>
  </w:num>
  <w:num w:numId="6" w16cid:durableId="1346665556">
    <w:abstractNumId w:val="3"/>
  </w:num>
  <w:num w:numId="7" w16cid:durableId="789857787">
    <w:abstractNumId w:val="2"/>
  </w:num>
  <w:num w:numId="8" w16cid:durableId="294797361">
    <w:abstractNumId w:val="1"/>
  </w:num>
  <w:num w:numId="9" w16cid:durableId="436560006">
    <w:abstractNumId w:val="0"/>
  </w:num>
  <w:num w:numId="10" w16cid:durableId="1248266399">
    <w:abstractNumId w:val="31"/>
  </w:num>
  <w:num w:numId="11" w16cid:durableId="540829068">
    <w:abstractNumId w:val="26"/>
  </w:num>
  <w:num w:numId="12" w16cid:durableId="425612688">
    <w:abstractNumId w:val="16"/>
  </w:num>
  <w:num w:numId="13" w16cid:durableId="395670932">
    <w:abstractNumId w:val="24"/>
  </w:num>
  <w:num w:numId="14" w16cid:durableId="1647973081">
    <w:abstractNumId w:val="29"/>
  </w:num>
  <w:num w:numId="15" w16cid:durableId="1438258641">
    <w:abstractNumId w:val="28"/>
  </w:num>
  <w:num w:numId="16" w16cid:durableId="53742037">
    <w:abstractNumId w:val="13"/>
  </w:num>
  <w:num w:numId="17" w16cid:durableId="2112043027">
    <w:abstractNumId w:val="10"/>
  </w:num>
  <w:num w:numId="18" w16cid:durableId="232738351">
    <w:abstractNumId w:val="22"/>
  </w:num>
  <w:num w:numId="19" w16cid:durableId="1077509458">
    <w:abstractNumId w:val="21"/>
  </w:num>
  <w:num w:numId="20" w16cid:durableId="1536573648">
    <w:abstractNumId w:val="11"/>
  </w:num>
  <w:num w:numId="21" w16cid:durableId="565728967">
    <w:abstractNumId w:val="12"/>
  </w:num>
  <w:num w:numId="22" w16cid:durableId="1690722154">
    <w:abstractNumId w:val="17"/>
  </w:num>
  <w:num w:numId="23" w16cid:durableId="257062468">
    <w:abstractNumId w:val="34"/>
  </w:num>
  <w:num w:numId="24" w16cid:durableId="1993368564">
    <w:abstractNumId w:val="18"/>
  </w:num>
  <w:num w:numId="25" w16cid:durableId="1839616602">
    <w:abstractNumId w:val="25"/>
  </w:num>
  <w:num w:numId="26" w16cid:durableId="947276971">
    <w:abstractNumId w:val="35"/>
  </w:num>
  <w:num w:numId="27" w16cid:durableId="1403869226">
    <w:abstractNumId w:val="36"/>
  </w:num>
  <w:num w:numId="28" w16cid:durableId="39475157">
    <w:abstractNumId w:val="15"/>
  </w:num>
  <w:num w:numId="29" w16cid:durableId="2143378205">
    <w:abstractNumId w:val="27"/>
  </w:num>
  <w:num w:numId="30" w16cid:durableId="186334384">
    <w:abstractNumId w:val="23"/>
  </w:num>
  <w:num w:numId="31" w16cid:durableId="383483607">
    <w:abstractNumId w:val="30"/>
  </w:num>
  <w:num w:numId="32" w16cid:durableId="1399088437">
    <w:abstractNumId w:val="32"/>
  </w:num>
  <w:num w:numId="33" w16cid:durableId="1792017305">
    <w:abstractNumId w:val="20"/>
  </w:num>
  <w:num w:numId="34" w16cid:durableId="1661813788">
    <w:abstractNumId w:val="9"/>
  </w:num>
  <w:num w:numId="35" w16cid:durableId="132406302">
    <w:abstractNumId w:val="19"/>
  </w:num>
  <w:num w:numId="36" w16cid:durableId="530538538">
    <w:abstractNumId w:val="33"/>
  </w:num>
  <w:num w:numId="37" w16cid:durableId="20662970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000"/>
    <w:rsid w:val="0006063C"/>
    <w:rsid w:val="0015074B"/>
    <w:rsid w:val="0029639D"/>
    <w:rsid w:val="003220B2"/>
    <w:rsid w:val="00326F90"/>
    <w:rsid w:val="007B43CF"/>
    <w:rsid w:val="007D6444"/>
    <w:rsid w:val="00AA1D8D"/>
    <w:rsid w:val="00B47730"/>
    <w:rsid w:val="00B7082F"/>
    <w:rsid w:val="00C121B9"/>
    <w:rsid w:val="00C569F9"/>
    <w:rsid w:val="00C70535"/>
    <w:rsid w:val="00CB0664"/>
    <w:rsid w:val="00CE5643"/>
    <w:rsid w:val="00D40D1D"/>
    <w:rsid w:val="00DC42D1"/>
    <w:rsid w:val="00E54DA4"/>
    <w:rsid w:val="00F47C71"/>
    <w:rsid w:val="00F50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36FDC"/>
  <w14:defaultImageDpi w14:val="300"/>
  <w15:docId w15:val="{585D265D-277F-42F9-BBD3-03DDDDEF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lang w:val="en-GB"/>
    </w:rPr>
  </w:style>
  <w:style w:type="paragraph" w:styleId="Heading1">
    <w:name w:val="heading 1"/>
    <w:basedOn w:val="Normal"/>
    <w:next w:val="Normal"/>
    <w:link w:val="Heading1Char"/>
    <w:uiPriority w:val="9"/>
    <w:qFormat/>
    <w:rsid w:val="00035000"/>
    <w:pPr>
      <w:keepNext/>
      <w:keepLines/>
      <w:numPr>
        <w:numId w:val="36"/>
      </w:numPr>
      <w:spacing w:before="480" w:after="0"/>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unhideWhenUsed/>
    <w:qFormat/>
    <w:rsid w:val="00035000"/>
    <w:pPr>
      <w:keepNext/>
      <w:keepLines/>
      <w:numPr>
        <w:ilvl w:val="1"/>
        <w:numId w:val="36"/>
      </w:numPr>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035000"/>
    <w:pPr>
      <w:keepNext/>
      <w:keepLines/>
      <w:numPr>
        <w:ilvl w:val="2"/>
        <w:numId w:val="36"/>
      </w:numPr>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35000"/>
    <w:rPr>
      <w:rFonts w:ascii="Times New Roman" w:eastAsiaTheme="majorEastAsia" w:hAnsi="Times New Roman" w:cstheme="majorBidi"/>
      <w:b/>
      <w:bCs/>
      <w:sz w:val="24"/>
      <w:szCs w:val="28"/>
      <w:lang w:val="en-GB"/>
    </w:rPr>
  </w:style>
  <w:style w:type="character" w:customStyle="1" w:styleId="Heading2Char">
    <w:name w:val="Heading 2 Char"/>
    <w:basedOn w:val="DefaultParagraphFont"/>
    <w:link w:val="Heading2"/>
    <w:uiPriority w:val="9"/>
    <w:rsid w:val="00035000"/>
    <w:rPr>
      <w:rFonts w:ascii="Times New Roman" w:eastAsiaTheme="majorEastAsia" w:hAnsi="Times New Roman" w:cstheme="majorBidi"/>
      <w:b/>
      <w:bCs/>
      <w:sz w:val="24"/>
      <w:szCs w:val="26"/>
      <w:lang w:val="en-GB"/>
    </w:rPr>
  </w:style>
  <w:style w:type="character" w:customStyle="1" w:styleId="Heading3Char">
    <w:name w:val="Heading 3 Char"/>
    <w:basedOn w:val="DefaultParagraphFont"/>
    <w:link w:val="Heading3"/>
    <w:uiPriority w:val="9"/>
    <w:rsid w:val="00035000"/>
    <w:rPr>
      <w:rFonts w:ascii="Times New Roman" w:eastAsiaTheme="majorEastAsia" w:hAnsi="Times New Roman" w:cstheme="majorBidi"/>
      <w:b/>
      <w:bCs/>
      <w:sz w:val="24"/>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ListBullet"/>
    <w:next w:val="Normal"/>
    <w:link w:val="MTDisplayEquationChar"/>
    <w:rsid w:val="00CE5643"/>
    <w:pPr>
      <w:numPr>
        <w:numId w:val="0"/>
      </w:numPr>
      <w:tabs>
        <w:tab w:val="center" w:pos="5220"/>
        <w:tab w:val="right" w:pos="10080"/>
      </w:tabs>
      <w:ind w:left="360" w:hanging="360"/>
    </w:pPr>
    <w:rPr>
      <w:rFonts w:ascii="Times New Roman" w:hAnsi="Times New Roman" w:cs="Times New Roman"/>
      <w:sz w:val="24"/>
      <w:szCs w:val="24"/>
    </w:rPr>
  </w:style>
  <w:style w:type="character" w:customStyle="1" w:styleId="ListBulletChar">
    <w:name w:val="List Bullet Char"/>
    <w:basedOn w:val="DefaultParagraphFont"/>
    <w:link w:val="ListBullet"/>
    <w:uiPriority w:val="99"/>
    <w:rsid w:val="00CE5643"/>
    <w:rPr>
      <w:rFonts w:ascii="Arial" w:hAnsi="Arial"/>
      <w:sz w:val="20"/>
    </w:rPr>
  </w:style>
  <w:style w:type="character" w:customStyle="1" w:styleId="MTDisplayEquationChar">
    <w:name w:val="MTDisplayEquation Char"/>
    <w:basedOn w:val="ListBulletChar"/>
    <w:link w:val="MTDisplayEquation"/>
    <w:rsid w:val="00CE56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10.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w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Ilukut Eric</cp:lastModifiedBy>
  <cp:revision>2</cp:revision>
  <dcterms:created xsi:type="dcterms:W3CDTF">2026-09-26T21:39:00Z</dcterms:created>
  <dcterms:modified xsi:type="dcterms:W3CDTF">2026-09-26T21:39:00Z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