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77bf62a1445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>Might Dojo</w:t>
            </w:r>
            <w:r>
              <w:br/>
            </w:r>
            <w:r>
              <w:t>konoha</w:t>
            </w:r>
            <w:r>
              <w:br/>
            </w:r>
            <w:r>
              <w:t>11-123, senpu</w:t>
            </w:r>
            <w:r>
              <w:br/>
            </w:r>
            <w:r>
              <w:t>Email: bombaj@gombaj.pl</w:t>
            </w:r>
            <w:r>
              <w:br/>
            </w:r>
            <w:r>
              <w:t>Phone Number: 111000001</w:t>
            </w:r>
            <w:r>
              <w:br/>
            </w:r>
            <w:r>
              <w:t>NIP: 7888889875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6ff6d50e634089" /><Relationship Type="http://schemas.openxmlformats.org/officeDocument/2006/relationships/numbering" Target="/word/numbering.xml" Id="Rcd4fc41771ae42e3" /><Relationship Type="http://schemas.openxmlformats.org/officeDocument/2006/relationships/settings" Target="/word/settings.xml" Id="R61abfac3a46949f2" /></Relationships>
</file>