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Supervised Gini feature importance profiling confirms strong discriminative power across physical sample features, led by color saturation variance, void area percentage, and convex solidity.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sample feature extraction and importance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Sample feature importance ranking across 15 visual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Primary sample feature distribution and inter-class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sample feature importance profiling.</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sample feature discriminative profiling,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Gini feature importance ranking,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supervised sample classification and subsequent machine learning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Ranking descriptor predictive power via supervised Gini feature importance across all 15 sample features; (4) Computing inter-class sample feature distributions and boxplot profiles to evaluate sound vs. defective separability;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Sample Feature Importance Ranking and Discriminative Analysis</w:t>
      </w:r>
    </w:p>
    <w:p>
      <w:pPr>
        <w:spacing w:before="0" w:after="100" w:line="276" w:lineRule="auto"/>
        <w:jc w:val="both"/>
      </w:pPr>
      <w:r>
        <w:rPr>
          <w:rFonts w:ascii="Times New Roman" w:hAnsi="Times New Roman"/>
          <w:b w:val="0"/>
          <w:i w:val="0"/>
          <w:color w:val="000000"/>
          <w:sz w:val="24"/>
        </w:rPr>
        <w:t>To evaluate the predictive contribution of each of the 15 extracted visual features without requiring dimensionality reduction, supervised Gini feature importance ranking was executed across all 81 physical rotor weld specimens. Figure 5.3 illustrates the standardized feature importance distribution, highlighting color saturation variance, void area percentage, and molten slag protrusion as governing defect discriminators.</w:t>
      </w:r>
    </w:p>
    <w:p>
      <w:pPr>
        <w:spacing w:before="80" w:after="80"/>
        <w:jc w:val="center"/>
      </w:pPr>
      <w:r>
        <w:drawing>
          <wp:inline xmlns:a="http://schemas.openxmlformats.org/drawingml/2006/main" xmlns:pic="http://schemas.openxmlformats.org/drawingml/2006/picture">
            <wp:extent cx="4937760" cy="2501798"/>
            <wp:docPr id="15" name="Picture 15"/>
            <wp:cNvGraphicFramePr>
              <a:graphicFrameLocks noChangeAspect="1"/>
            </wp:cNvGraphicFramePr>
            <a:graphic>
              <a:graphicData uri="http://schemas.openxmlformats.org/drawingml/2006/picture">
                <pic:pic>
                  <pic:nvPicPr>
                    <pic:cNvPr id="0" name="fig_sample_feature_importance.png"/>
                    <pic:cNvPicPr/>
                  </pic:nvPicPr>
                  <pic:blipFill>
                    <a:blip r:embed="rId23"/>
                    <a:stretch>
                      <a:fillRect/>
                    </a:stretch>
                  </pic:blipFill>
                  <pic:spPr>
                    <a:xfrm>
                      <a:off x="0" y="0"/>
                      <a:ext cx="4937760" cy="2501798"/>
                    </a:xfrm>
                    <a:prstGeom prst="rect"/>
                  </pic:spPr>
                </pic:pic>
              </a:graphicData>
            </a:graphic>
          </wp:inline>
        </w:drawing>
      </w:r>
    </w:p>
    <w:p>
      <w:pPr>
        <w:spacing w:before="60" w:after="120"/>
        <w:jc w:val="center"/>
      </w:pPr>
      <w:r>
        <w:rPr>
          <w:rFonts w:ascii="Times New Roman" w:hAnsi="Times New Roman"/>
          <w:b/>
          <w:i/>
          <w:sz w:val="22"/>
        </w:rPr>
        <w:t>Fig. 5.3 Sample feature importance ranking across 15 visual descriptors</w:t>
      </w:r>
    </w:p>
    <w:p>
      <w:pPr>
        <w:spacing w:before="80" w:after="80"/>
        <w:jc w:val="center"/>
      </w:pPr>
      <w:r>
        <w:drawing>
          <wp:inline xmlns:a="http://schemas.openxmlformats.org/drawingml/2006/main" xmlns:pic="http://schemas.openxmlformats.org/drawingml/2006/picture">
            <wp:extent cx="5029200" cy="1724297"/>
            <wp:docPr id="16" name="Picture 16"/>
            <wp:cNvGraphicFramePr>
              <a:graphicFrameLocks noChangeAspect="1"/>
            </wp:cNvGraphicFramePr>
            <a:graphic>
              <a:graphicData uri="http://schemas.openxmlformats.org/drawingml/2006/picture">
                <pic:pic>
                  <pic:nvPicPr>
                    <pic:cNvPr id="0" name="fig_sample_feature_distributions.png"/>
                    <pic:cNvPicPr/>
                  </pic:nvPicPr>
                  <pic:blipFill>
                    <a:blip r:embed="rId24"/>
                    <a:stretch>
                      <a:fillRect/>
                    </a:stretch>
                  </pic:blipFill>
                  <pic:spPr>
                    <a:xfrm>
                      <a:off x="0" y="0"/>
                      <a:ext cx="5029200" cy="1724297"/>
                    </a:xfrm>
                    <a:prstGeom prst="rect"/>
                  </pic:spPr>
                </pic:pic>
              </a:graphicData>
            </a:graphic>
          </wp:inline>
        </w:drawing>
      </w:r>
    </w:p>
    <w:p>
      <w:pPr>
        <w:spacing w:before="60" w:after="120"/>
        <w:jc w:val="center"/>
      </w:pPr>
      <w:r>
        <w:rPr>
          <w:rFonts w:ascii="Times New Roman" w:hAnsi="Times New Roman"/>
          <w:b/>
          <w:i/>
          <w:sz w:val="22"/>
        </w:rPr>
        <w:t>Fig. 5.4 Primary sample feature distribution and inter-class separation (Sound vs. Defective)</w:t>
      </w:r>
    </w:p>
    <w:p>
      <w:pPr>
        <w:spacing w:before="0" w:after="100" w:line="276" w:lineRule="auto"/>
        <w:jc w:val="both"/>
      </w:pPr>
      <w:r>
        <w:rPr>
          <w:rFonts w:ascii="Times New Roman" w:hAnsi="Times New Roman"/>
          <w:b w:val="0"/>
          <w:i w:val="0"/>
          <w:color w:val="000000"/>
          <w:sz w:val="24"/>
        </w:rPr>
        <w:t>Analysis of Sample Feature Distributions: As shown in Fig. 5.4, defective specimens exhibit substantially higher saturation variance (+74.8%) and void area percentages due to molten oxidation and gas porosity. Convex solidity exhibits a sharp threshold drop below 0.85 on droop anomalies, demonstrating that the raw physical features of the sample provide decisive classification boundaries without requiring dimensionality reduction.</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physical rotor specimens were analyzed in MATLAB Online using custom evaluation scripts (badrotorimagemean.m and Statisticalanalysis_goodrotor.m). These scripts execute 10 fundamental statistical moments, grayscale transformations, and 1D spatial intensity projections.</w:t>
      </w:r>
    </w:p>
    <w:p>
      <w:pPr>
        <w:spacing w:before="80" w:after="80"/>
        <w:jc w:val="center"/>
      </w:pPr>
      <w:r>
        <w:drawing>
          <wp:inline xmlns:a="http://schemas.openxmlformats.org/drawingml/2006/main" xmlns:pic="http://schemas.openxmlformats.org/drawingml/2006/picture">
            <wp:extent cx="3840480" cy="2220277"/>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3840480" cy="2220277"/>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0" w:after="100" w:line="276" w:lineRule="auto"/>
        <w:jc w:val="both"/>
      </w:pPr>
      <w:r>
        <w:rPr>
          <w:rFonts w:ascii="Times New Roman" w:hAnsi="Times New Roman"/>
          <w:b w:val="0"/>
          <w:i w:val="0"/>
          <w:color w:val="000000"/>
          <w:sz w:val="24"/>
        </w:rPr>
        <w:t>Analysis of Figure 5.6: Execution of badrotorimagemean.m on defective rotor specimen badrotor.jpg. The specimen exhibits severe molten droop anomalies and irregular weld spatter. The script converts the image to 8-bit double grayscale using NTSC luminance weighting (Y = 0.2989 R + 0.5870 G + 0.1140 B) and calculates row-wise mean intensity across weld seam coordinates (rows 1200-1300), revealing an elevated overall image mean intensity of 147.6512.</w:t>
      </w:r>
    </w:p>
    <w:p>
      <w:pPr>
        <w:spacing w:before="80" w:after="80"/>
        <w:jc w:val="center"/>
      </w:pPr>
      <w:r>
        <w:drawing>
          <wp:inline xmlns:a="http://schemas.openxmlformats.org/drawingml/2006/main" xmlns:pic="http://schemas.openxmlformats.org/drawingml/2006/picture">
            <wp:extent cx="3840480" cy="2212777"/>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pPr>
        <w:spacing w:before="0" w:after="100" w:line="276" w:lineRule="auto"/>
        <w:jc w:val="both"/>
      </w:pPr>
      <w:r>
        <w:rPr>
          <w:rFonts w:ascii="Times New Roman" w:hAnsi="Times New Roman"/>
          <w:b w:val="0"/>
          <w:i w:val="0"/>
          <w:color w:val="000000"/>
          <w:sz w:val="24"/>
        </w:rPr>
        <w:t>Analysis of Figure 5.7: Execution of Statisticalanalysis_goodrotor.m on a sound specimen (goodrotor.jpeg). The command window displays the computed 10 statistical moments: Mean = 121.4320, Variance = 1779.57, Skewness = +0.2140, and Kurtosis = 2.8450. Defective welds show an elevated mean (+21.6%) and variance (+95.1%) due to excessive specular highlights from molten spatter crests.</w:t>
      </w:r>
    </w:p>
    <w:p>
      <w:r>
        <w:br w:type="page"/>
      </w:r>
    </w:p>
    <w:p>
      <w:pPr>
        <w:spacing w:before="80" w:after="80"/>
        <w:jc w:val="center"/>
      </w:pPr>
      <w:r>
        <w:drawing>
          <wp:inline xmlns:a="http://schemas.openxmlformats.org/drawingml/2006/main" xmlns:pic="http://schemas.openxmlformats.org/drawingml/2006/picture">
            <wp:extent cx="3840480" cy="2212777"/>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0" w:after="100" w:line="276" w:lineRule="auto"/>
        <w:jc w:val="both"/>
      </w:pPr>
      <w:r>
        <w:rPr>
          <w:rFonts w:ascii="Times New Roman" w:hAnsi="Times New Roman"/>
          <w:b w:val="0"/>
          <w:i w:val="0"/>
          <w:color w:val="000000"/>
          <w:sz w:val="24"/>
        </w:rPr>
        <w:t>Analysis of Figure 5.8: Generated by Step 10 (histogram(imgDouble(:), 256)). The distribution displays two prominent multimodal peaks: a sharp initial peak (intensities 10-45) corresponding to the non-reflective dark background, a clear segmentation trough (intensities 50-90) corresponding to the optimal Otsu binarization threshold, and a broad metallic plateau (intensities 110-180) representing the illuminated rotor core. Zero saturation at bin 255 confirms effective cross-polarization.</w:t>
      </w:r>
    </w:p>
    <w:p>
      <w:pPr>
        <w:spacing w:before="80" w:after="80"/>
        <w:jc w:val="center"/>
      </w:pPr>
      <w:r>
        <w:drawing>
          <wp:inline xmlns:a="http://schemas.openxmlformats.org/drawingml/2006/main" xmlns:pic="http://schemas.openxmlformats.org/drawingml/2006/picture">
            <wp:extent cx="3840480" cy="2209026"/>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3840480" cy="2209026"/>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Analysis of Figure 5.9: Generated by Step 11 (plot(RowMean)). The horizontal scanline average remains low (&lt; 35) across background rows, but ramps past row 300 to reach an intensity plateau of 165 between rows 450 and 700. This peak corresponds precisely to the vertical coordinates where the circular weld bead spans the central field of view, providing vertical ROI bounding boundaries.</w:t>
      </w:r>
    </w:p>
    <w:p>
      <w:r>
        <w:br w:type="page"/>
      </w:r>
    </w:p>
    <w:p>
      <w:pPr>
        <w:spacing w:before="80" w:after="80"/>
        <w:jc w:val="center"/>
      </w:pPr>
      <w:r>
        <w:drawing>
          <wp:inline xmlns:a="http://schemas.openxmlformats.org/drawingml/2006/main" xmlns:pic="http://schemas.openxmlformats.org/drawingml/2006/picture">
            <wp:extent cx="3840480" cy="2212777"/>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3840480" cy="2212777"/>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0" w:after="100" w:line="276" w:lineRule="auto"/>
        <w:jc w:val="both"/>
      </w:pPr>
      <w:r>
        <w:rPr>
          <w:rFonts w:ascii="Times New Roman" w:hAnsi="Times New Roman"/>
          <w:b w:val="0"/>
          <w:i w:val="0"/>
          <w:color w:val="000000"/>
          <w:sz w:val="24"/>
        </w:rPr>
        <w:t>Analysis of Figure 5.10: Generated by Step 12 (plot(ColumnMean)). Computes the vertical column average across specimen width. The profile reveals circumferential symmetry: intensity rises sharply from column 150, reaches a peak of 158 at column 250, and exhibits balanced structural ripples mirroring the rotor cylindrical slots. Lateral asymmetry in this profile serves as an indicator of one-sided molten droop.</w:t>
      </w:r>
    </w:p>
    <w:p>
      <w:pPr>
        <w:spacing w:before="80" w:after="80"/>
        <w:jc w:val="center"/>
      </w:pPr>
      <w:r>
        <w:drawing>
          <wp:inline xmlns:a="http://schemas.openxmlformats.org/drawingml/2006/main" xmlns:pic="http://schemas.openxmlformats.org/drawingml/2006/picture">
            <wp:extent cx="3840480" cy="2216527"/>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3840480" cy="2216527"/>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Analysis of Figure 5.11: Generated by Step 13 (plot(RowStd)). Measures intra-row textural standard deviation. While background rows remain quiescent (std dev &lt; 20), rows 400 to 800 display a pronounced variation spike reaching 72 units. This identifies the active weld zone where high-contrast alternating metallic bead and dark inter-bar slots maximize localized textural variance.</w:t>
      </w:r>
    </w:p>
    <w:p>
      <w:r>
        <w:br w:type="page"/>
      </w:r>
    </w:p>
    <w:p>
      <w:pPr>
        <w:spacing w:before="80" w:after="80"/>
        <w:jc w:val="center"/>
      </w:pPr>
      <w:r>
        <w:drawing>
          <wp:inline xmlns:a="http://schemas.openxmlformats.org/drawingml/2006/main" xmlns:pic="http://schemas.openxmlformats.org/drawingml/2006/picture">
            <wp:extent cx="4023360" cy="2318147"/>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4023360" cy="2318147"/>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0" w:after="100" w:line="276" w:lineRule="auto"/>
        <w:jc w:val="both"/>
      </w:pPr>
      <w:r>
        <w:rPr>
          <w:rFonts w:ascii="Times New Roman" w:hAnsi="Times New Roman"/>
          <w:b w:val="0"/>
          <w:i w:val="0"/>
          <w:color w:val="000000"/>
          <w:sz w:val="24"/>
        </w:rPr>
        <w:t>Analysis of Figure 5.12: Generated by Step 14 (plot(ColumnStd)). Computes standard deviation across vertical columns. The curve displays a sharp peak reaching 78.4 standard deviation units concentrated precisely between column coordinates 150 and 250, marking the high-contrast annular weld bead where bright molten metal interfaces with darker rotor core teeth. Beyond column 300, variation decays steadily to 35 across the solid core.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localized standard deviation peak observed in Fig. 5.12 provides an efficient mathematical foundation for rapid region of interest (ROI) localization. Rather than executing computationally heavy 2D sliding window convolutions, the system computes the discrete first derivative of the column standard deviation profile (dSigma/dx).</w:t>
        <w:br/>
        <w:t>The prominent positive derivative spike reliably flags the leading lateral edge of the weld joint, while the negative inflection point identifies the trailing boundary. Benchmarking confirms that this 1D derivative peak detector localizes candidate weld coordinates in under 2.8 ms with an accuracy of +/- 3 pixels, providing robust initialization for subsequent adaptive Sobel contour refinement.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Why Statistical Image Analysis is Performed: A digital camera captures an image as a numerical matrix of pixels ranging from 0 (pure black) to 255 (pure white). An automated vision algorithm cannot visually 'see' weld quality like human eyes; it must quantify physical characteristics into concrete numbers. By running the MATLAB statistical script on both sound and defective rotors, 10 foundational statistical moments are derived. Comparing these values mathematically proves how physical anomalies - including molten droop, spatter, and porosity - produce distinct, unmistakable shifts in brightness, roughness, and distribution symmetry.</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SIGNIFICANCE IN SIMPLE TERMS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brightness jumps (+21.6%) because shiny melted slag blobs act like curved mirrors reflecting direct camera light.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Middle brightness shifts higher from 118 to 144, proving the entire defective body is brighter, not just an isolated spot.</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spread increases by 39.7%, reflecting an irregular, bumpy, and non-uniform weld surface.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Surface roughness nearly doubles (+95.1%), jumping wildly between bright specular glares and deep shadow crevices.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Deepest background shadows remain virtually identical, demonstrating that ambient lighting remained tightly controlled.</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Reaches pure white saturation (255) on sharp reflective crests of protruding molten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Contrast spread expands, indicating extreme optical disparity between highlights and weld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Most frequent surface tone shifts higher from 115 to 141 due to reflective spatter dust coating the copper bars.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Flips negative (-0.48), mathematically capturing an asymmetric heavy tail of bright specular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Spikes from 2.85 to 4.13, mathematically proving the physical presence of sudden protruding defect lumps rather than a flat surface.</w:t>
            </w:r>
          </w:p>
        </w:tc>
      </w:tr>
    </w:tbl>
    <w:p>
      <w:pPr>
        <w:spacing w:before="0" w:after="100" w:line="276" w:lineRule="auto"/>
        <w:jc w:val="both"/>
      </w:pPr>
      <w:r>
        <w:rPr>
          <w:rFonts w:ascii="Times New Roman" w:hAnsi="Times New Roman"/>
          <w:b w:val="0"/>
          <w:i w:val="0"/>
          <w:color w:val="000000"/>
          <w:sz w:val="24"/>
        </w:rPr>
        <w:t>Engineering Takeaways &amp; Physical Defect Signatures:</w:t>
        <w:br/>
        <w:t>• Surface Brightness (Mean 121 -&gt; 148): Sound welds absorb and scatter light evenly across a smooth matte finish, while molten slag defects create high-reflectance mirrors that push average brightness up by +21.6%.</w:t>
        <w:br/>
        <w:t>• Surface Roughness (Variance 1779 -&gt; 3472): A healthy joint has smooth, consistent lighting. Defective welds have wild transitions between intense specular highlights and dark shadow pockets, nearly doubling overall variance (+95.1%).</w:t>
        <w:br/>
        <w:t>• Structural Anomaly Peaks (Kurtosis 2.85 -&gt; 4.13): A normal surface yields a standard bell-curve distribution (kurtosis ~ 3.0). The dramatic leap to 4.13 mathematically confirms sharp, localized defect crests (molten droop / spatter blobs) protruding from the seam.</w:t>
        <w:br/>
        <w:t>• Diagnostic Automation Value: These measurable gaps allow simple, high-speed thresholding rules (e.g., Variance &gt; 2500 and Kurtosis &gt; 3.5) to reliably identify defective rotors prior to computationally intensive deep neural network inference.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SAMPLE FEATURE DISCRIMINATIVE IMPORTANCE</w:t>
      </w:r>
    </w:p>
    <w:p>
      <w:pPr>
        <w:spacing w:before="0" w:after="100" w:line="276" w:lineRule="auto"/>
        <w:jc w:val="both"/>
      </w:pPr>
      <w:r>
        <w:rPr>
          <w:rFonts w:ascii="Times New Roman" w:hAnsi="Times New Roman"/>
          <w:b w:val="0"/>
          <w:i w:val="0"/>
          <w:color w:val="000000"/>
          <w:sz w:val="24"/>
        </w:rPr>
        <w:t>Direct evaluation of the 15 extracted visual descriptors across all 81 physical rotor samples confirms strong intrinsic separability between classes directly within the physical measurement space. By training classifiers directly on physical sample features - most notably Convex Solidity, Slag Protrusion %, and GLCM Contrast - the system maintains 100% engineering explainability directly tied to physical weld defect mechanisms.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physical sample descriptors whose discriminative separability was confirmed through Gini feature importance profiling and distribution analysis.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