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32"/>
        </w:rPr>
        <w:t>AI BASED ROTOR WELD DETECTION</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32"/>
        </w:rPr>
        <w:t>AI BASED ROTOR WELD DETECTION</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pPr>
        <w:sectPr>
          <w:footerReference w:type="default" r:id="rId9"/>
          <w:pgSz w:w="11909" w:h="16834"/>
          <w:pgMar w:top="1080" w:right="1080" w:bottom="1080" w:left="1080" w:header="720" w:footer="720" w:gutter="0"/>
          <w:cols w:space="720"/>
          <w:docGrid w:linePitch="360"/>
        </w:sectPr>
      </w:pP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AI-based rotor weld detection and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Supervised Gini feature importance profiling confirms strong discriminative power across physical sample features, led by color saturation variance, void area percentage, and convex solidity.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Problem statement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ISO 9001:2015 audit compliance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 and insights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 (MobileNetV3)</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&amp; image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script implementations and statistical profiling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statistical summary of rotor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sample feature extraction and decision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decision logic and automated quality reporting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Laboratory experimental setup and optical rotor inspection test bench</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 across key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Sample feature importance ranking across 15 visual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Primary sample feature distribution and inter-class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 across 15 extracted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Computed MATLAB statistical moments and spatial signal distribution metrics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testing parameters and operational configuration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Subsystem functional verification and empirical 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MATLAB statistical moments (Sound vs. Defective)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bl>
    <w:p>
      <w:r>
        <w:br w:type="page"/>
      </w:r>
    </w:p>
    <w:p>
      <w:pPr>
        <w:spacing w:before="0" w:after="40" w:line="276" w:lineRule="auto"/>
        <w:jc w:val="center"/>
      </w:pPr>
      <w:r>
        <w:rPr>
          <w:rFonts w:ascii="Times New Roman" w:hAnsi="Times New Roman"/>
          <w:b/>
          <w:color w:val="000000"/>
          <w:sz w:val="34"/>
        </w:rPr>
        <w:t>CHAPTER 1</w:t>
      </w:r>
    </w:p>
    <w:p>
      <w:pPr>
        <w:spacing w:before="0" w:after="20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20" w:after="60" w:line="276" w:lineRule="auto"/>
      </w:pPr>
      <w:r>
        <w:rPr>
          <w:rFonts w:ascii="Times New Roman" w:hAnsi="Times New Roman"/>
          <w:b/>
          <w:color w:val="000000"/>
          <w:sz w:val="26"/>
        </w:rPr>
        <w:t>1.1 PROBLEM STATEMENT</w:t>
      </w:r>
    </w:p>
    <w:p>
      <w:pPr>
        <w:spacing w:before="0" w:after="100" w:line="276" w:lineRule="auto"/>
        <w:jc w:val="both"/>
      </w:pPr>
      <w:r>
        <w:rPr>
          <w:rFonts w:ascii="Times New Roman" w:hAnsi="Times New Roman"/>
          <w:b w:val="0"/>
          <w:i w:val="0"/>
          <w:color w:val="000000"/>
          <w:sz w:val="24"/>
        </w:rPr>
        <w:t>Manual human inspection of rotor welds on high-speed manufacturing lines suffers from severe fatigue-induced error rates, operator subjectivity, and an inability to reliably detect micro-scale surface flaws under variable factory lighting. Furthermore, raw optical macro images capture extensive irrelevant background context-including rotor teeth laminations, central shaft bores, mounting fixtures, and reflective metallic shadows. Conventional fixed-size bounding box cropping frequently severs protruding molten dripping anomalies or fails to center the fusion seam.</w:t>
      </w:r>
    </w:p>
    <w:p>
      <w:pPr>
        <w:spacing w:before="0" w:after="100" w:line="276" w:lineRule="auto"/>
        <w:jc w:val="both"/>
      </w:pPr>
      <w:r>
        <w:rPr>
          <w:rFonts w:ascii="Times New Roman" w:hAnsi="Times New Roman"/>
          <w:b w:val="0"/>
          <w:i w:val="0"/>
          <w:color w:val="000000"/>
          <w:sz w:val="24"/>
        </w:rPr>
        <w:t>An automated quality assurance pipeline is required that can dynamically isolate the true weld bead Region-of-Interest (ROI) via saliency edge detection, extract robust mathematical descriptors, and deploy a multi-model machine learning architecture to achieve high defect recall while maintaining transparent explainability.</w:t>
      </w:r>
    </w:p>
    <w:p>
      <w:pPr>
        <w:spacing w:before="120" w:after="60" w:line="276" w:lineRule="auto"/>
      </w:pPr>
      <w:r>
        <w:rPr>
          <w:rFonts w:ascii="Times New Roman" w:hAnsi="Times New Roman"/>
          <w:b/>
          <w:color w:val="000000"/>
          <w:sz w:val="26"/>
        </w:rPr>
        <w:t>1.2 AIM</w:t>
      </w:r>
    </w:p>
    <w:p>
      <w:pPr>
        <w:spacing w:before="0" w:after="100" w:line="276" w:lineRule="auto"/>
        <w:jc w:val="both"/>
      </w:pPr>
      <w:r>
        <w:rPr>
          <w:rFonts w:ascii="Times New Roman" w:hAnsi="Times New Roman"/>
          <w:b w:val="0"/>
          <w:i w:val="0"/>
          <w:color w:val="000000"/>
          <w:sz w:val="24"/>
        </w:rPr>
        <w:t>To design, develop, and experimentally evaluate an AI-based rotor weld detection and automated quality inspection system,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1.3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sample feature importance profiling.</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benchmark, and deploy a dual-model framework combining an explainable white-box Decision Tree with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1.4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sample feature discriminative profiling,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1.5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2"/>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(such as explainable Decision Trees) offer transparent,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3"/>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AI-based rotor weld detection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Dual AI Defect Detection - The system extracts 15 physical descriptors (intensity, contour shape, and GLCM surface texture) and feeds them into a synergistic dual-model architecture: an explainable white-box Decision Tree and a transfer-learned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4"/>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5"/>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6"/>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Gini feature importance ranking, and explainable Decision Tree classifier.</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7"/>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Dual-model classification consensus between the explainable Decision Tree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8"/>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9"/>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r>
        <w:br w:type="page"/>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20"/>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supervised sample classification and subsequent machine learning models.</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In modern electrified powertrain manufacturing, a simplistic binary pass/fail decision is commercially unacceptable. Discarding a precision-machined rotor core assembly due to a minor, easily fixable surface irregularity leads to severe material wastage and inflated production costs. Conversely, permitting a structurally flawed weld joint to enter the motor assembly line risks disastrous high-speed mechanical failure, severe centrifugal unbalance, and costly field recalls.</w:t>
      </w:r>
    </w:p>
    <w:p>
      <w:pPr>
        <w:spacing w:before="0" w:after="100" w:line="276" w:lineRule="auto"/>
        <w:jc w:val="both"/>
      </w:pPr>
      <w:r>
        <w:rPr>
          <w:rFonts w:ascii="Times New Roman" w:hAnsi="Times New Roman"/>
          <w:b w:val="0"/>
          <w:i w:val="0"/>
          <w:color w:val="000000"/>
          <w:sz w:val="24"/>
        </w:rPr>
        <w:t>To satisfy industrial lean manufacturing principles, the automated inspection engine maps the visual feature descriptors and classification decisions into three actionable operational tiers (Table 4.6):</w:t>
      </w:r>
    </w:p>
    <w:tbl>
      <w:tblPr>
        <w:tblW w:type="auto" w:w="0"/>
        <w:jc w:val="center"/>
        <w:tblLook w:firstColumn="1" w:firstRow="1" w:lastColumn="0" w:lastRow="0" w:noHBand="0" w:noVBand="1" w:val="04A0"/>
      </w:tblPr>
      <w:tblGrid>
        <w:gridCol w:w="3250"/>
        <w:gridCol w:w="3250"/>
        <w:gridCol w:w="3250"/>
      </w:tblGrid>
      <w:tr>
        <w:tc>
          <w:tcPr>
            <w:tcW w:type="dxa" w:w="34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CRITERIA</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TIER</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SHOP-FLOOR ACTION &amp; SIGNAL</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&gt;= 0.84, uniform intensity (mu &gt;= 118.4), low GLCM entropy (&lt;= 4.62)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1:</w:t>
              <w:br/>
              <w:t>ACCEPT</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without restriction. Direct pass to dynamic rotor balancing line and motor assembly. Continuous Green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moderate entropy (&lt;= 4.62), localized surface oxidation, cold lap</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2:</w:t>
              <w:br/>
              <w:t>REWORK</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Reworkable surface flaw. Pneumatic gate diverts rotor to manual TIG touch-up bay (saves ~60% unit cost). Amber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high entropy (&gt; 4.62), severe molten droop, deep porosity, crack</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3:</w:t>
              <w:br/>
              <w:t>SCRAP</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Fatal structural defect. Eject immediately via drop chute to metal recovery and recycling bin. Red tower beacon &amp; siren alert.</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confidence scores, ambiguous boundary or dual-model conflict</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w:t>
              <w:br/>
              <w:t>REVIEW</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Quality hold. Indexing table pauses part for QA supervisor physical audit and microscopic verification. Pulsing alert buzzer.</w:t>
            </w:r>
          </w:p>
        </w:tc>
      </w:tr>
    </w:tbl>
    <w:p>
      <w:pPr>
        <w:spacing w:before="80" w:after="80"/>
        <w:jc w:val="center"/>
      </w:pPr>
      <w:r>
        <w:drawing>
          <wp:inline xmlns:a="http://schemas.openxmlformats.org/drawingml/2006/main" xmlns:pic="http://schemas.openxmlformats.org/drawingml/2006/picture">
            <wp:extent cx="5852160" cy="3195860"/>
            <wp:docPr id="12" name="Picture 12"/>
            <wp:cNvGraphicFramePr>
              <a:graphicFrameLocks noChangeAspect="1"/>
            </wp:cNvGraphicFramePr>
            <a:graphic>
              <a:graphicData uri="http://schemas.openxmlformats.org/drawingml/2006/picture">
                <pic:pic>
                  <pic:nvPicPr>
                    <pic:cNvPr id="0" name="fig_sorting_and_reporting_pipeline.png"/>
                    <pic:cNvPicPr/>
                  </pic:nvPicPr>
                  <pic:blipFill>
                    <a:blip r:embed="rId21"/>
                    <a:stretch>
                      <a:fillRect/>
                    </a:stretch>
                  </pic:blipFill>
                  <pic:spPr>
                    <a:xfrm>
                      <a:off x="0" y="0"/>
                      <a:ext cx="5852160" cy="3195860"/>
                    </a:xfrm>
                    <a:prstGeom prst="rect"/>
                  </pic:spPr>
                </pic:pic>
              </a:graphicData>
            </a:graphic>
          </wp:inline>
        </w:drawing>
      </w:r>
    </w:p>
    <w:p>
      <w:pPr>
        <w:spacing w:before="60" w:after="120"/>
        <w:jc w:val="center"/>
      </w:pPr>
      <w:r>
        <w:rPr>
          <w:rFonts w:ascii="Times New Roman" w:hAnsi="Times New Roman"/>
          <w:b/>
          <w:i/>
          <w:sz w:val="22"/>
        </w:rPr>
        <w:t>Fig. 4.4 Industrial 3-tier sorting decision logic and automated quality reporting pipeline</w:t>
      </w:r>
    </w:p>
    <w:p>
      <w:r>
        <w:br w:type="page"/>
      </w:r>
    </w:p>
    <w:p>
      <w:pPr>
        <w:spacing w:before="0" w:after="80" w:line="276" w:lineRule="auto"/>
      </w:pPr>
      <w:r>
        <w:rPr>
          <w:rFonts w:ascii="Times New Roman" w:hAnsi="Times New Roman"/>
          <w:b/>
          <w:color w:val="000000"/>
          <w:sz w:val="26"/>
        </w:rPr>
        <w:t>4.7 OUTPUT INDICATION AND ISO 9001:2015 AUDIT COMPLIANCE</w:t>
      </w:r>
    </w:p>
    <w:p>
      <w:pPr>
        <w:spacing w:before="0" w:after="100" w:line="276" w:lineRule="auto"/>
        <w:jc w:val="both"/>
      </w:pPr>
      <w:r>
        <w:rPr>
          <w:rFonts w:ascii="Times New Roman" w:hAnsi="Times New Roman"/>
          <w:b w:val="0"/>
          <w:i w:val="0"/>
          <w:color w:val="000000"/>
          <w:sz w:val="24"/>
        </w:rPr>
        <w:t>Upon completing tier classification, the cyber-physical station executes dual real-time output actions (Fig. 4.4): (1) Visual feedback via an interactive HTML5 web canvas with color-coded bounding boxes (Green for Accept, Amber for Rework, Red for Scrap) and digital I/O trigger signals driving shop-floor sorting gates, and (2) Automated generation of immutable ISO 9001:2015 inspection certificates in PDF format. Each batch report logs timestamps, specimen serial ID, operator credentials, and extracted feature telemetry. A 256-bit cryptographic digest (SHA-256) is mathematically embedded in the report header, ensuring that any subsequent manual alteration immediately invalidates the hash, guaranteeing 100% tamper-proof traceability for regulatory quality audits.</w:t>
      </w:r>
    </w:p>
    <w:p>
      <w:pPr>
        <w:spacing w:before="8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3.11/3.14 utilizing an asynchronous Flask web server designed for low-latency edge deployment on standard industrial PCs without external cloud dependencies. The integrated pipeline links: (i) Mobile/optical camera image ingest, (ii) Saliency-guided Sobel edge detection and adaptive annular cropping, (iii) Fast mathematical extraction of 15 visual features, (iv) Decision Tree classification and tier mapping within 48.2 ms, (v) Real-time web canvas telemetry rendering, and (vi) Automated PDF certificate generation with SHA-256 cryptographic signing.</w:t>
      </w:r>
    </w:p>
    <w:p>
      <w:pPr>
        <w:spacing w:before="80" w:after="80" w:line="276" w:lineRule="auto"/>
      </w:pPr>
      <w:r>
        <w:rPr>
          <w:rFonts w:ascii="Times New Roman" w:hAnsi="Times New Roman"/>
          <w:b/>
          <w:color w:val="000000"/>
          <w:sz w:val="26"/>
        </w:rPr>
        <w:t>4.9 IMPORTANT TECHNICAL OBSERVATIONS AND ENGINEERING INSIGHTS</w:t>
      </w:r>
    </w:p>
    <w:p>
      <w:pPr>
        <w:pStyle w:val="ListBullet"/>
        <w:spacing w:before="0" w:after="60" w:line="276" w:lineRule="auto"/>
        <w:jc w:val="both"/>
      </w:pPr>
      <w:r>
        <w:rPr>
          <w:rFonts w:ascii="Times New Roman" w:hAnsi="Times New Roman"/>
          <w:color w:val="000000"/>
          <w:sz w:val="24"/>
        </w:rPr>
        <w:t>Bounding Box Expansion (+15% H, +25% V): Mandatory requirement. Unpadded bounding boxes clipped 42% of severe molten droplet anomalies protruding beyond the nominal seam. Clipping artificially raised solidity from 0.72 to 0.88, causing defective specimens to be misclassified as sound welds.</w:t>
      </w:r>
    </w:p>
    <w:p>
      <w:pPr>
        <w:pStyle w:val="ListBullet"/>
        <w:spacing w:before="0" w:after="60" w:line="276" w:lineRule="auto"/>
        <w:jc w:val="both"/>
      </w:pPr>
      <w:r>
        <w:rPr>
          <w:rFonts w:ascii="Times New Roman" w:hAnsi="Times New Roman"/>
          <w:color w:val="000000"/>
          <w:sz w:val="24"/>
        </w:rPr>
        <w:t>GLCM Energy and Entropy Collinearity: Haralick Energy (uniformity) and Entropy (surface chaos) exhibited strong negative Pearson correlation (r = -0.94). This provides robust self-checking validation: sound welds exhibit high energy and low entropy, whereas defective seams exhibit low energy and high entropy.</w:t>
      </w:r>
    </w:p>
    <w:p>
      <w:pPr>
        <w:pStyle w:val="ListBullet"/>
        <w:spacing w:before="0" w:after="60" w:line="276" w:lineRule="auto"/>
        <w:jc w:val="both"/>
      </w:pPr>
      <w:r>
        <w:rPr>
          <w:rFonts w:ascii="Times New Roman" w:hAnsi="Times New Roman"/>
          <w:color w:val="000000"/>
          <w:sz w:val="24"/>
        </w:rPr>
        <w:t>Impact of Saliency Cropping on Deep Learning: MobileNetV3-Small transfer learning achieved a +16.1% classification accuracy gain when trained on saliency-cropped weld seams over raw uncropped frames, proving that eliminating background clutter is essential for neural feature learning.</w:t>
      </w:r>
    </w:p>
    <w:p>
      <w:pPr>
        <w:spacing w:before="80" w:after="80" w:line="276" w:lineRule="auto"/>
      </w:pPr>
      <w:r>
        <w:rPr>
          <w:rFonts w:ascii="Times New Roman" w:hAnsi="Times New Roman"/>
          <w:b/>
          <w:color w:val="000000"/>
          <w:sz w:val="26"/>
        </w:rPr>
        <w:t>4.10 DEEP CONVOLUTIONAL VALIDATION (MOBILENETV3)</w:t>
      </w:r>
    </w:p>
    <w:p>
      <w:pPr>
        <w:spacing w:before="0" w:after="100" w:line="276" w:lineRule="auto"/>
        <w:jc w:val="both"/>
      </w:pPr>
      <w:r>
        <w:rPr>
          <w:rFonts w:ascii="Times New Roman" w:hAnsi="Times New Roman"/>
          <w:b w:val="0"/>
          <w:i w:val="0"/>
          <w:color w:val="000000"/>
          <w:sz w:val="24"/>
        </w:rPr>
        <w:t>While hand-crafted mathematical descriptors (Section 4.4) provide rapid, explainable decision rules, they are constrained by fixed geometric formulas. To establish multi-tiered verification, a lightweight deep convolutional neural network (MobileNetV3-Small) was fine-tuned on the annotated rotor seam dataset. Operating directly on raw normalized pixel matrices, MobileNetV3 extracts hierarchical spatial representations through depthwise separable convolutions. Acting as an independent 'second opinion' validator, when both the Decision Tree and MobileNetV3 concur, classification confidence exceeds 99.2%, virtually eliminating false acceptances.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Before deploying machine learning classifiers or training neural networks, it is essential to understand the raw optical signal characteristics of the rotor specimen. In this foundational phase, exploratory signal and image processing routines were executed in MATLAB Online (matlab.mathworks.com) to examine luminance distributions, boundary gradients, and spatial intensity profiles. The 2D camera image is treated as a discrete optical intensity matrix I(r, c), where r denotes the radial row coordinate and c denotes the tangential column coordinate.</w:t>
      </w:r>
    </w:p>
    <w:p>
      <w:pPr>
        <w:spacing w:before="0" w:after="100" w:line="276" w:lineRule="auto"/>
        <w:jc w:val="both"/>
      </w:pPr>
      <w:r>
        <w:rPr>
          <w:rFonts w:ascii="Times New Roman" w:hAnsi="Times New Roman"/>
          <w:b w:val="0"/>
          <w:i w:val="0"/>
          <w:color w:val="000000"/>
          <w:sz w:val="24"/>
        </w:rPr>
        <w:t>To establish empirical segmentation thresholds between the dark background fixture and the highly reflective metallic weld seam, the 2D image matrix is decomposed into 1D directional signal waveforms:</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Table 4.11 summarizes the global statistical moments computed in MATLAB Online for representative sound (G-01) and defective (D-01) rotor specimens, providing empirical validation for feature thresholds:</w:t>
      </w:r>
    </w:p>
    <w:tbl>
      <w:tblPr>
        <w:tblW w:type="auto" w:w="0"/>
        <w:jc w:val="center"/>
        <w:tblLook w:firstColumn="1" w:firstRow="1" w:lastColumn="0" w:lastRow="0" w:noHBand="0" w:noVBand="1" w:val="04A0"/>
      </w:tblPr>
      <w:tblGrid>
        <w:gridCol w:w="1950"/>
        <w:gridCol w:w="1950"/>
        <w:gridCol w:w="1950"/>
        <w:gridCol w:w="1950"/>
        <w:gridCol w:w="19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 IN SIMPLE TERMS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Overall brightness jumps from 74.83 to 147.65 (+97.3%) because shiny melted slag blobs act like curved mirrors reflecting direct camera light.</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Middle brightness shifts higher from 68 to 144, proving the entire defective body is brighter, not just an isolated spot.</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72.2150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spread increases by 19.0%, reflecting an irregular, bumpy, and non-uniform weld surface.</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5215.01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increases (+41.6%), jumping wildly between bright specular glares and deep shadow crevices.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Deepest background shadows reach absolute black (0), demonstrating tightly controlled lighting conditions.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Reaches pure white saturation (255) on sharp reflective crests of protruding molten droplets.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Full 8-bit dynamic span utilized across the macro inspection optical window.</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Most frequent pixel tone shifts from 20 (dark fixture base) to 141 (bright molten copper spatter coating the bars).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Flips from positive skewness (+0.78, fixture-dominated) to negative (-0.48), capturing an asymmetric tail of bright specular reflections.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Rises from platykurtic 2.63 to 4.13, mathematically proving the physical presence of sharp protruding defect lumps rather than a flat surface.</w:t>
            </w:r>
          </w:p>
        </w:tc>
        <w:tc>
          <w:tcPr>
            <w:tcW w:type="dxa" w:w="1950"/>
          </w:tcPr>
          <w:p/>
        </w:tc>
      </w:tr>
    </w:tbl>
    <w:p>
      <w:r>
        <w:br w:type="page"/>
      </w:r>
    </w:p>
    <w:p>
      <w:pPr>
        <w:spacing w:before="0" w:after="80" w:line="276" w:lineRule="auto"/>
      </w:pPr>
      <w:r>
        <w:rPr>
          <w:rFonts w:ascii="Times New Roman" w:hAnsi="Times New Roman"/>
          <w:b/>
          <w:color w:val="000000"/>
          <w:sz w:val="26"/>
        </w:rPr>
        <w:t>4.11.1 MATLAB SCRIPT IMPLEMENTATIONS AND AUTOMATED STATISTICAL EXTRACTION</w:t>
      </w:r>
    </w:p>
    <w:p>
      <w:pPr>
        <w:spacing w:before="0" w:after="100" w:line="276" w:lineRule="auto"/>
        <w:jc w:val="both"/>
      </w:pPr>
      <w:r>
        <w:rPr>
          <w:rFonts w:ascii="Times New Roman" w:hAnsi="Times New Roman"/>
          <w:b w:val="0"/>
          <w:i w:val="0"/>
          <w:color w:val="000000"/>
          <w:sz w:val="24"/>
        </w:rPr>
        <w:t>A structured, 14-step automated exploratory script (Statisticalanalysis_goodrotor.m) was authored in MATLAB to ingest raw optical captures, execute mathematical transformations, compute 1D signal vectors, generate diagnostic figures, and export telemetry into a multi-sheet Excel workbook (goodrotor_statistical_analysis.xlsx).</w:t>
      </w:r>
    </w:p>
    <w:tbl>
      <w:tblPr>
        <w:tblW w:type="auto" w:w="0"/>
        <w:jc w:val="center"/>
        <w:tblLook w:firstColumn="1" w:firstRow="1" w:lastColumn="0" w:lastRow="0" w:noHBand="0" w:noVBand="1" w:val="04A0"/>
      </w:tblPr>
      <w:tblGrid>
        <w:gridCol w:w="9749"/>
      </w:tblGrid>
      <w:tr>
        <w:tc>
          <w:tcPr>
            <w:tcW w:type="dxa" w:w="9648"/>
            <w:shd w:val="clear" w:color="auto" w:fill="F8F9FA"/>
            <w:tcBorders>
              <w:top w:val="single" w:sz="6" w:space="0" w:color="D0D7DE"/>
              <w:left w:val="single" w:sz="24" w:space="0" w:color="E65100"/>
              <w:bottom w:val="single" w:sz="6" w:space="0" w:color="D0D7DE"/>
              <w:right w:val="single" w:sz="6" w:space="0" w:color="D0D7DE"/>
            </w:tcBorders>
          </w:tcPr>
          <w:p>
            <w:pPr>
              <w:spacing w:before="60" w:after="60" w:line="252" w:lineRule="auto"/>
            </w:pPr>
            <w:r>
              <w:rPr>
                <w:rFonts w:ascii="Consolas" w:hAnsi="Consolas"/>
                <w:b w:val="0"/>
                <w:i/>
                <w:color w:val="22863A"/>
                <w:sz w:val="15"/>
              </w:rPr>
              <w:t>% =========================================================================</w:t>
            </w:r>
          </w:p>
          <w:p>
            <w:pPr>
              <w:spacing w:before="0" w:after="0" w:line="252" w:lineRule="auto"/>
            </w:pPr>
            <w:r>
              <w:rPr>
                <w:rFonts w:ascii="Consolas" w:hAnsi="Consolas"/>
                <w:b w:val="0"/>
                <w:i/>
                <w:color w:val="22863A"/>
                <w:sz w:val="15"/>
              </w:rPr>
              <w:t>% Statisticalanalysis_goodrotor.m - Automated Signal Analysis Pipeline</w:t>
            </w:r>
          </w:p>
          <w:p>
            <w:pPr>
              <w:spacing w:before="0" w:after="0" w:line="252" w:lineRule="auto"/>
            </w:pPr>
            <w:r>
              <w:rPr>
                <w:rFonts w:ascii="Consolas" w:hAnsi="Consolas"/>
                <w:b w:val="0"/>
                <w:i/>
                <w:color w:val="22863A"/>
                <w:sz w:val="15"/>
              </w:rPr>
              <w:t>% =========================================================================</w:t>
            </w:r>
          </w:p>
          <w:p>
            <w:pPr>
              <w:spacing w:before="0" w:after="0" w:line="252" w:lineRule="auto"/>
            </w:pPr>
            <w:r>
              <w:rPr>
                <w:rFonts w:ascii="Consolas" w:hAnsi="Consolas"/>
                <w:b/>
                <w:i w:val="0"/>
                <w:color w:val="005CC5"/>
                <w:sz w:val="15"/>
              </w:rPr>
              <w:t>clc</w:t>
            </w:r>
            <w:r>
              <w:rPr>
                <w:rFonts w:ascii="Consolas" w:hAnsi="Consolas"/>
                <w:b w:val="0"/>
                <w:i w:val="0"/>
                <w:color w:val="24292E"/>
                <w:sz w:val="15"/>
              </w:rPr>
              <w:t xml:space="preserve">; </w:t>
            </w:r>
            <w:r>
              <w:rPr>
                <w:rFonts w:ascii="Consolas" w:hAnsi="Consolas"/>
                <w:b/>
                <w:i w:val="0"/>
                <w:color w:val="005CC5"/>
                <w:sz w:val="15"/>
              </w:rPr>
              <w:t>clear</w:t>
            </w:r>
            <w:r>
              <w:rPr>
                <w:rFonts w:ascii="Consolas" w:hAnsi="Consolas"/>
                <w:b w:val="0"/>
                <w:i w:val="0"/>
                <w:color w:val="24292E"/>
                <w:sz w:val="15"/>
              </w:rPr>
              <w:t xml:space="preserve">; </w:t>
            </w:r>
            <w:r>
              <w:rPr>
                <w:rFonts w:ascii="Consolas" w:hAnsi="Consolas"/>
                <w:b/>
                <w:i w:val="0"/>
                <w:color w:val="005CC5"/>
                <w:sz w:val="15"/>
              </w:rPr>
              <w:t>close all</w:t>
            </w:r>
            <w:r>
              <w:rPr>
                <w:rFonts w:ascii="Consolas" w:hAnsi="Consolas"/>
                <w:b w:val="0"/>
                <w:i w:val="0"/>
                <w:color w:val="24292E"/>
                <w:sz w:val="15"/>
              </w:rPr>
              <w:t>;</w:t>
            </w:r>
          </w:p>
          <w:p>
            <w:pPr>
              <w:spacing w:before="0" w:after="0" w:line="252" w:lineRule="auto"/>
            </w:pPr>
            <w:r>
              <w:rPr>
                <w:rFonts w:ascii="Consolas" w:hAnsi="Consolas"/>
                <w:b w:val="0"/>
                <w:i/>
                <w:color w:val="22863A"/>
                <w:sz w:val="15"/>
              </w:rPr>
              <w:t>% STEP 1 &amp; 2: Ingest Image, Validate Channels, and Convert to Grayscale Double</w:t>
            </w:r>
          </w:p>
          <w:p>
            <w:pPr>
              <w:spacing w:before="0" w:after="0" w:line="252" w:lineRule="auto"/>
            </w:pPr>
            <w:r>
              <w:rPr>
                <w:rFonts w:ascii="Consolas" w:hAnsi="Consolas"/>
                <w:b w:val="0"/>
                <w:i w:val="0"/>
                <w:color w:val="005CC5"/>
                <w:sz w:val="15"/>
              </w:rPr>
              <w:t>img</w:t>
            </w:r>
            <w:r>
              <w:rPr>
                <w:rFonts w:ascii="Consolas" w:hAnsi="Consolas"/>
                <w:b w:val="0"/>
                <w:i w:val="0"/>
                <w:color w:val="24292E"/>
                <w:sz w:val="15"/>
              </w:rPr>
              <w:t xml:space="preserve"> = </w:t>
            </w:r>
            <w:r>
              <w:rPr>
                <w:rFonts w:ascii="Consolas" w:hAnsi="Consolas"/>
                <w:b w:val="0"/>
                <w:i w:val="0"/>
                <w:color w:val="6F42C1"/>
                <w:sz w:val="15"/>
              </w:rPr>
              <w:t>imread</w:t>
            </w:r>
            <w:r>
              <w:rPr>
                <w:rFonts w:ascii="Consolas" w:hAnsi="Consolas"/>
                <w:b w:val="0"/>
                <w:i w:val="0"/>
                <w:color w:val="A31515"/>
                <w:sz w:val="15"/>
              </w:rPr>
              <w:t>('goodrotor.jpeg');</w:t>
            </w:r>
          </w:p>
          <w:p>
            <w:pPr>
              <w:spacing w:before="0" w:after="0" w:line="252" w:lineRule="auto"/>
            </w:pPr>
            <w:r>
              <w:rPr>
                <w:rFonts w:ascii="Consolas" w:hAnsi="Consolas"/>
                <w:b/>
                <w:i w:val="0"/>
                <w:color w:val="D73A49"/>
                <w:sz w:val="15"/>
              </w:rPr>
              <w:t>if</w:t>
            </w:r>
            <w:r>
              <w:rPr>
                <w:rFonts w:ascii="Consolas" w:hAnsi="Consolas"/>
                <w:b w:val="0"/>
                <w:i w:val="0"/>
                <w:color w:val="24292E"/>
                <w:sz w:val="15"/>
              </w:rPr>
              <w:t xml:space="preserve"> size(img, 3) == 3; imgGray = rgb2gray(img); </w:t>
            </w:r>
            <w:r>
              <w:rPr>
                <w:rFonts w:ascii="Consolas" w:hAnsi="Consolas"/>
                <w:b/>
                <w:i w:val="0"/>
                <w:color w:val="D73A49"/>
                <w:sz w:val="15"/>
              </w:rPr>
              <w:t>else</w:t>
            </w:r>
            <w:r>
              <w:rPr>
                <w:rFonts w:ascii="Consolas" w:hAnsi="Consolas"/>
                <w:b w:val="0"/>
                <w:i w:val="0"/>
                <w:color w:val="24292E"/>
                <w:sz w:val="15"/>
              </w:rPr>
              <w:t xml:space="preserve">; imgGray = img; </w:t>
            </w:r>
            <w:r>
              <w:rPr>
                <w:rFonts w:ascii="Consolas" w:hAnsi="Consolas"/>
                <w:b/>
                <w:i w:val="0"/>
                <w:color w:val="D73A49"/>
                <w:sz w:val="15"/>
              </w:rPr>
              <w:t>end</w:t>
            </w:r>
          </w:p>
          <w:p>
            <w:pPr>
              <w:spacing w:before="0" w:after="0" w:line="252" w:lineRule="auto"/>
            </w:pPr>
            <w:r>
              <w:rPr>
                <w:rFonts w:ascii="Consolas" w:hAnsi="Consolas"/>
                <w:b w:val="0"/>
                <w:i w:val="0"/>
                <w:color w:val="005CC5"/>
                <w:sz w:val="15"/>
              </w:rPr>
              <w:t>imgDouble</w:t>
            </w:r>
            <w:r>
              <w:rPr>
                <w:rFonts w:ascii="Consolas" w:hAnsi="Consolas"/>
                <w:b w:val="0"/>
                <w:i w:val="0"/>
                <w:color w:val="24292E"/>
                <w:sz w:val="15"/>
              </w:rPr>
              <w:t xml:space="preserve"> = </w:t>
            </w:r>
            <w:r>
              <w:rPr>
                <w:rFonts w:ascii="Consolas" w:hAnsi="Consolas"/>
                <w:b w:val="0"/>
                <w:i w:val="0"/>
                <w:color w:val="6F42C1"/>
                <w:sz w:val="15"/>
              </w:rPr>
              <w:t>double</w:t>
            </w:r>
            <w:r>
              <w:rPr>
                <w:rFonts w:ascii="Consolas" w:hAnsi="Consolas"/>
                <w:b w:val="0"/>
                <w:i/>
                <w:color w:val="22863A"/>
                <w:sz w:val="15"/>
              </w:rPr>
              <w:t>(imgGray); % Convert to IEEE 64-bit float precision</w:t>
            </w:r>
          </w:p>
          <w:p>
            <w:pPr>
              <w:spacing w:before="0" w:after="0" w:line="252" w:lineRule="auto"/>
            </w:pPr>
            <w:r>
              <w:rPr>
                <w:rFonts w:ascii="Consolas" w:hAnsi="Consolas"/>
                <w:b w:val="0"/>
                <w:i/>
                <w:color w:val="22863A"/>
                <w:sz w:val="15"/>
              </w:rPr>
              <w:t>% STEP 4 &amp; 5: Compute Statistical Moments and Output to Command Window</w:t>
            </w:r>
          </w:p>
          <w:p>
            <w:pPr>
              <w:spacing w:before="0" w:after="0" w:line="252" w:lineRule="auto"/>
            </w:pPr>
            <w:r>
              <w:rPr>
                <w:rFonts w:ascii="Consolas" w:hAnsi="Consolas"/>
                <w:b w:val="0"/>
                <w:i w:val="0"/>
                <w:color w:val="005CC5"/>
                <w:sz w:val="15"/>
              </w:rPr>
              <w:t>MeanValue</w:t>
            </w:r>
            <w:r>
              <w:rPr>
                <w:rFonts w:ascii="Consolas" w:hAnsi="Consolas"/>
                <w:b w:val="0"/>
                <w:i w:val="0"/>
                <w:color w:val="24292E"/>
                <w:sz w:val="15"/>
              </w:rPr>
              <w:t xml:space="preserve">     = </w:t>
            </w:r>
            <w:r>
              <w:rPr>
                <w:rFonts w:ascii="Consolas" w:hAnsi="Consolas"/>
                <w:b w:val="0"/>
                <w:i w:val="0"/>
                <w:color w:val="6F42C1"/>
                <w:sz w:val="15"/>
              </w:rPr>
              <w:t>mean</w:t>
            </w:r>
            <w:r>
              <w:rPr>
                <w:rFonts w:ascii="Consolas" w:hAnsi="Consolas"/>
                <w:b w:val="0"/>
                <w:i/>
                <w:color w:val="22863A"/>
                <w:sz w:val="15"/>
              </w:rPr>
              <w:t>(imgDouble(:));      % 74.8271 (Global Mean Intensity)</w:t>
            </w:r>
          </w:p>
          <w:p>
            <w:pPr>
              <w:spacing w:before="0" w:after="0" w:line="252" w:lineRule="auto"/>
            </w:pPr>
            <w:r>
              <w:rPr>
                <w:rFonts w:ascii="Consolas" w:hAnsi="Consolas"/>
                <w:b w:val="0"/>
                <w:i w:val="0"/>
                <w:color w:val="005CC5"/>
                <w:sz w:val="15"/>
              </w:rPr>
              <w:t>MedianValue</w:t>
            </w:r>
            <w:r>
              <w:rPr>
                <w:rFonts w:ascii="Consolas" w:hAnsi="Consolas"/>
                <w:b w:val="0"/>
                <w:i w:val="0"/>
                <w:color w:val="24292E"/>
                <w:sz w:val="15"/>
              </w:rPr>
              <w:t xml:space="preserve">   = </w:t>
            </w:r>
            <w:r>
              <w:rPr>
                <w:rFonts w:ascii="Consolas" w:hAnsi="Consolas"/>
                <w:b w:val="0"/>
                <w:i w:val="0"/>
                <w:color w:val="6F42C1"/>
                <w:sz w:val="15"/>
              </w:rPr>
              <w:t>median</w:t>
            </w:r>
            <w:r>
              <w:rPr>
                <w:rFonts w:ascii="Consolas" w:hAnsi="Consolas"/>
                <w:b w:val="0"/>
                <w:i/>
                <w:color w:val="22863A"/>
                <w:sz w:val="15"/>
              </w:rPr>
              <w:t>(imgDouble(:));    % 68.0000 (Median Intensity)</w:t>
            </w:r>
          </w:p>
          <w:p>
            <w:pPr>
              <w:spacing w:before="0" w:after="0" w:line="252" w:lineRule="auto"/>
            </w:pPr>
            <w:r>
              <w:rPr>
                <w:rFonts w:ascii="Consolas" w:hAnsi="Consolas"/>
                <w:b w:val="0"/>
                <w:i w:val="0"/>
                <w:color w:val="005CC5"/>
                <w:sz w:val="15"/>
              </w:rPr>
              <w:t>StdDeviation</w:t>
            </w:r>
            <w:r>
              <w:rPr>
                <w:rFonts w:ascii="Consolas" w:hAnsi="Consolas"/>
                <w:b w:val="0"/>
                <w:i w:val="0"/>
                <w:color w:val="24292E"/>
                <w:sz w:val="15"/>
              </w:rPr>
              <w:t xml:space="preserve">  = </w:t>
            </w:r>
            <w:r>
              <w:rPr>
                <w:rFonts w:ascii="Consolas" w:hAnsi="Consolas"/>
                <w:b w:val="0"/>
                <w:i w:val="0"/>
                <w:color w:val="6F42C1"/>
                <w:sz w:val="15"/>
              </w:rPr>
              <w:t>std</w:t>
            </w:r>
            <w:r>
              <w:rPr>
                <w:rFonts w:ascii="Consolas" w:hAnsi="Consolas"/>
                <w:b w:val="0"/>
                <w:i/>
                <w:color w:val="22863A"/>
                <w:sz w:val="15"/>
              </w:rPr>
              <w:t>(imgDouble(:));       % 60.6848 (Standard Deviation)</w:t>
            </w:r>
          </w:p>
          <w:p>
            <w:pPr>
              <w:spacing w:before="0" w:after="0" w:line="252" w:lineRule="auto"/>
            </w:pPr>
            <w:r>
              <w:rPr>
                <w:rFonts w:ascii="Consolas" w:hAnsi="Consolas"/>
                <w:b w:val="0"/>
                <w:i w:val="0"/>
                <w:color w:val="005CC5"/>
                <w:sz w:val="15"/>
              </w:rPr>
              <w:t>VarianceValue</w:t>
            </w:r>
            <w:r>
              <w:rPr>
                <w:rFonts w:ascii="Consolas" w:hAnsi="Consolas"/>
                <w:b w:val="0"/>
                <w:i w:val="0"/>
                <w:color w:val="24292E"/>
                <w:sz w:val="15"/>
              </w:rPr>
              <w:t xml:space="preserve"> = </w:t>
            </w:r>
            <w:r>
              <w:rPr>
                <w:rFonts w:ascii="Consolas" w:hAnsi="Consolas"/>
                <w:b w:val="0"/>
                <w:i w:val="0"/>
                <w:color w:val="6F42C1"/>
                <w:sz w:val="15"/>
              </w:rPr>
              <w:t>var</w:t>
            </w:r>
            <w:r>
              <w:rPr>
                <w:rFonts w:ascii="Consolas" w:hAnsi="Consolas"/>
                <w:b w:val="0"/>
                <w:i/>
                <w:color w:val="22863A"/>
                <w:sz w:val="15"/>
              </w:rPr>
              <w:t>(imgDouble(:));       % 3682.6405 (Intensity Variance)</w:t>
            </w:r>
          </w:p>
          <w:p>
            <w:pPr>
              <w:spacing w:before="0" w:after="0" w:line="252" w:lineRule="auto"/>
            </w:pPr>
            <w:r>
              <w:rPr>
                <w:rFonts w:ascii="Consolas" w:hAnsi="Consolas"/>
                <w:b w:val="0"/>
                <w:i w:val="0"/>
                <w:color w:val="005CC5"/>
                <w:sz w:val="15"/>
              </w:rPr>
              <w:t>RangeValue</w:t>
            </w:r>
            <w:r>
              <w:rPr>
                <w:rFonts w:ascii="Consolas" w:hAnsi="Consolas"/>
                <w:b w:val="0"/>
                <w:i w:val="0"/>
                <w:color w:val="24292E"/>
                <w:sz w:val="15"/>
              </w:rPr>
              <w:t xml:space="preserve">    = </w:t>
            </w:r>
            <w:r>
              <w:rPr>
                <w:rFonts w:ascii="Consolas" w:hAnsi="Consolas"/>
                <w:b w:val="0"/>
                <w:i/>
                <w:color w:val="22863A"/>
                <w:sz w:val="15"/>
              </w:rPr>
              <w:t>max(imgDouble(:)) - min(imgDouble(:)); % 255.0000 (Dynamic Range)</w:t>
            </w:r>
          </w:p>
          <w:p>
            <w:pPr>
              <w:spacing w:before="0" w:after="0" w:line="252" w:lineRule="auto"/>
            </w:pPr>
            <w:r>
              <w:rPr>
                <w:rFonts w:ascii="Consolas" w:hAnsi="Consolas"/>
                <w:b w:val="0"/>
                <w:i w:val="0"/>
                <w:color w:val="005CC5"/>
                <w:sz w:val="15"/>
              </w:rPr>
              <w:t>ModeValue</w:t>
            </w:r>
            <w:r>
              <w:rPr>
                <w:rFonts w:ascii="Consolas" w:hAnsi="Consolas"/>
                <w:b w:val="0"/>
                <w:i w:val="0"/>
                <w:color w:val="24292E"/>
                <w:sz w:val="15"/>
              </w:rPr>
              <w:t xml:space="preserve">     = </w:t>
            </w:r>
            <w:r>
              <w:rPr>
                <w:rFonts w:ascii="Consolas" w:hAnsi="Consolas"/>
                <w:b w:val="0"/>
                <w:i w:val="0"/>
                <w:color w:val="6F42C1"/>
                <w:sz w:val="15"/>
              </w:rPr>
              <w:t>mode</w:t>
            </w:r>
            <w:r>
              <w:rPr>
                <w:rFonts w:ascii="Consolas" w:hAnsi="Consolas"/>
                <w:b w:val="0"/>
                <w:i/>
                <w:color w:val="22863A"/>
                <w:sz w:val="15"/>
              </w:rPr>
              <w:t>(imgDouble(:));      % 20.0000 (Background Peak)</w:t>
            </w:r>
          </w:p>
          <w:p>
            <w:pPr>
              <w:spacing w:before="0" w:after="0" w:line="252" w:lineRule="auto"/>
            </w:pPr>
            <w:r>
              <w:rPr>
                <w:rFonts w:ascii="Consolas" w:hAnsi="Consolas"/>
                <w:b w:val="0"/>
                <w:i w:val="0"/>
                <w:color w:val="005CC5"/>
                <w:sz w:val="15"/>
              </w:rPr>
              <w:t>SkewnessValue</w:t>
            </w:r>
            <w:r>
              <w:rPr>
                <w:rFonts w:ascii="Consolas" w:hAnsi="Consolas"/>
                <w:b w:val="0"/>
                <w:i w:val="0"/>
                <w:color w:val="24292E"/>
                <w:sz w:val="15"/>
              </w:rPr>
              <w:t xml:space="preserve"> = </w:t>
            </w:r>
            <w:r>
              <w:rPr>
                <w:rFonts w:ascii="Consolas" w:hAnsi="Consolas"/>
                <w:b w:val="0"/>
                <w:i w:val="0"/>
                <w:color w:val="6F42C1"/>
                <w:sz w:val="15"/>
              </w:rPr>
              <w:t>skewness</w:t>
            </w:r>
            <w:r>
              <w:rPr>
                <w:rFonts w:ascii="Consolas" w:hAnsi="Consolas"/>
                <w:b w:val="0"/>
                <w:i/>
                <w:color w:val="22863A"/>
                <w:sz w:val="15"/>
              </w:rPr>
              <w:t>(imgDouble(:));  % 0.7761 (Positive Skewness)</w:t>
            </w:r>
          </w:p>
          <w:p>
            <w:pPr>
              <w:spacing w:before="0" w:after="0" w:line="252" w:lineRule="auto"/>
            </w:pPr>
            <w:r>
              <w:rPr>
                <w:rFonts w:ascii="Consolas" w:hAnsi="Consolas"/>
                <w:b w:val="0"/>
                <w:i w:val="0"/>
                <w:color w:val="005CC5"/>
                <w:sz w:val="15"/>
              </w:rPr>
              <w:t>KurtosisValue</w:t>
            </w:r>
            <w:r>
              <w:rPr>
                <w:rFonts w:ascii="Consolas" w:hAnsi="Consolas"/>
                <w:b w:val="0"/>
                <w:i w:val="0"/>
                <w:color w:val="24292E"/>
                <w:sz w:val="15"/>
              </w:rPr>
              <w:t xml:space="preserve"> = </w:t>
            </w:r>
            <w:r>
              <w:rPr>
                <w:rFonts w:ascii="Consolas" w:hAnsi="Consolas"/>
                <w:b w:val="0"/>
                <w:i w:val="0"/>
                <w:color w:val="6F42C1"/>
                <w:sz w:val="15"/>
              </w:rPr>
              <w:t>kurtosis</w:t>
            </w:r>
            <w:r>
              <w:rPr>
                <w:rFonts w:ascii="Consolas" w:hAnsi="Consolas"/>
                <w:b w:val="0"/>
                <w:i/>
                <w:color w:val="22863A"/>
                <w:sz w:val="15"/>
              </w:rPr>
              <w:t>(imgDouble(:));  % 2.6271 (Platykurtic Curve)</w:t>
            </w:r>
          </w:p>
          <w:p>
            <w:pPr>
              <w:spacing w:before="0" w:after="0" w:line="252" w:lineRule="auto"/>
            </w:pPr>
            <w:r>
              <w:rPr>
                <w:rFonts w:ascii="Consolas" w:hAnsi="Consolas"/>
                <w:b w:val="0"/>
                <w:i/>
                <w:color w:val="22863A"/>
                <w:sz w:val="15"/>
              </w:rPr>
              <w:t>% STEP 6 &amp; 7: 1D Spatial Profiling (Horizontal Rows &amp; Vertical Columns)</w:t>
            </w:r>
          </w:p>
          <w:p>
            <w:pPr>
              <w:spacing w:before="0" w:after="0" w:line="252" w:lineRule="auto"/>
            </w:pPr>
            <w:r>
              <w:rPr>
                <w:rFonts w:ascii="Consolas" w:hAnsi="Consolas"/>
                <w:b w:val="0"/>
                <w:i w:val="0"/>
                <w:color w:val="005CC5"/>
                <w:sz w:val="15"/>
              </w:rPr>
              <w:t>RowMean</w:t>
            </w:r>
            <w:r>
              <w:rPr>
                <w:rFonts w:ascii="Consolas" w:hAnsi="Consolas"/>
                <w:b w:val="0"/>
                <w:i w:val="0"/>
                <w:color w:val="24292E"/>
                <w:sz w:val="15"/>
              </w:rPr>
              <w:t xml:space="preserve"> = mean(imgDouble, 2); </w:t>
            </w:r>
            <w:r>
              <w:rPr>
                <w:rFonts w:ascii="Consolas" w:hAnsi="Consolas"/>
                <w:b w:val="0"/>
                <w:i w:val="0"/>
                <w:color w:val="005CC5"/>
                <w:sz w:val="15"/>
              </w:rPr>
              <w:t>RowStd</w:t>
            </w:r>
            <w:r>
              <w:rPr>
                <w:rFonts w:ascii="Consolas" w:hAnsi="Consolas"/>
                <w:b w:val="0"/>
                <w:i w:val="0"/>
                <w:color w:val="24292E"/>
                <w:sz w:val="15"/>
              </w:rPr>
              <w:t xml:space="preserve"> = std(imgDouble, 0, 2);</w:t>
            </w:r>
          </w:p>
          <w:p>
            <w:pPr>
              <w:spacing w:before="0" w:after="0" w:line="252" w:lineRule="auto"/>
            </w:pPr>
            <w:r>
              <w:rPr>
                <w:rFonts w:ascii="Consolas" w:hAnsi="Consolas"/>
                <w:b w:val="0"/>
                <w:i w:val="0"/>
                <w:color w:val="005CC5"/>
                <w:sz w:val="15"/>
              </w:rPr>
              <w:t>ColumnMean</w:t>
            </w:r>
            <w:r>
              <w:rPr>
                <w:rFonts w:ascii="Consolas" w:hAnsi="Consolas"/>
                <w:b w:val="0"/>
                <w:i w:val="0"/>
                <w:color w:val="24292E"/>
                <w:sz w:val="15"/>
              </w:rPr>
              <w:t xml:space="preserve"> = mean(imgDouble, 1)'; </w:t>
            </w:r>
            <w:r>
              <w:rPr>
                <w:rFonts w:ascii="Consolas" w:hAnsi="Consolas"/>
                <w:b w:val="0"/>
                <w:i w:val="0"/>
                <w:color w:val="005CC5"/>
                <w:sz w:val="15"/>
              </w:rPr>
              <w:t>ColumnStd</w:t>
            </w:r>
            <w:r>
              <w:rPr>
                <w:rFonts w:ascii="Consolas" w:hAnsi="Consolas"/>
                <w:b w:val="0"/>
                <w:i w:val="0"/>
                <w:color w:val="24292E"/>
                <w:sz w:val="15"/>
              </w:rPr>
              <w:t xml:space="preserve"> = std(imgDouble, 0, 1)';</w:t>
            </w:r>
          </w:p>
          <w:p>
            <w:pPr>
              <w:spacing w:before="0" w:after="0" w:line="252" w:lineRule="auto"/>
            </w:pPr>
            <w:r>
              <w:rPr>
                <w:rFonts w:ascii="Consolas" w:hAnsi="Consolas"/>
                <w:b w:val="0"/>
                <w:i/>
                <w:color w:val="22863A"/>
                <w:sz w:val="15"/>
              </w:rPr>
              <w:t>% STEP 8 &amp; 9: Create Structured MATLAB Tables &amp; Export to 3-Sheet Excel</w:t>
            </w:r>
          </w:p>
          <w:p>
            <w:pPr>
              <w:spacing w:before="0" w:after="0" w:line="252" w:lineRule="auto"/>
            </w:pPr>
            <w:r>
              <w:rPr>
                <w:rFonts w:ascii="Consolas" w:hAnsi="Consolas"/>
                <w:b w:val="0"/>
                <w:i w:val="0"/>
                <w:color w:val="A31515"/>
                <w:sz w:val="15"/>
              </w:rPr>
              <w:t>filename = 'goodrotor_statistical_analysis.xlsx';</w:t>
            </w:r>
          </w:p>
          <w:p>
            <w:pPr>
              <w:spacing w:before="0" w:after="0" w:line="252" w:lineRule="auto"/>
            </w:pPr>
            <w:r>
              <w:rPr>
                <w:rFonts w:ascii="Consolas" w:hAnsi="Consolas"/>
                <w:b w:val="0"/>
                <w:i w:val="0"/>
                <w:color w:val="24292E"/>
                <w:sz w:val="15"/>
              </w:rPr>
              <w:t>writetable(ImageStatistics, filename, 'Sheet', 'Overall Statistics');</w:t>
            </w:r>
          </w:p>
          <w:p>
            <w:pPr>
              <w:spacing w:before="0" w:after="0" w:line="252" w:lineRule="auto"/>
            </w:pPr>
            <w:r>
              <w:rPr>
                <w:rFonts w:ascii="Consolas" w:hAnsi="Consolas"/>
                <w:b w:val="0"/>
                <w:i w:val="0"/>
                <w:color w:val="24292E"/>
                <w:sz w:val="15"/>
              </w:rPr>
              <w:t>writetable(RowStatistics,   filename, 'Sheet', 'Row Statistics');</w:t>
            </w:r>
          </w:p>
          <w:p>
            <w:pPr>
              <w:spacing w:before="0" w:after="0" w:line="252" w:lineRule="auto"/>
            </w:pPr>
            <w:r>
              <w:rPr>
                <w:rFonts w:ascii="Consolas" w:hAnsi="Consolas"/>
                <w:b w:val="0"/>
                <w:i w:val="0"/>
                <w:color w:val="24292E"/>
                <w:sz w:val="15"/>
              </w:rPr>
              <w:t>writetable(ColumnStatistics,filename, 'Sheet', 'Column Statistics');</w:t>
            </w:r>
          </w:p>
          <w:p>
            <w:pPr>
              <w:spacing w:before="0" w:after="0" w:line="252" w:lineRule="auto"/>
            </w:pPr>
            <w:r>
              <w:rPr>
                <w:rFonts w:ascii="Consolas" w:hAnsi="Consolas"/>
                <w:b w:val="0"/>
                <w:i/>
                <w:color w:val="22863A"/>
                <w:sz w:val="15"/>
              </w:rPr>
              <w:t>% STEP 10-14: Generate Diagnostic Figures (Histogram &amp; 1D Profiles)</w:t>
            </w:r>
          </w:p>
          <w:p>
            <w:pPr>
              <w:spacing w:before="0" w:after="0" w:line="252" w:lineRule="auto"/>
            </w:pPr>
            <w:r>
              <w:rPr>
                <w:rFonts w:ascii="Consolas" w:hAnsi="Consolas"/>
                <w:b w:val="0"/>
                <w:i w:val="0"/>
                <w:color w:val="24292E"/>
                <w:sz w:val="15"/>
              </w:rPr>
              <w:t>figure; histogram(imgDouble(:), 256); title('Histogram of Rotor Image'); grid on;</w:t>
            </w:r>
          </w:p>
          <w:p>
            <w:pPr>
              <w:spacing w:before="0" w:after="0" w:line="252" w:lineRule="auto"/>
            </w:pPr>
            <w:r>
              <w:rPr>
                <w:rFonts w:ascii="Consolas" w:hAnsi="Consolas"/>
                <w:b w:val="0"/>
                <w:i w:val="0"/>
                <w:color w:val="24292E"/>
                <w:sz w:val="15"/>
              </w:rPr>
              <w:t>figure; plot(RowMean); title('Row-wise Mean Pixel Intensity'); grid on;</w:t>
            </w:r>
          </w:p>
          <w:p>
            <w:pPr>
              <w:spacing w:before="0" w:after="0" w:line="252" w:lineRule="auto"/>
            </w:pPr>
            <w:r>
              <w:rPr>
                <w:rFonts w:ascii="Consolas" w:hAnsi="Consolas"/>
                <w:b w:val="0"/>
                <w:i w:val="0"/>
                <w:color w:val="24292E"/>
                <w:sz w:val="15"/>
              </w:rPr>
              <w:t>figure; plot(ColumnMean); title('Column-wise Mean Pixel Intensity'); grid on;</w:t>
            </w:r>
          </w:p>
          <w:p>
            <w:pPr>
              <w:spacing w:before="0" w:after="0" w:line="252" w:lineRule="auto"/>
            </w:pPr>
            <w:r>
              <w:rPr>
                <w:rFonts w:ascii="Consolas" w:hAnsi="Consolas"/>
                <w:b w:val="0"/>
                <w:i w:val="0"/>
                <w:color w:val="24292E"/>
                <w:sz w:val="15"/>
              </w:rPr>
              <w:t>figure; plot(RowStd); title('Row-wise Pixel Variation'); grid on;</w:t>
            </w:r>
          </w:p>
          <w:p>
            <w:pPr>
              <w:spacing w:before="0" w:after="0" w:line="252" w:lineRule="auto"/>
            </w:pPr>
            <w:r>
              <w:rPr>
                <w:rFonts w:ascii="Consolas" w:hAnsi="Consolas"/>
                <w:b w:val="0"/>
                <w:i w:val="0"/>
                <w:color w:val="24292E"/>
                <w:sz w:val="15"/>
              </w:rPr>
              <w:t>figure; plot(ColumnStd); title('Column-wise Pixel Variation'); grid on;</w:t>
            </w:r>
          </w:p>
        </w:tc>
      </w:tr>
    </w:tbl>
    <w:p>
      <w:pPr>
        <w:spacing w:before="0" w:after="100" w:line="276" w:lineRule="auto"/>
        <w:jc w:val="both"/>
      </w:pPr>
      <w:r>
        <w:rPr>
          <w:rFonts w:ascii="Times New Roman" w:hAnsi="Times New Roman"/>
          <w:b w:val="0"/>
          <w:i w:val="0"/>
          <w:color w:val="000000"/>
          <w:sz w:val="24"/>
        </w:rPr>
        <w:t>The generated 3-sheet Excel spreadsheet (goodrotor_statistical_analysis.xlsx) and graphical profile waveforms provide baseline statistical bounds for the Python computer vision cropper and feature extractor. The corresponding experimental plots are presented and evaluated in Section 5.8.</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80" w:after="80"/>
        <w:jc w:val="center"/>
      </w:pPr>
      <w:r>
        <w:drawing>
          <wp:inline xmlns:a="http://schemas.openxmlformats.org/drawingml/2006/main" xmlns:pic="http://schemas.openxmlformats.org/drawingml/2006/picture">
            <wp:extent cx="5303520" cy="2403754"/>
            <wp:docPr id="13" name="Picture 13"/>
            <wp:cNvGraphicFramePr>
              <a:graphicFrameLocks noChangeAspect="1"/>
            </wp:cNvGraphicFramePr>
            <a:graphic>
              <a:graphicData uri="http://schemas.openxmlformats.org/drawingml/2006/picture">
                <pic:pic>
                  <pic:nvPicPr>
                    <pic:cNvPr id="0" name="fig_experimental_setup.png"/>
                    <pic:cNvPicPr/>
                  </pic:nvPicPr>
                  <pic:blipFill>
                    <a:blip r:embed="rId22"/>
                    <a:stretch>
                      <a:fillRect/>
                    </a:stretch>
                  </pic:blipFill>
                  <pic:spPr>
                    <a:xfrm>
                      <a:off x="0" y="0"/>
                      <a:ext cx="5303520" cy="2403754"/>
                    </a:xfrm>
                    <a:prstGeom prst="rect"/>
                  </pic:spPr>
                </pic:pic>
              </a:graphicData>
            </a:graphic>
          </wp:inline>
        </w:drawing>
      </w:r>
    </w:p>
    <w:p>
      <w:pPr>
        <w:spacing w:before="60" w:after="120"/>
        <w:jc w:val="center"/>
      </w:pPr>
      <w:r>
        <w:rPr>
          <w:rFonts w:ascii="Times New Roman" w:hAnsi="Times New Roman"/>
          <w:b/>
          <w:i/>
          <w:sz w:val="22"/>
        </w:rPr>
        <w:t>Fig. 5.1 Laboratory experimental setup and optical rotor inspection test bench arrangement: (a) Hardware schematic layout, (b) Physical rotor specimen on inspection stand</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dual-model classification predictions (Decision Tree and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80" w:after="80" w:line="276" w:lineRule="auto"/>
      </w:pPr>
      <w:r>
        <w:rPr>
          <w:rFonts w:ascii="Times New Roman" w:hAnsi="Times New Roman"/>
          <w:b/>
          <w:color w:val="000000"/>
          <w:sz w:val="26"/>
        </w:rPr>
        <w:t>5.3 PARAMETERS USED DURING TESTING</w:t>
      </w:r>
    </w:p>
    <w:p>
      <w:pPr>
        <w:spacing w:before="0" w:after="100" w:line="276" w:lineRule="auto"/>
        <w:jc w:val="both"/>
      </w:pPr>
      <w:r>
        <w:rPr>
          <w:rFonts w:ascii="Times New Roman" w:hAnsi="Times New Roman"/>
          <w:b w:val="0"/>
          <w:i w:val="0"/>
          <w:color w:val="000000"/>
          <w:sz w:val="24"/>
        </w:rPr>
        <w:t>Quantitative experimental evaluation of the vision-based rotor defect inspection system was executed using a standardized suite of optical, preprocessing, and machine learning parameters. Table 5.3 summarizes the operational configuration maintained throughout physical testing trials.</w:t>
      </w:r>
    </w:p>
    <w:p>
      <w:pPr>
        <w:spacing w:before="60" w:after="120"/>
        <w:jc w:val="center"/>
      </w:pPr>
      <w:r>
        <w:rPr>
          <w:rFonts w:ascii="Times New Roman" w:hAnsi="Times New Roman"/>
          <w:b/>
          <w:i/>
          <w:sz w:val="22"/>
        </w:rPr>
        <w:t>Table 5.3 Experimental testing parameters and operational configuration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PARAMETER CATEGORY &amp; SPECIFICATION</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 / STANDARD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 Optical Acquisition Hardware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Camera Sensor &amp;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(12.2 MP, RGB 24-bit, f/1.8 aperture)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Optical Working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 (Calibrated bench standoff h = 300 mm to stage)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Active Optical Field of View (FOV)</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 mm x 90 mm (Spatial resolution: 33.6 pixels/mm)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Illumination Intensity &amp; Spectrum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(5500K daylight diffused ring LED array)</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 linear polarizing film)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 Spatial Preprocessing &amp; Segmentation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Saliency Sobel Operator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 dual-axis dx=1, dy=1)</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Binarization Mode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Otsu thresholding with spatial Gaussian smoothing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 (iterations = 2)</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III. Feature Extraction &amp; Texture Profiling</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Extracted Mathematical Descriptors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visual features (Geometric, Intensity, GLCM texture)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GLCM Quantization &amp;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 displacement distances d = 1, 2,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IV. Machine Learning &amp; 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Physical Rotor Dataset Cohort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specimens (54 Sound rotors, 27 Defective rotors)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 (zero data leakage)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Inference Execution Timeout Limit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 (industrial requirement)</w:t>
            </w:r>
          </w:p>
        </w:tc>
      </w:tr>
    </w:tbl>
    <w:p>
      <w:pPr>
        <w:spacing w:before="120" w:after="40" w:line="276" w:lineRule="auto"/>
      </w:pPr>
      <w:r>
        <w:rPr>
          <w:rFonts w:ascii="Times New Roman" w:hAnsi="Times New Roman"/>
          <w:b/>
          <w:color w:val="000000"/>
          <w:sz w:val="22"/>
        </w:rPr>
        <w:t>5.3.1 Parameter Justification and Optical Calibration Protocol</w:t>
      </w:r>
    </w:p>
    <w:p>
      <w:pPr>
        <w:spacing w:before="0" w:after="100" w:line="276" w:lineRule="auto"/>
        <w:jc w:val="both"/>
      </w:pPr>
      <w:r>
        <w:rPr>
          <w:rFonts w:ascii="Times New Roman" w:hAnsi="Times New Roman"/>
          <w:b w:val="0"/>
          <w:i w:val="0"/>
          <w:color w:val="000000"/>
          <w:sz w:val="24"/>
        </w:rPr>
        <w:t>Optical Standoff &amp; Working Distance: The 185 mm optical working distance provides an active field of view of 120 x 90 mm, yielding an effective spatial resolution of 33.6 pixels/mm (29.8 um per pixel). This optical resolution ensures that microscopic pinhole porosity and weld underfill gaps down to 0.1 mm in diameter are represented by at least 3 to 4 distinct pixels, satisfying industrial ISO 5817 Level B weld defect resolution requirements.</w:t>
      </w:r>
    </w:p>
    <w:p>
      <w:pPr>
        <w:spacing w:before="0" w:after="100" w:line="276" w:lineRule="auto"/>
        <w:jc w:val="both"/>
      </w:pPr>
      <w:r>
        <w:rPr>
          <w:rFonts w:ascii="Times New Roman" w:hAnsi="Times New Roman"/>
          <w:b w:val="0"/>
          <w:i w:val="0"/>
          <w:color w:val="000000"/>
          <w:sz w:val="24"/>
        </w:rPr>
        <w:t>Illumination &amp; Specular Suppression: The 1850 Lux ring LED array delivers uniform, shadowless illumination across the annular weld perimeter. Cross-polarization (linear polarizing film over the LED array paired with an orthogonal linear polarizer on the camera lens) eliminates 94% of metallic specular flare from polished copper/aluminum bars, preventing false edge triggers.</w:t>
      </w:r>
    </w:p>
    <w:p>
      <w:pPr>
        <w:spacing w:before="0" w:after="100" w:line="276" w:lineRule="auto"/>
        <w:jc w:val="both"/>
      </w:pPr>
      <w:r>
        <w:rPr>
          <w:rFonts w:ascii="Times New Roman" w:hAnsi="Times New Roman"/>
          <w:b w:val="0"/>
          <w:i w:val="0"/>
          <w:color w:val="000000"/>
          <w:sz w:val="24"/>
        </w:rPr>
        <w:t>Kernel &amp; Feature Configuration: The 3 x 3 Sobel kernel minimizes Gaussian sensor noise while sharpening weld fusion contours. GLCM quantization at 256 gray levels with multi-pixel displacement (d = 1, 2, 3) captures both fine grain weld roughness and macro porosity without excessive computational latency.</w:t>
      </w:r>
    </w:p>
    <w:p>
      <w:r>
        <w:br w:type="page"/>
      </w:r>
    </w:p>
    <w:p>
      <w:pPr>
        <w:spacing w:before="8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Systematic evaluation across all 81 rotor specimens revealed three critical operational observations:</w:t>
        <w:br/>
        <w:t>1. Adaptive Saliency Segmentation: The Sobel saliency cropper demonstrated 100% boundary centering accuracy. On severe defect specimens exhibiting massive molten droop anomalies (e.g., `bad_1.jpg`), the adaptive bounding box dynamically expanded its lower boundary by 48 pixels, successfully encapsulating 100% of the protruding droplet morphology without boundary clipping.</w:t>
        <w:br/>
        <w:t>2. Illumination Stability &amp; Specular Suppression: The cross-polarized ring LED maintained illumination uniformity within +/- 2.4% over 4 hours of continuous operation. Specular highlights on polished copper bars were suppressed below the Otsu binarization threshold, eliminating false defect triggers.</w:t>
        <w:br/>
        <w:t>3. Processing Latency Breakdown: Image acquisition and ingestion averaged 14.2 ms; Sobel saliency cropping required 22.8 ms; 15-descriptor feature extraction took 18.4 ms; Decision Tree classification executed in 1.2 ms (MobileNetV3 in 28.0 ms). Total pipeline latency averaged 84.6 ms, well within the 200 ms industrial requirement (&gt; 700 parts/hour throughput).</w:t>
      </w:r>
    </w:p>
    <w:p>
      <w:pPr>
        <w:spacing w:before="120" w:after="40" w:line="276" w:lineRule="auto"/>
      </w:pPr>
      <w:r>
        <w:rPr>
          <w:rFonts w:ascii="Times New Roman" w:hAnsi="Times New Roman"/>
          <w:b/>
          <w:color w:val="000000"/>
          <w:sz w:val="26"/>
        </w:rPr>
        <w:t>5.5 COMPREHENSIVE SUBSYSTEM TEST RECORD</w:t>
      </w:r>
    </w:p>
    <w:p>
      <w:pPr>
        <w:spacing w:before="0" w:after="100" w:line="276" w:lineRule="auto"/>
        <w:jc w:val="both"/>
      </w:pPr>
      <w:r>
        <w:rPr>
          <w:rFonts w:ascii="Times New Roman" w:hAnsi="Times New Roman"/>
          <w:b w:val="0"/>
          <w:i w:val="0"/>
          <w:color w:val="000000"/>
          <w:sz w:val="24"/>
        </w:rPr>
        <w:t>The following standardized test record documents empirical verification results across all 9 functional inspection subsystems:</w:t>
      </w:r>
    </w:p>
    <w:p>
      <w:pPr>
        <w:spacing w:before="60" w:after="120"/>
        <w:jc w:val="center"/>
      </w:pPr>
      <w:r>
        <w:rPr>
          <w:rFonts w:ascii="Times New Roman" w:hAnsi="Times New Roman"/>
          <w:b/>
          <w:i/>
          <w:sz w:val="22"/>
        </w:rPr>
        <w:t>Table 5.5 Subsystem functional verification and empirical test record</w:t>
      </w:r>
    </w:p>
    <w:tbl>
      <w:tblPr>
        <w:tblW w:type="auto" w:w="0"/>
        <w:jc w:val="center"/>
        <w:tblLook w:firstColumn="1" w:firstRow="1" w:lastColumn="0" w:lastRow="0" w:noHBand="0" w:noVBand="1" w:val="04A0"/>
      </w:tblPr>
      <w:tblGrid>
        <w:gridCol w:w="1950"/>
        <w:gridCol w:w="1950"/>
        <w:gridCol w:w="1950"/>
        <w:gridCol w:w="1950"/>
        <w:gridCol w:w="1950"/>
      </w:tblGrid>
      <w:tr>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SUBSYSTEM / MODULE</w:t>
            </w:r>
          </w:p>
        </w:tc>
        <w:tc>
          <w:tcPr>
            <w:tcW w:type="dxa" w:w="244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ACCEPTANCE SPECIFICATION</w:t>
            </w:r>
          </w:p>
        </w:tc>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MEASURED OBSERVATION</w:t>
            </w:r>
          </w:p>
        </w:tc>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STATUS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Resolution &gt;= 1080p, metallic glare &lt; 10%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Ingested at 4032 x 3024 RGB; cross-polarizer eliminated 94% metallic glare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gradient SNR &gt; 15 dB</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Successfully emphasized weld fusion boundary; suppressed ambient rotor teeth</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centered; zero droplet clipping</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Accurately centered in 100% of trials; adaptive padding margin preserved edges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Capture 100% of downward defect droplet</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dynamically expanded downwards by 48 px; zero morphology loss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 pipeline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 15 descriptors in &lt; 30 ms; zero NaNs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descriptors calculated in 18.4 ms per frame; zero NaN or division-by-zero</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accuracy &gt; 75%; 100% droop recall</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Tree achieved 80.2% accuracy; solidity routed 100% of severe droops to Defective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Validation accuracy &gt; 88%; recall &gt; 90%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(5-fold CV)</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Categorize Accept/Rework/Scrap; 0 escapes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sorted parts into Tiers 1, 2, and 3 with zero fatal defective escapes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HTML5 rendering &lt; 100 ms; SHA-256 certs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canvas rendering verified; SHA-256 hashed ISO certificates generated</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bl>
    <w:p>
      <w:r>
        <w:br w:type="page"/>
      </w:r>
    </w:p>
    <w:p>
      <w:pPr>
        <w:spacing w:before="8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Rigorous experimental validation was executed across the standardized 81-sample rotor weld dataset under calibrated laboratory lighting. The specimen cohort comprises 54 sound rotors meeting industrial quality benchmarks and 27 defective rotors displaying surface porosity, blowholes, underfill, and excessive molten drooping. All performance metrics reflect 5-fold stratified cross-validation to guarantee zero validation leakage. Subsystem latency benchmarking confirms an end-to-end execution time under 85 ms per specimen, meeting real-time conveyor sorting criteria.</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evaluate feature discriminability and establish empirical separability between sound and defective specimens, diagnostic visual projections were computed in Python. The diagnostic workflow comprises: (1) Extracting 15-dimensional feature vectors across all 81 specimens; (2) Generating comparative boxplots to contrast raw full-frame distributions against saliency-cropped distributions; (3) Ranking descriptor predictive power via supervised Gini feature importance across all 15 sample features; (4) Computing inter-class sample feature distributions and boxplot profiles to evaluate sound vs. defective separability; (5) Formulating a 15 x 15 Pearson correlation matrix to quantify collinearity.</w:t>
      </w:r>
    </w:p>
    <w:p>
      <w:pPr>
        <w:spacing w:before="80" w:after="80"/>
        <w:jc w:val="center"/>
      </w:pPr>
      <w:r>
        <w:drawing>
          <wp:inline xmlns:a="http://schemas.openxmlformats.org/drawingml/2006/main" xmlns:pic="http://schemas.openxmlformats.org/drawingml/2006/picture">
            <wp:extent cx="5120640" cy="3072384"/>
            <wp:docPr id="14" name="Picture 14"/>
            <wp:cNvGraphicFramePr>
              <a:graphicFrameLocks noChangeAspect="1"/>
            </wp:cNvGraphicFramePr>
            <a:graphic>
              <a:graphicData uri="http://schemas.openxmlformats.org/drawingml/2006/picture">
                <pic:pic>
                  <pic:nvPicPr>
                    <pic:cNvPr id="0" name="fig_feature_distribution.png"/>
                    <pic:cNvPicPr/>
                  </pic:nvPicPr>
                  <pic:blipFill>
                    <a:blip r:embed="rId23"/>
                    <a:stretch>
                      <a:fillRect/>
                    </a:stretch>
                  </pic:blipFill>
                  <pic:spPr>
                    <a:xfrm>
                      <a:off x="0" y="0"/>
                      <a:ext cx="5120640" cy="3072384"/>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 across key visual descriptors</w:t>
      </w:r>
    </w:p>
    <w:p>
      <w:pPr>
        <w:spacing w:before="0" w:after="100" w:line="276" w:lineRule="auto"/>
        <w:jc w:val="both"/>
      </w:pPr>
      <w:r>
        <w:rPr>
          <w:rFonts w:ascii="Times New Roman" w:hAnsi="Times New Roman"/>
          <w:b w:val="0"/>
          <w:i w:val="0"/>
          <w:color w:val="000000"/>
          <w:sz w:val="24"/>
        </w:rPr>
        <w:t>Figure 5.2 demonstrates the dramatic improvement in feature discriminability achieved by the adaptive saliency Sobel cropper. In raw uncropped frames, background variance and ambient rotor geometry induce massive overlap between classes. Saliency cropping tightens intra-class variance by 68% and establishes clean separation between sound and defective distributions.</w:t>
      </w:r>
    </w:p>
    <w:p>
      <w:r>
        <w:br w:type="page"/>
      </w:r>
    </w:p>
    <w:p>
      <w:pPr>
        <w:spacing w:before="80" w:after="80" w:line="276" w:lineRule="auto"/>
      </w:pPr>
      <w:r>
        <w:rPr>
          <w:rFonts w:ascii="Times New Roman" w:hAnsi="Times New Roman"/>
          <w:b/>
          <w:color w:val="000000"/>
          <w:sz w:val="26"/>
        </w:rPr>
        <w:t>5.7.1 Sample Feature Importance Ranking and Discriminative Analysis</w:t>
      </w:r>
    </w:p>
    <w:p>
      <w:pPr>
        <w:spacing w:before="0" w:after="100" w:line="276" w:lineRule="auto"/>
        <w:jc w:val="both"/>
      </w:pPr>
      <w:r>
        <w:rPr>
          <w:rFonts w:ascii="Times New Roman" w:hAnsi="Times New Roman"/>
          <w:b w:val="0"/>
          <w:i w:val="0"/>
          <w:color w:val="000000"/>
          <w:sz w:val="24"/>
        </w:rPr>
        <w:t>To evaluate the predictive contribution of each of the 15 extracted visual features without requiring dimensionality reduction, supervised Gini feature importance ranking was executed across all 81 physical rotor weld specimens. Figure 5.3 illustrates the standardized feature importance distribution, highlighting color saturation variance, void area percentage, and molten slag protrusion as governing defect discriminators.</w:t>
      </w:r>
    </w:p>
    <w:p>
      <w:pPr>
        <w:spacing w:before="80" w:after="80"/>
        <w:jc w:val="center"/>
      </w:pPr>
      <w:r>
        <w:drawing>
          <wp:inline xmlns:a="http://schemas.openxmlformats.org/drawingml/2006/main" xmlns:pic="http://schemas.openxmlformats.org/drawingml/2006/picture">
            <wp:extent cx="4937760" cy="2501798"/>
            <wp:docPr id="15" name="Picture 15"/>
            <wp:cNvGraphicFramePr>
              <a:graphicFrameLocks noChangeAspect="1"/>
            </wp:cNvGraphicFramePr>
            <a:graphic>
              <a:graphicData uri="http://schemas.openxmlformats.org/drawingml/2006/picture">
                <pic:pic>
                  <pic:nvPicPr>
                    <pic:cNvPr id="0" name="fig_sample_feature_importance.png"/>
                    <pic:cNvPicPr/>
                  </pic:nvPicPr>
                  <pic:blipFill>
                    <a:blip r:embed="rId24"/>
                    <a:stretch>
                      <a:fillRect/>
                    </a:stretch>
                  </pic:blipFill>
                  <pic:spPr>
                    <a:xfrm>
                      <a:off x="0" y="0"/>
                      <a:ext cx="4937760" cy="2501798"/>
                    </a:xfrm>
                    <a:prstGeom prst="rect"/>
                  </pic:spPr>
                </pic:pic>
              </a:graphicData>
            </a:graphic>
          </wp:inline>
        </w:drawing>
      </w:r>
    </w:p>
    <w:p>
      <w:pPr>
        <w:spacing w:before="60" w:after="120"/>
        <w:jc w:val="center"/>
      </w:pPr>
      <w:r>
        <w:rPr>
          <w:rFonts w:ascii="Times New Roman" w:hAnsi="Times New Roman"/>
          <w:b/>
          <w:i/>
          <w:sz w:val="22"/>
        </w:rPr>
        <w:t>Fig. 5.3 Sample feature importance ranking across 15 visual descriptors</w:t>
      </w:r>
    </w:p>
    <w:p>
      <w:pPr>
        <w:spacing w:before="80" w:after="80"/>
        <w:jc w:val="center"/>
      </w:pPr>
      <w:r>
        <w:drawing>
          <wp:inline xmlns:a="http://schemas.openxmlformats.org/drawingml/2006/main" xmlns:pic="http://schemas.openxmlformats.org/drawingml/2006/picture">
            <wp:extent cx="5029200" cy="1724297"/>
            <wp:docPr id="16" name="Picture 16"/>
            <wp:cNvGraphicFramePr>
              <a:graphicFrameLocks noChangeAspect="1"/>
            </wp:cNvGraphicFramePr>
            <a:graphic>
              <a:graphicData uri="http://schemas.openxmlformats.org/drawingml/2006/picture">
                <pic:pic>
                  <pic:nvPicPr>
                    <pic:cNvPr id="0" name="fig_sample_feature_distributions.png"/>
                    <pic:cNvPicPr/>
                  </pic:nvPicPr>
                  <pic:blipFill>
                    <a:blip r:embed="rId25"/>
                    <a:stretch>
                      <a:fillRect/>
                    </a:stretch>
                  </pic:blipFill>
                  <pic:spPr>
                    <a:xfrm>
                      <a:off x="0" y="0"/>
                      <a:ext cx="5029200" cy="1724297"/>
                    </a:xfrm>
                    <a:prstGeom prst="rect"/>
                  </pic:spPr>
                </pic:pic>
              </a:graphicData>
            </a:graphic>
          </wp:inline>
        </w:drawing>
      </w:r>
    </w:p>
    <w:p>
      <w:pPr>
        <w:spacing w:before="60" w:after="120"/>
        <w:jc w:val="center"/>
      </w:pPr>
      <w:r>
        <w:rPr>
          <w:rFonts w:ascii="Times New Roman" w:hAnsi="Times New Roman"/>
          <w:b/>
          <w:i/>
          <w:sz w:val="22"/>
        </w:rPr>
        <w:t>Fig. 5.4 Primary sample feature distribution and inter-class separation (Sound vs. Defective)</w:t>
      </w:r>
    </w:p>
    <w:p>
      <w:pPr>
        <w:spacing w:before="0" w:after="100" w:line="276" w:lineRule="auto"/>
        <w:jc w:val="both"/>
      </w:pPr>
      <w:r>
        <w:rPr>
          <w:rFonts w:ascii="Times New Roman" w:hAnsi="Times New Roman"/>
          <w:b w:val="0"/>
          <w:i w:val="0"/>
          <w:color w:val="000000"/>
          <w:sz w:val="24"/>
        </w:rPr>
        <w:t>Analysis of Sample Feature Distributions: As shown in Fig. 5.4, defective specimens exhibit substantially higher saturation variance (+74.8%) and void area percentages due to molten oxidation and gas porosity. Convex solidity exhibits a sharp threshold drop below 0.85 on droop anomalies, demonstrating that the raw physical features of the sample provide decisive classification boundaries without requiring dimensionality reduction.</w:t>
      </w:r>
    </w:p>
    <w:p>
      <w:r>
        <w:br w:type="page"/>
      </w:r>
    </w:p>
    <w:p>
      <w:pPr>
        <w:spacing w:before="80" w:after="80" w:line="276" w:lineRule="auto"/>
      </w:pPr>
      <w:r>
        <w:rPr>
          <w:rFonts w:ascii="Times New Roman" w:hAnsi="Times New Roman"/>
          <w:b/>
          <w:color w:val="000000"/>
          <w:sz w:val="26"/>
        </w:rPr>
        <w:t>5.7.2 Pearson Correlation Heatmap and Descriptor Collinearity</w:t>
      </w:r>
    </w:p>
    <w:p>
      <w:pPr>
        <w:spacing w:before="0" w:after="100" w:line="276" w:lineRule="auto"/>
        <w:jc w:val="both"/>
      </w:pPr>
      <w:r>
        <w:rPr>
          <w:rFonts w:ascii="Times New Roman" w:hAnsi="Times New Roman"/>
          <w:b w:val="0"/>
          <w:i w:val="0"/>
          <w:color w:val="000000"/>
          <w:sz w:val="24"/>
        </w:rPr>
        <w:t>To prevent redundant feature weighting and evaluate multi-collinearity across the 15 extracted descriptors, a pairwise Pearson correlation matrix was computed across all 81 specimens.</w:t>
      </w:r>
    </w:p>
    <w:p>
      <w:pPr>
        <w:spacing w:before="80" w:after="80"/>
        <w:jc w:val="center"/>
      </w:pPr>
      <w:r>
        <w:drawing>
          <wp:inline xmlns:a="http://schemas.openxmlformats.org/drawingml/2006/main" xmlns:pic="http://schemas.openxmlformats.org/drawingml/2006/picture">
            <wp:extent cx="4754880" cy="4075611"/>
            <wp:docPr id="17" name="Picture 17"/>
            <wp:cNvGraphicFramePr>
              <a:graphicFrameLocks noChangeAspect="1"/>
            </wp:cNvGraphicFramePr>
            <a:graphic>
              <a:graphicData uri="http://schemas.openxmlformats.org/drawingml/2006/picture">
                <pic:pic>
                  <pic:nvPicPr>
                    <pic:cNvPr id="0" name="fig_correlation_matrix.png"/>
                    <pic:cNvPicPr/>
                  </pic:nvPicPr>
                  <pic:blipFill>
                    <a:blip r:embed="rId26"/>
                    <a:stretch>
                      <a:fillRect/>
                    </a:stretch>
                  </pic:blipFill>
                  <pic:spPr>
                    <a:xfrm>
                      <a:off x="0" y="0"/>
                      <a:ext cx="4754880" cy="4075611"/>
                    </a:xfrm>
                    <a:prstGeom prst="rect"/>
                  </pic:spPr>
                </pic:pic>
              </a:graphicData>
            </a:graphic>
          </wp:inline>
        </w:drawing>
      </w:r>
    </w:p>
    <w:p>
      <w:pPr>
        <w:spacing w:before="60" w:after="120"/>
        <w:jc w:val="center"/>
      </w:pPr>
      <w:r>
        <w:rPr>
          <w:rFonts w:ascii="Times New Roman" w:hAnsi="Times New Roman"/>
          <w:b/>
          <w:i/>
          <w:sz w:val="22"/>
        </w:rPr>
        <w:t>Fig. 5.5 Pearson correlation heatmap matrix across 15 extracted visual descriptors</w:t>
      </w:r>
    </w:p>
    <w:p>
      <w:pPr>
        <w:spacing w:before="0" w:after="100" w:line="276" w:lineRule="auto"/>
        <w:jc w:val="both"/>
      </w:pPr>
      <w:r>
        <w:rPr>
          <w:rFonts w:ascii="Times New Roman" w:hAnsi="Times New Roman"/>
          <w:b w:val="0"/>
          <w:i w:val="0"/>
          <w:color w:val="000000"/>
          <w:sz w:val="24"/>
        </w:rPr>
        <w:t>Correlation Analysis &amp; Collinearity Interpretation:</w:t>
        <w:br/>
        <w:t>1. Energy vs. Entropy Coupling: GLCM Energy and GLCM Entropy exhibit near-perfect negative collinearity (r = -0.94). This inverse relationship reflects physical reality: defective porous welds induce high localized textural entropy with sharp drops in textural uniformity.</w:t>
        <w:br/>
        <w:t>2. Solidity vs. Geometric Perimeter: Solidity displays a strong negative correlation with contour perimeter (r = -0.86) and bounding aspect ratio (r = -0.79). This confirms that molten droop anomalies cause irregular protrusions that inflate contour perimeter while drastically lowering convex solidity.</w:t>
        <w:br/>
        <w:t>3. Orthogonal Descriptors: Spatial variance and mean intensity demonstrate minimal correlation with GLCM contrast (r &lt; 0.22), confirming that combining statistical intensity moments with GLCM texture metrics provides complementary, non-redundant diagnostic information.</w:t>
      </w:r>
    </w:p>
    <w:p>
      <w:r>
        <w:br w:type="page"/>
      </w:r>
    </w:p>
    <w:p>
      <w:pPr>
        <w:spacing w:before="8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rigorous empirical baselines and validate optical contrast distribution, physical rotor specimens were analyzed in MATLAB Online using custom evaluation scripts (badrotorimagemean.m and Statisticalanalysis_goodrotor.m). These scripts execute 10 fundamental statistical moments, grayscale transformations, and 1D spatial intensity projections.</w:t>
      </w:r>
    </w:p>
    <w:p>
      <w:pPr>
        <w:spacing w:before="80" w:after="80"/>
        <w:jc w:val="center"/>
      </w:pPr>
      <w:r>
        <w:drawing>
          <wp:inline xmlns:a="http://schemas.openxmlformats.org/drawingml/2006/main" xmlns:pic="http://schemas.openxmlformats.org/drawingml/2006/picture">
            <wp:extent cx="3840480" cy="1489797"/>
            <wp:docPr id="18" name="Picture 18"/>
            <wp:cNvGraphicFramePr>
              <a:graphicFrameLocks noChangeAspect="1"/>
            </wp:cNvGraphicFramePr>
            <a:graphic>
              <a:graphicData uri="http://schemas.openxmlformats.org/drawingml/2006/picture">
                <pic:pic>
                  <pic:nvPicPr>
                    <pic:cNvPr id="0" name="matlab_bad_rotor_mean.jpg"/>
                    <pic:cNvPicPr/>
                  </pic:nvPicPr>
                  <pic:blipFill>
                    <a:blip r:embed="rId27"/>
                    <a:stretch>
                      <a:fillRect/>
                    </a:stretch>
                  </pic:blipFill>
                  <pic:spPr>
                    <a:xfrm>
                      <a:off x="0" y="0"/>
                      <a:ext cx="3840480" cy="1489797"/>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0" w:after="100" w:line="276" w:lineRule="auto"/>
        <w:jc w:val="both"/>
      </w:pPr>
      <w:r>
        <w:rPr>
          <w:rFonts w:ascii="Times New Roman" w:hAnsi="Times New Roman"/>
          <w:b w:val="0"/>
          <w:i w:val="0"/>
          <w:color w:val="000000"/>
          <w:sz w:val="24"/>
        </w:rPr>
        <w:t>Analysis of Figure 5.6: Execution of badrotorimagemean.m on defective rotor specimen badrotor.jpg. The specimen exhibits severe molten droop anomalies and irregular weld spatter. The script converts the image to 8-bit double grayscale using NTSC luminance weighting (Y = 0.2989 R + 0.5870 G + 0.1140 B) and calculates row-wise mean intensity across weld seam coordinates (rows 1200-1300), revealing an elevated overall image mean intensity of 147.6512.</w:t>
      </w:r>
    </w:p>
    <w:p>
      <w:pPr>
        <w:spacing w:before="80" w:after="80"/>
        <w:jc w:val="center"/>
      </w:pPr>
      <w:r>
        <w:drawing>
          <wp:inline xmlns:a="http://schemas.openxmlformats.org/drawingml/2006/main" xmlns:pic="http://schemas.openxmlformats.org/drawingml/2006/picture">
            <wp:extent cx="3840480" cy="1691159"/>
            <wp:docPr id="19" name="Picture 19"/>
            <wp:cNvGraphicFramePr>
              <a:graphicFrameLocks noChangeAspect="1"/>
            </wp:cNvGraphicFramePr>
            <a:graphic>
              <a:graphicData uri="http://schemas.openxmlformats.org/drawingml/2006/picture">
                <pic:pic>
                  <pic:nvPicPr>
                    <pic:cNvPr id="0" name="matlab_good_rotor_stats_rgb.jpg"/>
                    <pic:cNvPicPr/>
                  </pic:nvPicPr>
                  <pic:blipFill>
                    <a:blip r:embed="rId28"/>
                    <a:stretch>
                      <a:fillRect/>
                    </a:stretch>
                  </pic:blipFill>
                  <pic:spPr>
                    <a:xfrm>
                      <a:off x="0" y="0"/>
                      <a:ext cx="3840480" cy="1691159"/>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displayed in command window</w:t>
      </w:r>
    </w:p>
    <w:p>
      <w:pPr>
        <w:spacing w:before="0" w:after="100" w:line="276" w:lineRule="auto"/>
        <w:jc w:val="both"/>
      </w:pPr>
      <w:r>
        <w:rPr>
          <w:rFonts w:ascii="Times New Roman" w:hAnsi="Times New Roman"/>
          <w:b w:val="0"/>
          <w:i w:val="0"/>
          <w:color w:val="000000"/>
          <w:sz w:val="24"/>
        </w:rPr>
        <w:t>Analysis of Figure 5.7: Execution of Statisticalanalysis_goodrotor.m on a sound specimen (goodrotor.jpeg). The command window displays the computed 10 statistical moments: Mean = 121.4320, Variance = 1779.57, Skewness = +0.2140, and Kurtosis = 2.8450. Defective welds show an elevated mean (+21.6%) and variance (+95.1%) due to excessive specular highlights from molten spatter crests.</w:t>
      </w:r>
    </w:p>
    <w:p>
      <w:r>
        <w:br w:type="page"/>
      </w:r>
    </w:p>
    <w:p>
      <w:pPr>
        <w:spacing w:before="80" w:after="80"/>
        <w:jc w:val="center"/>
      </w:pPr>
      <w:r>
        <w:drawing>
          <wp:inline xmlns:a="http://schemas.openxmlformats.org/drawingml/2006/main" xmlns:pic="http://schemas.openxmlformats.org/drawingml/2006/picture">
            <wp:extent cx="3840480" cy="5519195"/>
            <wp:docPr id="20" name="Picture 20"/>
            <wp:cNvGraphicFramePr>
              <a:graphicFrameLocks noChangeAspect="1"/>
            </wp:cNvGraphicFramePr>
            <a:graphic>
              <a:graphicData uri="http://schemas.openxmlformats.org/drawingml/2006/picture">
                <pic:pic>
                  <pic:nvPicPr>
                    <pic:cNvPr id="0" name="matlab_good_rotor_histogram.jpg"/>
                    <pic:cNvPicPr/>
                  </pic:nvPicPr>
                  <pic:blipFill>
                    <a:blip r:embed="rId29"/>
                    <a:stretch>
                      <a:fillRect/>
                    </a:stretch>
                  </pic:blipFill>
                  <pic:spPr>
                    <a:xfrm>
                      <a:off x="0" y="0"/>
                      <a:ext cx="3840480" cy="5519195"/>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0" w:after="100" w:line="276" w:lineRule="auto"/>
        <w:jc w:val="both"/>
      </w:pPr>
      <w:r>
        <w:rPr>
          <w:rFonts w:ascii="Times New Roman" w:hAnsi="Times New Roman"/>
          <w:b w:val="0"/>
          <w:i w:val="0"/>
          <w:color w:val="000000"/>
          <w:sz w:val="24"/>
        </w:rPr>
        <w:t>Analysis of Figure 5.8: Generated by Step 10 (histogram(imgDouble(:), 256)). The distribution displays two prominent multimodal peaks: a sharp initial peak (intensities 10-45) corresponding to the non-reflective dark background, a clear segmentation trough (intensities 50-90) corresponding to the optimal Otsu binarization threshold, and a broad metallic plateau (intensities 110-180) representing the illuminated rotor core. Zero saturation at bin 255 confirms effective cross-polarization.</w:t>
      </w:r>
    </w:p>
    <w:p>
      <w:pPr>
        <w:spacing w:before="80" w:after="80"/>
        <w:jc w:val="center"/>
      </w:pPr>
      <w:r>
        <w:drawing>
          <wp:inline xmlns:a="http://schemas.openxmlformats.org/drawingml/2006/main" xmlns:pic="http://schemas.openxmlformats.org/drawingml/2006/picture">
            <wp:extent cx="3840480" cy="5300879"/>
            <wp:docPr id="21" name="Picture 21"/>
            <wp:cNvGraphicFramePr>
              <a:graphicFrameLocks noChangeAspect="1"/>
            </wp:cNvGraphicFramePr>
            <a:graphic>
              <a:graphicData uri="http://schemas.openxmlformats.org/drawingml/2006/picture">
                <pic:pic>
                  <pic:nvPicPr>
                    <pic:cNvPr id="0" name="matlab_good_row_mean.jpg"/>
                    <pic:cNvPicPr/>
                  </pic:nvPicPr>
                  <pic:blipFill>
                    <a:blip r:embed="rId30"/>
                    <a:stretch>
                      <a:fillRect/>
                    </a:stretch>
                  </pic:blipFill>
                  <pic:spPr>
                    <a:xfrm>
                      <a:off x="0" y="0"/>
                      <a:ext cx="3840480" cy="5300879"/>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pPr>
        <w:spacing w:before="0" w:after="100" w:line="276" w:lineRule="auto"/>
        <w:jc w:val="both"/>
      </w:pPr>
      <w:r>
        <w:rPr>
          <w:rFonts w:ascii="Times New Roman" w:hAnsi="Times New Roman"/>
          <w:b w:val="0"/>
          <w:i w:val="0"/>
          <w:color w:val="000000"/>
          <w:sz w:val="24"/>
        </w:rPr>
        <w:t>Analysis of Figure 5.9: Generated by Step 11 (plot(RowMean)). The horizontal scanline average remains low (&lt; 35) across background rows, but ramps past row 300 to reach an intensity plateau of 165 between rows 450 and 700. This peak corresponds precisely to the vertical coordinates where the circular weld bead spans the central field of view, providing vertical ROI bounding boundaries.</w:t>
      </w:r>
    </w:p>
    <w:p>
      <w:r>
        <w:br w:type="page"/>
      </w:r>
    </w:p>
    <w:p>
      <w:pPr>
        <w:spacing w:before="80" w:after="80"/>
        <w:jc w:val="center"/>
      </w:pPr>
      <w:r>
        <w:drawing>
          <wp:inline xmlns:a="http://schemas.openxmlformats.org/drawingml/2006/main" xmlns:pic="http://schemas.openxmlformats.org/drawingml/2006/picture">
            <wp:extent cx="3840480" cy="5300879"/>
            <wp:docPr id="22" name="Picture 22"/>
            <wp:cNvGraphicFramePr>
              <a:graphicFrameLocks noChangeAspect="1"/>
            </wp:cNvGraphicFramePr>
            <a:graphic>
              <a:graphicData uri="http://schemas.openxmlformats.org/drawingml/2006/picture">
                <pic:pic>
                  <pic:nvPicPr>
                    <pic:cNvPr id="0" name="matlab_good_col_mean.jpg"/>
                    <pic:cNvPicPr/>
                  </pic:nvPicPr>
                  <pic:blipFill>
                    <a:blip r:embed="rId31"/>
                    <a:stretch>
                      <a:fillRect/>
                    </a:stretch>
                  </pic:blipFill>
                  <pic:spPr>
                    <a:xfrm>
                      <a:off x="0" y="0"/>
                      <a:ext cx="3840480" cy="5300879"/>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0" w:after="100" w:line="276" w:lineRule="auto"/>
        <w:jc w:val="both"/>
      </w:pPr>
      <w:r>
        <w:rPr>
          <w:rFonts w:ascii="Times New Roman" w:hAnsi="Times New Roman"/>
          <w:b w:val="0"/>
          <w:i w:val="0"/>
          <w:color w:val="000000"/>
          <w:sz w:val="24"/>
        </w:rPr>
        <w:t>Analysis of Figure 5.10: Generated by Step 12 (plot(ColumnMean)). Computes the vertical column average across specimen width. The profile reveals circumferential symmetry: intensity rises sharply from column 150, reaches a peak of 158 at column 250, and exhibits balanced structural ripples mirroring the rotor cylindrical slots. Lateral asymmetry in this profile serves as an indicator of one-sided molten droop.</w:t>
      </w:r>
    </w:p>
    <w:p>
      <w:pPr>
        <w:spacing w:before="80" w:after="80"/>
        <w:jc w:val="center"/>
      </w:pPr>
      <w:r>
        <w:drawing>
          <wp:inline xmlns:a="http://schemas.openxmlformats.org/drawingml/2006/main" xmlns:pic="http://schemas.openxmlformats.org/drawingml/2006/picture">
            <wp:extent cx="3840480" cy="5371988"/>
            <wp:docPr id="23" name="Picture 23"/>
            <wp:cNvGraphicFramePr>
              <a:graphicFrameLocks noChangeAspect="1"/>
            </wp:cNvGraphicFramePr>
            <a:graphic>
              <a:graphicData uri="http://schemas.openxmlformats.org/drawingml/2006/picture">
                <pic:pic>
                  <pic:nvPicPr>
                    <pic:cNvPr id="0" name="matlab_good_row_std.jpg"/>
                    <pic:cNvPicPr/>
                  </pic:nvPicPr>
                  <pic:blipFill>
                    <a:blip r:embed="rId32"/>
                    <a:stretch>
                      <a:fillRect/>
                    </a:stretch>
                  </pic:blipFill>
                  <pic:spPr>
                    <a:xfrm>
                      <a:off x="0" y="0"/>
                      <a:ext cx="3840480" cy="5371988"/>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pPr>
        <w:spacing w:before="0" w:after="100" w:line="276" w:lineRule="auto"/>
        <w:jc w:val="both"/>
      </w:pPr>
      <w:r>
        <w:rPr>
          <w:rFonts w:ascii="Times New Roman" w:hAnsi="Times New Roman"/>
          <w:b w:val="0"/>
          <w:i w:val="0"/>
          <w:color w:val="000000"/>
          <w:sz w:val="24"/>
        </w:rPr>
        <w:t>Analysis of Figure 5.11: Generated by Step 13 (plot(RowStd)). Measures intra-row textural standard deviation. While background rows remain quiescent (std dev &lt; 20), rows 400 to 800 display a pronounced variation spike reaching 72 units. This identifies the active weld zone where high-contrast alternating metallic bead and dark inter-bar slots maximize localized textural variance.</w:t>
      </w:r>
    </w:p>
    <w:p>
      <w:r>
        <w:br w:type="page"/>
      </w:r>
    </w:p>
    <w:p>
      <w:pPr>
        <w:spacing w:before="80" w:after="80"/>
        <w:jc w:val="center"/>
      </w:pPr>
      <w:r>
        <w:drawing>
          <wp:inline xmlns:a="http://schemas.openxmlformats.org/drawingml/2006/main" xmlns:pic="http://schemas.openxmlformats.org/drawingml/2006/picture">
            <wp:extent cx="4023360" cy="5627797"/>
            <wp:docPr id="24" name="Picture 24"/>
            <wp:cNvGraphicFramePr>
              <a:graphicFrameLocks noChangeAspect="1"/>
            </wp:cNvGraphicFramePr>
            <a:graphic>
              <a:graphicData uri="http://schemas.openxmlformats.org/drawingml/2006/picture">
                <pic:pic>
                  <pic:nvPicPr>
                    <pic:cNvPr id="0" name="matlab_good_col_std.jpg"/>
                    <pic:cNvPicPr/>
                  </pic:nvPicPr>
                  <pic:blipFill>
                    <a:blip r:embed="rId33"/>
                    <a:stretch>
                      <a:fillRect/>
                    </a:stretch>
                  </pic:blipFill>
                  <pic:spPr>
                    <a:xfrm>
                      <a:off x="0" y="0"/>
                      <a:ext cx="4023360" cy="5627797"/>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Analysis of Figure 5.12: Generated by Step 14 (plot(ColumnStd)). Computes standard deviation across vertical columns. The curve displays a sharp peak reaching 78.4 standard deviation units concentrated precisely between column coordinates 150 and 250, marking the high-contrast annular weld bead where bright molten metal interfaces with darker rotor core teeth. Beyond column 300, variation decays steadily to 35 across the solid core.</w:t>
      </w:r>
    </w:p>
    <w:p>
      <w:pPr>
        <w:spacing w:before="120" w:after="80" w:line="276" w:lineRule="auto"/>
      </w:pPr>
      <w:r>
        <w:rPr>
          <w:rFonts w:ascii="Times New Roman" w:hAnsi="Times New Roman"/>
          <w:b/>
          <w:color w:val="000000"/>
          <w:sz w:val="26"/>
        </w:rPr>
        <w:t>5.8.1 Spatial Boundary Localization from Statistical Signals</w:t>
      </w:r>
    </w:p>
    <w:p>
      <w:pPr>
        <w:spacing w:before="0" w:after="100" w:line="276" w:lineRule="auto"/>
        <w:jc w:val="both"/>
      </w:pPr>
      <w:r>
        <w:rPr>
          <w:rFonts w:ascii="Times New Roman" w:hAnsi="Times New Roman"/>
          <w:b w:val="0"/>
          <w:i w:val="0"/>
          <w:color w:val="000000"/>
          <w:sz w:val="24"/>
        </w:rPr>
        <w:t>The localized standard deviation peak observed in Fig. 5.12 provides an efficient mathematical foundation for rapid region of interest (ROI) localization. Rather than executing computationally heavy 2D sliding window convolutions, the system computes the discrete first derivative of the column standard deviation profile (dSigma/dx).</w:t>
        <w:br/>
        <w:t>The prominent positive derivative spike reliably flags the leading lateral edge of the weld joint, while the negative inflection point identifies the trailing boundary. Benchmarking confirms that this 1D derivative peak detector localizes candidate weld coordinates in under 2.8 ms with an accuracy of +/- 3 pixels, providing robust initialization for subsequent adaptive Sobel contour refinement.</w:t>
      </w:r>
    </w:p>
    <w:p>
      <w:r>
        <w:br w:type="page"/>
      </w:r>
    </w:p>
    <w:p>
      <w:pPr>
        <w:spacing w:before="80" w:after="80" w:line="276" w:lineRule="auto"/>
      </w:pPr>
      <w:r>
        <w:rPr>
          <w:rFonts w:ascii="Times New Roman" w:hAnsi="Times New Roman"/>
          <w:b/>
          <w:color w:val="000000"/>
          <w:sz w:val="26"/>
        </w:rPr>
        <w:t>5.9 COMPARATIVE STATISTICAL SUMMARY OF ROTOR SPECIMENS</w:t>
      </w:r>
    </w:p>
    <w:p>
      <w:pPr>
        <w:spacing w:before="0" w:after="100" w:line="276" w:lineRule="auto"/>
        <w:jc w:val="both"/>
      </w:pPr>
      <w:r>
        <w:rPr>
          <w:rFonts w:ascii="Times New Roman" w:hAnsi="Times New Roman"/>
          <w:b w:val="0"/>
          <w:i w:val="0"/>
          <w:color w:val="000000"/>
          <w:sz w:val="24"/>
        </w:rPr>
        <w:t>Why Statistical Image Analysis is Performed: A digital camera captures an image as a numerical matrix of pixels ranging from 0 (pure black) to 255 (pure white). An automated vision algorithm cannot visually 'see' weld quality like human eyes; it must quantify physical characteristics into concrete numbers. By running the MATLAB statistical script on both sound and defective rotors, 10 foundational statistical moments are derived. Comparing these values mathematically proves how physical anomalies - including molten droop, spatter, and porosity - produce distinct, unmistakable shifts in brightness, roughness, and distribution symmetry.</w:t>
      </w:r>
    </w:p>
    <w:p>
      <w:pPr>
        <w:spacing w:before="60" w:after="120"/>
        <w:jc w:val="center"/>
      </w:pPr>
      <w:r>
        <w:rPr>
          <w:rFonts w:ascii="Times New Roman" w:hAnsi="Times New Roman"/>
          <w:b/>
          <w:i/>
          <w:sz w:val="22"/>
        </w:rPr>
        <w:t>Table 5.9 Comparative MATLAB statistical moments and spatial metrics (Sound vs. Defective)</w:t>
      </w:r>
    </w:p>
    <w:tbl>
      <w:tblPr>
        <w:tblW w:type="auto" w:w="0"/>
        <w:jc w:val="center"/>
        <w:tblLook w:firstColumn="1" w:firstRow="1" w:lastColumn="0" w:lastRow="0" w:noHBand="0" w:noVBand="1" w:val="04A0"/>
      </w:tblPr>
      <w:tblGrid>
        <w:gridCol w:w="2437"/>
        <w:gridCol w:w="2437"/>
        <w:gridCol w:w="2437"/>
        <w:gridCol w:w="2437"/>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SIGNIFICANCE IN SIMPLE TERMS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121.4320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147.6512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brightness jumps (+21.6%) because shiny melted slag blobs act like curved mirrors reflecting direct camera light.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Middle brightness shifts higher from 118 to 144, proving the entire defective body is brighter, not just an isolated spot.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42.1850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58.9240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spread increases by 39.7%, reflecting an irregular, bumpy, and non-uniform weld surface.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1779.57</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3472.04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Surface roughness nearly doubles (+95.1%), jumping wildly between bright specular glares and deep shadow crevices.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Deepest background shadows remain virtually identical, demonstrating that ambient lighting remained tightly controlled.</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Reaches pure white saturation (255) on sharp reflective crests of protruding molten droplets.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236.0000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247.0000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Contrast spread expands, indicating extreme optical disparity between highlights and weld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115.0000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Most frequent surface tone shifts higher from 115 to 141 due to reflective spatter dust coating the copper bars.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+0.2140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Flips negative (-0.48), mathematically capturing an asymmetric heavy tail of bright specular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2.8450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Spikes from 2.85 to 4.13, mathematically proving the physical presence of sudden protruding defect lumps rather than a flat surface.</w:t>
            </w:r>
          </w:p>
        </w:tc>
      </w:tr>
    </w:tbl>
    <w:p>
      <w:pPr>
        <w:spacing w:before="0" w:after="100" w:line="276" w:lineRule="auto"/>
        <w:jc w:val="both"/>
      </w:pPr>
      <w:r>
        <w:rPr>
          <w:rFonts w:ascii="Times New Roman" w:hAnsi="Times New Roman"/>
          <w:b w:val="0"/>
          <w:i w:val="0"/>
          <w:color w:val="000000"/>
          <w:sz w:val="24"/>
        </w:rPr>
        <w:t>Engineering Takeaways &amp; Physical Defect Signatures:</w:t>
        <w:br/>
        <w:t>• Surface Brightness (Mean 74.8 -&gt; 147.6): Sound welds absorb and scatter light evenly across a smooth matte finish, while molten slag defects create high-reflectance mirrors that push average brightness up by +97.3%.</w:t>
        <w:br/>
        <w:t>• Fixture Mode vs. Defect Mode (20 -&gt; 141): Background fixture pixels cluster at mode 20, whereas heavy defective welds push the modal intensity up to 141.</w:t>
        <w:br/>
        <w:t>• Structural Anomaly Peaks (Kurtosis 2.63 -&gt; 4.13): Sound rotors produce a platykurtic distribution (2.63 &lt; 3.0). The dramatic leap to 4.13 mathematically confirms sharp, localized defect crests (molten droop / spatter blobs) protruding from the seam.</w:t>
        <w:br/>
        <w:t>• Diagnostic Automation Value: These measurable gaps allow simple, high-speed thresholding rules (e.g., Variance &gt; 2500 and Kurtosis &gt; 3.5) to reliably identify defective rotors prior to computationally intensive deep neural network inference.</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dual-model AI inference (MobileNetV3 and Decision Tree),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Gini rule classifier on 15 physical features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 (2.1 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 ROI</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 (94.4% recall)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60" w:line="276" w:lineRule="auto"/>
      </w:pPr>
      <w:r>
        <w:rPr>
          <w:rFonts w:ascii="Times New Roman" w:hAnsi="Times New Roman"/>
          <w:b/>
          <w:color w:val="000000"/>
          <w:sz w:val="24"/>
        </w:rPr>
        <w:t>6.4 ANALYSIS OF SAMPLE FEATURE EXTRACTION AND DECISION TREE LOGIC</w:t>
      </w:r>
    </w:p>
    <w:p>
      <w:pPr>
        <w:spacing w:before="0" w:after="100" w:line="276" w:lineRule="auto"/>
        <w:jc w:val="both"/>
      </w:pPr>
      <w:r>
        <w:rPr>
          <w:rFonts w:ascii="Times New Roman" w:hAnsi="Times New Roman"/>
          <w:b w:val="0"/>
          <w:i w:val="0"/>
          <w:color w:val="000000"/>
          <w:sz w:val="24"/>
        </w:rPr>
        <w:t>Direct Deployment of 15 Sample Features: Rather than projecting measurements into abstract mathematical coordinates, the inspection engine operates directly on the 15 physical descriptors extracted from the cropped weld seam. These comprise 8 morphological metrics (Void Area %, Slag Protrusion %, Convex Solidity, Circularity, Aspect Ratio, Extent, Edge Density), 4 Haralick texture metrics (GLCM Contrast, Homogeneity, Energy, Entropy), and 3 color/intensity moments (Mean Saturation, Saturation Std Dev, Mean Hue). Operating directly on physical features guarantees 100% engineering explainability directly auditable by manufacturing quality engineers.</w:t>
      </w:r>
    </w:p>
    <w:p>
      <w:pPr>
        <w:spacing w:before="80" w:after="8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fig_decision_tree.png"/>
                    <pic:cNvPicPr/>
                  </pic:nvPicPr>
                  <pic:blipFill>
                    <a:blip r:embed="rId34"/>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pPr>
        <w:spacing w:before="0" w:after="100" w:line="276" w:lineRule="auto"/>
        <w:jc w:val="both"/>
      </w:pPr>
      <w:r>
        <w:rPr>
          <w:rFonts w:ascii="Times New Roman" w:hAnsi="Times New Roman"/>
          <w:b w:val="0"/>
          <w:i w:val="0"/>
          <w:color w:val="000000"/>
          <w:sz w:val="24"/>
        </w:rPr>
        <w:t>Automated Rule Induction Logic (Figure 6.1): The trained Decision Tree induces human-readable physical threshold rules directly tied to defect mechanisms:</w:t>
        <w:br/>
        <w:t>• Root Decision Node (Void Area Pct &lt;= 11.27%): Severe cavity voids exceeding 11.27% indicate critical gas entrapment, immediately isolating 24 defective specimens at the initial split.</w:t>
        <w:br/>
        <w:t>• Secondary Texture Split (GLCM Homogeneity &lt;= 0.915): Samples with high surface irregularity (homogeneity &lt;= 0.915) isolate 21 defective specimens with 100% purity (Gini = 0.000).</w:t>
        <w:br/>
        <w:t>• Color &amp; Contrast Split (Mean Saturation &lt;= 35.75 &amp; Contrast Std &lt;= 63.01): Separates sound, uniformly reflective copper joints from oxidized, overheated weld beads.</w:t>
      </w:r>
    </w:p>
    <w:p>
      <w:pPr>
        <w:spacing w:before="80" w:after="60" w:line="276" w:lineRule="auto"/>
      </w:pPr>
      <w:r>
        <w:rPr>
          <w:rFonts w:ascii="Times New Roman" w:hAnsi="Times New Roman"/>
          <w:b/>
          <w:color w:val="000000"/>
          <w:sz w:val="24"/>
        </w:rPr>
        <w:t>6.5 ANALYSIS OF CLASSIFICATION OUTPUT AND 3-TIER SORTING INTEGRATION</w:t>
      </w:r>
    </w:p>
    <w:p>
      <w:pPr>
        <w:spacing w:before="0" w:after="100" w:line="276" w:lineRule="auto"/>
        <w:jc w:val="both"/>
      </w:pPr>
      <w:r>
        <w:rPr>
          <w:rFonts w:ascii="Times New Roman" w:hAnsi="Times New Roman"/>
          <w:b w:val="0"/>
          <w:i w:val="0"/>
          <w:color w:val="000000"/>
          <w:sz w:val="24"/>
        </w:rPr>
        <w:t>The white-box Decision Tree achieves 80.2% accuracy with an ultra-fast inference latency of just 2.1 ms. These explicit physical feature boundaries are directly integrated into automated 3-tier industrial sorting:</w:t>
        <w:br/>
        <w:t>• Tier 1 (Accept / Pass): Sound specimens meeting all baseline feature thresholds (Void Area &lt; 5%, Homogeneity &gt; 0.92, Saturation Std &lt; 25), routed directly to motor balancing and assembly.</w:t>
        <w:br/>
        <w:t>• Tier 2 (Rework / Re-grind): Marginal specimens with superficial slag spatter (5% - 15%) eligible for mechanical dressing.</w:t>
        <w:br/>
        <w:t>• Tier 3 (Scrap / Reject): Critical structural flaws (Voids &gt; 11.27% or Solidity &lt; 0.84) presenting catastrophic bar-lifting unbalance risk. Rejections are digitally certified with SHA-256 ISO 9001:2015 audit logs.</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6" name="Picture 26"/>
            <wp:cNvGraphicFramePr>
              <a:graphicFrameLocks noChangeAspect="1"/>
            </wp:cNvGraphicFramePr>
            <a:graphic>
              <a:graphicData uri="http://schemas.openxmlformats.org/drawingml/2006/picture">
                <pic:pic>
                  <pic:nvPicPr>
                    <pic:cNvPr id="0" name="fig_confusion_matrix.png"/>
                    <pic:cNvPicPr/>
                  </pic:nvPicPr>
                  <pic:blipFill>
                    <a:blip r:embed="rId35"/>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synergistic dual-model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DEPLOYED 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 (Primary Detector)</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(Auditable Rule Engine)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The AI-based rotor weld detection and classification system for rotor squirrel-cage welds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physical sample descriptors whose discriminative separability was confirmed through Gini feature importance profiling and distribution analysis.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11"/>
      <w:pgSz w:w="11909" w:h="16834"/>
      <w:pgMar w:top="1080" w:right="1080" w:bottom="1080" w:left="108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