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2"/>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2"/>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2"/>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40" w:line="276" w:lineRule="auto"/>
        <w:jc w:val="center"/>
      </w:pPr>
      <w:r>
        <w:rPr>
          <w:rFonts w:ascii="Times New Roman" w:hAnsi="Times New Roman"/>
          <w:b/>
          <w:color w:val="000000"/>
          <w:sz w:val="32"/>
        </w:rPr>
        <w:t>TABLE OF CONTENTS</w:t>
      </w:r>
    </w:p>
    <w:p>
      <w:pPr>
        <w:spacing w:line="276" w:lineRule="auto" w:after="40"/>
      </w:pPr>
      <w:r>
        <w:rPr>
          <w:rFonts w:ascii="Times New Roman" w:hAnsi="Times New Roman"/>
          <w:b/>
          <w:sz w:val="22"/>
        </w:rPr>
        <w:t>Abstract.....................................................................3</w:t>
      </w:r>
    </w:p>
    <w:p>
      <w:pPr>
        <w:spacing w:line="276" w:lineRule="auto" w:after="40"/>
      </w:pPr>
      <w:r>
        <w:rPr>
          <w:rFonts w:ascii="Times New Roman" w:hAnsi="Times New Roman"/>
          <w:b/>
          <w:sz w:val="22"/>
        </w:rPr>
        <w:t>List of figures..............................................................7</w:t>
      </w:r>
    </w:p>
    <w:p>
      <w:pPr>
        <w:spacing w:line="276" w:lineRule="auto" w:after="40"/>
      </w:pPr>
      <w:r>
        <w:rPr>
          <w:rFonts w:ascii="Times New Roman" w:hAnsi="Times New Roman"/>
          <w:b/>
          <w:sz w:val="22"/>
        </w:rPr>
        <w:t>Introduction.................................................................8</w:t>
      </w:r>
    </w:p>
    <w:p>
      <w:pPr>
        <w:spacing w:line="276" w:lineRule="auto" w:after="40"/>
      </w:pPr>
      <w:r>
        <w:rPr>
          <w:rFonts w:ascii="Times New Roman" w:hAnsi="Times New Roman"/>
          <w:b w:val="0"/>
          <w:sz w:val="22"/>
        </w:rPr>
        <w:t xml:space="preserve">  1.1 Problem statement......................................................8</w:t>
      </w:r>
    </w:p>
    <w:p>
      <w:pPr>
        <w:spacing w:line="276" w:lineRule="auto" w:after="40"/>
      </w:pPr>
      <w:r>
        <w:rPr>
          <w:rFonts w:ascii="Times New Roman" w:hAnsi="Times New Roman"/>
          <w:b w:val="0"/>
          <w:sz w:val="22"/>
        </w:rPr>
        <w:t xml:space="preserve">  1.2 Aim....................................................................9</w:t>
      </w:r>
    </w:p>
    <w:p>
      <w:pPr>
        <w:spacing w:line="276" w:lineRule="auto" w:after="40"/>
      </w:pPr>
      <w:r>
        <w:rPr>
          <w:rFonts w:ascii="Times New Roman" w:hAnsi="Times New Roman"/>
          <w:b w:val="0"/>
          <w:sz w:val="22"/>
        </w:rPr>
        <w:t xml:space="preserve">  1.3 Objectives.............................................................9</w:t>
      </w:r>
    </w:p>
    <w:p>
      <w:pPr>
        <w:spacing w:line="276" w:lineRule="auto" w:after="40"/>
      </w:pPr>
      <w:r>
        <w:rPr>
          <w:rFonts w:ascii="Times New Roman" w:hAnsi="Times New Roman"/>
          <w:b w:val="0"/>
          <w:sz w:val="22"/>
        </w:rPr>
        <w:t xml:space="preserve">  1.4 Scope of the Project...................................................9</w:t>
      </w:r>
    </w:p>
    <w:p>
      <w:pPr>
        <w:spacing w:line="276" w:lineRule="auto" w:after="40"/>
      </w:pPr>
      <w:r>
        <w:rPr>
          <w:rFonts w:ascii="Times New Roman" w:hAnsi="Times New Roman"/>
          <w:b w:val="0"/>
          <w:sz w:val="22"/>
        </w:rPr>
        <w:t xml:space="preserve">  1.5 Applications..........................................................10</w:t>
      </w:r>
    </w:p>
    <w:p>
      <w:pPr>
        <w:spacing w:line="276" w:lineRule="auto" w:after="40"/>
      </w:pPr>
      <w:r>
        <w:rPr>
          <w:rFonts w:ascii="Times New Roman" w:hAnsi="Times New Roman"/>
          <w:b/>
          <w:sz w:val="22"/>
        </w:rPr>
        <w:t>Literature Overview.........................................................11</w:t>
      </w:r>
    </w:p>
    <w:p>
      <w:pPr>
        <w:spacing w:line="276" w:lineRule="auto" w:after="40"/>
      </w:pPr>
      <w:r>
        <w:rPr>
          <w:rFonts w:ascii="Times New Roman" w:hAnsi="Times New Roman"/>
          <w:b w:val="0"/>
          <w:sz w:val="22"/>
        </w:rPr>
        <w:t xml:space="preserve">  2.1 Overview of industrial weld defect inspection.........................11</w:t>
      </w:r>
    </w:p>
    <w:p>
      <w:pPr>
        <w:spacing w:line="276" w:lineRule="auto" w:after="40"/>
      </w:pPr>
      <w:r>
        <w:rPr>
          <w:rFonts w:ascii="Times New Roman" w:hAnsi="Times New Roman"/>
          <w:b w:val="0"/>
          <w:sz w:val="22"/>
        </w:rPr>
        <w:t xml:space="preserve">  2.2 Optical acquisition and lighting geometry.............................11</w:t>
      </w:r>
    </w:p>
    <w:p>
      <w:pPr>
        <w:spacing w:line="276" w:lineRule="auto" w:after="40"/>
      </w:pPr>
      <w:r>
        <w:rPr>
          <w:rFonts w:ascii="Times New Roman" w:hAnsi="Times New Roman"/>
          <w:b w:val="0"/>
          <w:sz w:val="22"/>
        </w:rPr>
        <w:t xml:space="preserve">  2.3 Spatial and morphological features....................................11</w:t>
      </w:r>
    </w:p>
    <w:p>
      <w:pPr>
        <w:spacing w:line="276" w:lineRule="auto" w:after="40"/>
      </w:pPr>
      <w:r>
        <w:rPr>
          <w:rFonts w:ascii="Times New Roman" w:hAnsi="Times New Roman"/>
          <w:b w:val="0"/>
          <w:sz w:val="22"/>
        </w:rPr>
        <w:t xml:space="preserve">  2.4 Texture analysis and GLCM.............................................12</w:t>
      </w:r>
    </w:p>
    <w:p>
      <w:pPr>
        <w:spacing w:line="276" w:lineRule="auto" w:after="40"/>
      </w:pPr>
      <w:r>
        <w:rPr>
          <w:rFonts w:ascii="Times New Roman" w:hAnsi="Times New Roman"/>
          <w:b w:val="0"/>
          <w:sz w:val="22"/>
        </w:rPr>
        <w:t xml:space="preserve">  2.5 Saliency and gradient-based edge methods..............................12</w:t>
      </w:r>
    </w:p>
    <w:p>
      <w:pPr>
        <w:spacing w:line="276" w:lineRule="auto" w:after="40"/>
      </w:pPr>
      <w:r>
        <w:rPr>
          <w:rFonts w:ascii="Times New Roman" w:hAnsi="Times New Roman"/>
          <w:b w:val="0"/>
          <w:sz w:val="22"/>
        </w:rPr>
        <w:t xml:space="preserve">  2.6 Machine learning and deep classifiers.................................13</w:t>
      </w:r>
    </w:p>
    <w:p>
      <w:pPr>
        <w:spacing w:line="276" w:lineRule="auto" w:after="40"/>
      </w:pPr>
      <w:r>
        <w:rPr>
          <w:rFonts w:ascii="Times New Roman" w:hAnsi="Times New Roman"/>
          <w:b w:val="0"/>
          <w:sz w:val="22"/>
        </w:rPr>
        <w:t xml:space="preserve">  2.7 Research gap and project motivation...................................13</w:t>
      </w:r>
    </w:p>
    <w:p>
      <w:pPr>
        <w:spacing w:line="276" w:lineRule="auto" w:after="40"/>
      </w:pPr>
      <w:r>
        <w:rPr>
          <w:rFonts w:ascii="Times New Roman" w:hAnsi="Times New Roman"/>
          <w:b w:val="0"/>
          <w:sz w:val="22"/>
        </w:rPr>
        <w:t xml:space="preserve">  2.8 Summary...............................................................13</w:t>
      </w:r>
    </w:p>
    <w:p>
      <w:pPr>
        <w:spacing w:line="276" w:lineRule="auto" w:after="40"/>
      </w:pPr>
      <w:r>
        <w:rPr>
          <w:rFonts w:ascii="Times New Roman" w:hAnsi="Times New Roman"/>
          <w:b/>
          <w:sz w:val="22"/>
        </w:rPr>
        <w:t>System design and hardware..................................................14</w:t>
      </w:r>
    </w:p>
    <w:p>
      <w:pPr>
        <w:spacing w:line="276" w:lineRule="auto" w:after="40"/>
      </w:pPr>
      <w:r>
        <w:rPr>
          <w:rFonts w:ascii="Times New Roman" w:hAnsi="Times New Roman"/>
          <w:b w:val="0"/>
          <w:sz w:val="22"/>
        </w:rPr>
        <w:t xml:space="preserve">  3.1 System architecture...................................................14</w:t>
      </w:r>
    </w:p>
    <w:p>
      <w:r>
        <w:br w:type="page"/>
      </w:r>
    </w:p>
    <w:p>
      <w:pPr>
        <w:spacing w:line="276" w:lineRule="auto" w:after="40"/>
      </w:pPr>
      <w:r>
        <w:rPr>
          <w:rFonts w:ascii="Times New Roman" w:hAnsi="Times New Roman"/>
          <w:b w:val="0"/>
          <w:sz w:val="22"/>
        </w:rPr>
        <w:t xml:space="preserve">  3.2 Hardware components...................................................16</w:t>
      </w:r>
    </w:p>
    <w:p>
      <w:pPr>
        <w:spacing w:line="276" w:lineRule="auto" w:after="40"/>
      </w:pPr>
      <w:r>
        <w:rPr>
          <w:rFonts w:ascii="Times New Roman" w:hAnsi="Times New Roman"/>
          <w:b w:val="0"/>
          <w:sz w:val="22"/>
        </w:rPr>
        <w:t xml:space="preserve">    3.2.1 High-resolution optical camera....................................16</w:t>
      </w:r>
    </w:p>
    <w:p>
      <w:pPr>
        <w:spacing w:line="276" w:lineRule="auto" w:after="40"/>
      </w:pPr>
      <w:r>
        <w:rPr>
          <w:rFonts w:ascii="Times New Roman" w:hAnsi="Times New Roman"/>
          <w:b w:val="0"/>
          <w:sz w:val="22"/>
        </w:rPr>
        <w:t xml:space="preserve">    3.2.2 Processing workstation and edge engine............................16</w:t>
      </w:r>
    </w:p>
    <w:p>
      <w:pPr>
        <w:spacing w:line="276" w:lineRule="auto" w:after="40"/>
      </w:pPr>
      <w:r>
        <w:rPr>
          <w:rFonts w:ascii="Times New Roman" w:hAnsi="Times New Roman"/>
          <w:b w:val="0"/>
          <w:sz w:val="22"/>
        </w:rPr>
        <w:t xml:space="preserve">    3.2.3 Industrial lighting and fixture rig...............................16</w:t>
      </w:r>
    </w:p>
    <w:p>
      <w:pPr>
        <w:spacing w:line="276" w:lineRule="auto" w:after="40"/>
      </w:pPr>
      <w:r>
        <w:rPr>
          <w:rFonts w:ascii="Times New Roman" w:hAnsi="Times New Roman"/>
          <w:b w:val="0"/>
          <w:sz w:val="22"/>
        </w:rPr>
        <w:t xml:space="preserve">    3.2.4 Web-based inspection dashboard....................................16</w:t>
      </w:r>
    </w:p>
    <w:p>
      <w:pPr>
        <w:spacing w:line="276" w:lineRule="auto" w:after="40"/>
      </w:pPr>
      <w:r>
        <w:rPr>
          <w:rFonts w:ascii="Times New Roman" w:hAnsi="Times New Roman"/>
          <w:b w:val="0"/>
          <w:sz w:val="22"/>
        </w:rPr>
        <w:t xml:space="preserve">  3.3 Hardware connections and specifications...............................16</w:t>
      </w:r>
    </w:p>
    <w:p>
      <w:pPr>
        <w:spacing w:line="276" w:lineRule="auto" w:after="40"/>
      </w:pPr>
      <w:r>
        <w:rPr>
          <w:rFonts w:ascii="Times New Roman" w:hAnsi="Times New Roman"/>
          <w:b w:val="0"/>
          <w:sz w:val="22"/>
        </w:rPr>
        <w:t xml:space="preserve">  3.4 Software requirements and dual environment............................17</w:t>
      </w:r>
    </w:p>
    <w:p>
      <w:pPr>
        <w:spacing w:line="276" w:lineRule="auto" w:after="40"/>
      </w:pPr>
      <w:r>
        <w:rPr>
          <w:rFonts w:ascii="Times New Roman" w:hAnsi="Times New Roman"/>
          <w:b/>
          <w:sz w:val="22"/>
        </w:rPr>
        <w:t>Methodology and software implementation.....................................18</w:t>
      </w:r>
    </w:p>
    <w:p>
      <w:pPr>
        <w:spacing w:line="276" w:lineRule="auto" w:after="40"/>
      </w:pPr>
      <w:r>
        <w:rPr>
          <w:rFonts w:ascii="Times New Roman" w:hAnsi="Times New Roman"/>
          <w:b w:val="0"/>
          <w:sz w:val="22"/>
        </w:rPr>
        <w:t xml:space="preserve">  4.1 Overall methodology...................................................18</w:t>
      </w:r>
    </w:p>
    <w:p>
      <w:pPr>
        <w:spacing w:line="276" w:lineRule="auto" w:after="40"/>
      </w:pPr>
      <w:r>
        <w:rPr>
          <w:rFonts w:ascii="Times New Roman" w:hAnsi="Times New Roman"/>
          <w:b w:val="0"/>
          <w:sz w:val="22"/>
        </w:rPr>
        <w:t xml:space="preserve">  4.2 Configuration parameters..............................................18</w:t>
      </w:r>
    </w:p>
    <w:p>
      <w:pPr>
        <w:spacing w:line="276" w:lineRule="auto" w:after="40"/>
      </w:pPr>
      <w:r>
        <w:rPr>
          <w:rFonts w:ascii="Times New Roman" w:hAnsi="Times New Roman"/>
          <w:b w:val="0"/>
          <w:sz w:val="22"/>
        </w:rPr>
        <w:t xml:space="preserve">  4.3 Saliency-guided weld ROI cropper......................................19</w:t>
      </w:r>
    </w:p>
    <w:p>
      <w:pPr>
        <w:spacing w:line="276" w:lineRule="auto" w:after="40"/>
      </w:pPr>
      <w:r>
        <w:rPr>
          <w:rFonts w:ascii="Times New Roman" w:hAnsi="Times New Roman"/>
          <w:b w:val="0"/>
          <w:sz w:val="22"/>
        </w:rPr>
        <w:t xml:space="preserve">  4.4 Mathematical feature extraction formulation...........................20</w:t>
      </w:r>
    </w:p>
    <w:p>
      <w:pPr>
        <w:spacing w:line="276" w:lineRule="auto" w:after="40"/>
      </w:pPr>
      <w:r>
        <w:rPr>
          <w:rFonts w:ascii="Times New Roman" w:hAnsi="Times New Roman"/>
          <w:b w:val="0"/>
          <w:sz w:val="22"/>
        </w:rPr>
        <w:t xml:space="preserve">    4.4.1 Intensity and density descriptors.................................20</w:t>
      </w:r>
    </w:p>
    <w:p>
      <w:pPr>
        <w:spacing w:line="276" w:lineRule="auto" w:after="40"/>
      </w:pPr>
      <w:r>
        <w:rPr>
          <w:rFonts w:ascii="Times New Roman" w:hAnsi="Times New Roman"/>
          <w:b w:val="0"/>
          <w:sz w:val="22"/>
        </w:rPr>
        <w:t xml:space="preserve">    4.4.2 Morphological and geometric contours..............................20</w:t>
      </w:r>
    </w:p>
    <w:p>
      <w:pPr>
        <w:spacing w:line="276" w:lineRule="auto" w:after="40"/>
      </w:pPr>
      <w:r>
        <w:rPr>
          <w:rFonts w:ascii="Times New Roman" w:hAnsi="Times New Roman"/>
          <w:b w:val="0"/>
          <w:sz w:val="22"/>
        </w:rPr>
        <w:t xml:space="preserve">    4.4.3 GLCM Haralick texture descriptors.................................20</w:t>
      </w:r>
    </w:p>
    <w:p>
      <w:pPr>
        <w:spacing w:line="276" w:lineRule="auto" w:after="40"/>
      </w:pPr>
      <w:r>
        <w:rPr>
          <w:rFonts w:ascii="Times New Roman" w:hAnsi="Times New Roman"/>
          <w:b w:val="0"/>
          <w:sz w:val="22"/>
        </w:rPr>
        <w:t xml:space="preserve">  4.5 Machine learning classification logic.................................21</w:t>
      </w:r>
    </w:p>
    <w:p>
      <w:pPr>
        <w:spacing w:line="276" w:lineRule="auto" w:after="40"/>
      </w:pPr>
      <w:r>
        <w:rPr>
          <w:rFonts w:ascii="Times New Roman" w:hAnsi="Times New Roman"/>
          <w:b w:val="0"/>
          <w:sz w:val="22"/>
        </w:rPr>
        <w:t xml:space="preserve">  4.6 Output indication and 3-tier sorting..................................22</w:t>
      </w:r>
    </w:p>
    <w:p>
      <w:pPr>
        <w:spacing w:line="276" w:lineRule="auto" w:after="40"/>
      </w:pPr>
      <w:r>
        <w:rPr>
          <w:rFonts w:ascii="Times New Roman" w:hAnsi="Times New Roman"/>
          <w:b w:val="0"/>
          <w:sz w:val="22"/>
        </w:rPr>
        <w:t xml:space="preserve">  4.7 Software implementation summary.......................................23</w:t>
      </w:r>
    </w:p>
    <w:p>
      <w:pPr>
        <w:spacing w:line="276" w:lineRule="auto" w:after="40"/>
      </w:pPr>
      <w:r>
        <w:rPr>
          <w:rFonts w:ascii="Times New Roman" w:hAnsi="Times New Roman"/>
          <w:b w:val="0"/>
          <w:sz w:val="22"/>
        </w:rPr>
        <w:t xml:space="preserve">  4.8 Important technical observations......................................23</w:t>
      </w:r>
    </w:p>
    <w:p>
      <w:pPr>
        <w:spacing w:line="276" w:lineRule="auto" w:after="40"/>
      </w:pPr>
      <w:r>
        <w:rPr>
          <w:rFonts w:ascii="Times New Roman" w:hAnsi="Times New Roman"/>
          <w:b w:val="0"/>
          <w:sz w:val="22"/>
        </w:rPr>
        <w:t xml:space="preserve">  4.9 Deep convolutional validation.........................................23</w:t>
      </w:r>
    </w:p>
    <w:p>
      <w:pPr>
        <w:spacing w:line="276" w:lineRule="auto" w:after="40"/>
      </w:pPr>
      <w:r>
        <w:rPr>
          <w:rFonts w:ascii="Times New Roman" w:hAnsi="Times New Roman"/>
          <w:b w:val="0"/>
          <w:sz w:val="22"/>
        </w:rPr>
        <w:t xml:space="preserve">  4.10 MATLAB exploratory signal processing pipeline........................24</w:t>
      </w:r>
    </w:p>
    <w:p>
      <w:pPr>
        <w:spacing w:line="276" w:lineRule="auto" w:after="40"/>
      </w:pPr>
      <w:r>
        <w:rPr>
          <w:rFonts w:ascii="Times New Roman" w:hAnsi="Times New Roman"/>
          <w:b/>
          <w:sz w:val="22"/>
        </w:rPr>
        <w:t>Experimental setup and testing..............................................26</w:t>
      </w:r>
    </w:p>
    <w:p>
      <w:pPr>
        <w:spacing w:line="276" w:lineRule="auto" w:after="40"/>
      </w:pPr>
      <w:r>
        <w:rPr>
          <w:rFonts w:ascii="Times New Roman" w:hAnsi="Times New Roman"/>
          <w:b w:val="0"/>
          <w:sz w:val="22"/>
        </w:rPr>
        <w:t xml:space="preserve">  5.1 Experimental setup....................................................26</w:t>
      </w:r>
    </w:p>
    <w:p>
      <w:pPr>
        <w:spacing w:line="276" w:lineRule="auto" w:after="40"/>
      </w:pPr>
      <w:r>
        <w:rPr>
          <w:rFonts w:ascii="Times New Roman" w:hAnsi="Times New Roman"/>
          <w:b w:val="0"/>
          <w:sz w:val="22"/>
        </w:rPr>
        <w:t xml:space="preserve">  5.2 Testing procedure.....................................................26</w:t>
      </w:r>
    </w:p>
    <w:p>
      <w:pPr>
        <w:spacing w:line="276" w:lineRule="auto" w:after="40"/>
      </w:pPr>
      <w:r>
        <w:rPr>
          <w:rFonts w:ascii="Times New Roman" w:hAnsi="Times New Roman"/>
          <w:b w:val="0"/>
          <w:sz w:val="22"/>
        </w:rPr>
        <w:t xml:space="preserve">  5.3 Parameters used during testing........................................27</w:t>
      </w:r>
    </w:p>
    <w:p>
      <w:pPr>
        <w:spacing w:line="276" w:lineRule="auto" w:after="40"/>
      </w:pPr>
      <w:r>
        <w:rPr>
          <w:rFonts w:ascii="Times New Roman" w:hAnsi="Times New Roman"/>
          <w:b w:val="0"/>
          <w:sz w:val="22"/>
        </w:rPr>
        <w:t xml:space="preserve">  5.4 Observations during testing...........................................28</w:t>
      </w:r>
    </w:p>
    <w:p>
      <w:pPr>
        <w:spacing w:line="276" w:lineRule="auto" w:after="40"/>
      </w:pPr>
      <w:r>
        <w:rPr>
          <w:rFonts w:ascii="Times New Roman" w:hAnsi="Times New Roman"/>
          <w:b w:val="0"/>
          <w:sz w:val="22"/>
        </w:rPr>
        <w:t xml:space="preserve">  5.5 Test record...........................................................28</w:t>
      </w:r>
    </w:p>
    <w:p>
      <w:r>
        <w:br w:type="page"/>
      </w:r>
    </w:p>
    <w:p>
      <w:pPr>
        <w:spacing w:line="276" w:lineRule="auto" w:after="40"/>
      </w:pPr>
      <w:r>
        <w:rPr>
          <w:rFonts w:ascii="Times New Roman" w:hAnsi="Times New Roman"/>
          <w:b w:val="0"/>
          <w:sz w:val="22"/>
        </w:rPr>
        <w:t xml:space="preserve">  5.6 Scope of experimental verification....................................30</w:t>
      </w:r>
    </w:p>
    <w:p>
      <w:pPr>
        <w:spacing w:line="276" w:lineRule="auto" w:after="40"/>
      </w:pPr>
      <w:r>
        <w:rPr>
          <w:rFonts w:ascii="Times New Roman" w:hAnsi="Times New Roman"/>
          <w:b w:val="0"/>
          <w:sz w:val="22"/>
        </w:rPr>
        <w:t xml:space="preserve">  5.7 Visual analysis and diagnostic plots..................................30</w:t>
      </w:r>
    </w:p>
    <w:p>
      <w:pPr>
        <w:spacing w:line="276" w:lineRule="auto" w:after="40"/>
      </w:pPr>
      <w:r>
        <w:rPr>
          <w:rFonts w:ascii="Times New Roman" w:hAnsi="Times New Roman"/>
          <w:b w:val="0"/>
          <w:sz w:val="22"/>
        </w:rPr>
        <w:t xml:space="preserve">  5.8 MATLAB image intensity profiling and statistical experiments..........33</w:t>
      </w:r>
    </w:p>
    <w:p>
      <w:pPr>
        <w:spacing w:line="276" w:lineRule="auto" w:after="40"/>
      </w:pPr>
      <w:r>
        <w:rPr>
          <w:rFonts w:ascii="Times New Roman" w:hAnsi="Times New Roman"/>
          <w:b/>
          <w:sz w:val="22"/>
        </w:rPr>
        <w:t>Results and discussion......................................................36</w:t>
      </w:r>
    </w:p>
    <w:p>
      <w:pPr>
        <w:spacing w:line="276" w:lineRule="auto" w:after="40"/>
      </w:pPr>
      <w:r>
        <w:rPr>
          <w:rFonts w:ascii="Times New Roman" w:hAnsi="Times New Roman"/>
          <w:b w:val="0"/>
          <w:sz w:val="22"/>
        </w:rPr>
        <w:t xml:space="preserve">  6.1 Implementation results................................................36</w:t>
      </w:r>
    </w:p>
    <w:p>
      <w:pPr>
        <w:spacing w:line="276" w:lineRule="auto" w:after="40"/>
      </w:pPr>
      <w:r>
        <w:rPr>
          <w:rFonts w:ascii="Times New Roman" w:hAnsi="Times New Roman"/>
          <w:b w:val="0"/>
          <w:sz w:val="22"/>
        </w:rPr>
        <w:t xml:space="preserve">  6.2 Functional verification...............................................36</w:t>
      </w:r>
    </w:p>
    <w:p>
      <w:pPr>
        <w:spacing w:line="276" w:lineRule="auto" w:after="40"/>
      </w:pPr>
      <w:r>
        <w:rPr>
          <w:rFonts w:ascii="Times New Roman" w:hAnsi="Times New Roman"/>
          <w:b w:val="0"/>
          <w:sz w:val="22"/>
        </w:rPr>
        <w:t xml:space="preserve">  6.3 Analysis of preprocessing and saliency cropper........................37</w:t>
      </w:r>
    </w:p>
    <w:p>
      <w:pPr>
        <w:spacing w:line="276" w:lineRule="auto" w:after="40"/>
      </w:pPr>
      <w:r>
        <w:rPr>
          <w:rFonts w:ascii="Times New Roman" w:hAnsi="Times New Roman"/>
          <w:b w:val="0"/>
          <w:sz w:val="22"/>
        </w:rPr>
        <w:t xml:space="preserve">  6.4 Analysis of feature extraction and PCA................................38</w:t>
      </w:r>
    </w:p>
    <w:p>
      <w:pPr>
        <w:spacing w:line="276" w:lineRule="auto" w:after="40"/>
      </w:pPr>
      <w:r>
        <w:rPr>
          <w:rFonts w:ascii="Times New Roman" w:hAnsi="Times New Roman"/>
          <w:b w:val="0"/>
          <w:sz w:val="22"/>
        </w:rPr>
        <w:t xml:space="preserve">  6.5 Analysis of classification output.....................................38</w:t>
      </w:r>
    </w:p>
    <w:p>
      <w:pPr>
        <w:spacing w:line="276" w:lineRule="auto" w:after="40"/>
      </w:pPr>
      <w:r>
        <w:rPr>
          <w:rFonts w:ascii="Times New Roman" w:hAnsi="Times New Roman"/>
          <w:b w:val="0"/>
          <w:sz w:val="22"/>
        </w:rPr>
        <w:t xml:space="preserve">  6.6 Cross-platform statistical verification (MATLAB vs Python)............39</w:t>
      </w:r>
    </w:p>
    <w:p>
      <w:pPr>
        <w:spacing w:line="276" w:lineRule="auto" w:after="40"/>
      </w:pPr>
      <w:r>
        <w:rPr>
          <w:rFonts w:ascii="Times New Roman" w:hAnsi="Times New Roman"/>
          <w:b w:val="0"/>
          <w:sz w:val="22"/>
        </w:rPr>
        <w:t xml:space="preserve">  6.7 Limitations identified................................................40</w:t>
      </w:r>
    </w:p>
    <w:p>
      <w:pPr>
        <w:spacing w:line="276" w:lineRule="auto" w:after="40"/>
      </w:pPr>
      <w:r>
        <w:rPr>
          <w:rFonts w:ascii="Times New Roman" w:hAnsi="Times New Roman"/>
          <w:b w:val="0"/>
          <w:sz w:val="22"/>
        </w:rPr>
        <w:t xml:space="preserve">  6.8 Discussion............................................................41</w:t>
      </w:r>
    </w:p>
    <w:p>
      <w:pPr>
        <w:spacing w:line="276" w:lineRule="auto" w:after="40"/>
      </w:pPr>
      <w:r>
        <w:rPr>
          <w:rFonts w:ascii="Times New Roman" w:hAnsi="Times New Roman"/>
          <w:b w:val="0"/>
          <w:sz w:val="22"/>
        </w:rPr>
        <w:t xml:space="preserve">  6.9 Comparative benchmark results.........................................41</w:t>
      </w:r>
    </w:p>
    <w:p>
      <w:pPr>
        <w:spacing w:line="276" w:lineRule="auto" w:after="40"/>
      </w:pPr>
      <w:r>
        <w:rPr>
          <w:rFonts w:ascii="Times New Roman" w:hAnsi="Times New Roman"/>
          <w:b/>
          <w:sz w:val="22"/>
        </w:rPr>
        <w:t>Conclusion and future scope.................................................42</w:t>
      </w:r>
    </w:p>
    <w:p>
      <w:pPr>
        <w:spacing w:line="276" w:lineRule="auto" w:after="40"/>
      </w:pPr>
      <w:r>
        <w:rPr>
          <w:rFonts w:ascii="Times New Roman" w:hAnsi="Times New Roman"/>
          <w:b w:val="0"/>
          <w:sz w:val="22"/>
        </w:rPr>
        <w:t xml:space="preserve">  7.1 Conclusion............................................................42</w:t>
      </w:r>
    </w:p>
    <w:p>
      <w:pPr>
        <w:spacing w:line="276" w:lineRule="auto" w:after="40"/>
      </w:pPr>
      <w:r>
        <w:rPr>
          <w:rFonts w:ascii="Times New Roman" w:hAnsi="Times New Roman"/>
          <w:b w:val="0"/>
          <w:sz w:val="22"/>
        </w:rPr>
        <w:t xml:space="preserve">  7.2 Future scope..........................................................42</w:t>
      </w:r>
    </w:p>
    <w:p>
      <w:r>
        <w:br w:type="page"/>
      </w:r>
    </w:p>
    <w:p>
      <w:pPr>
        <w:spacing w:before="0" w:after="240" w:line="276" w:lineRule="auto"/>
        <w:jc w:val="center"/>
      </w:pPr>
      <w:r>
        <w:rPr>
          <w:rFonts w:ascii="Times New Roman" w:hAnsi="Times New Roman"/>
          <w:b/>
          <w:color w:val="000000"/>
          <w:sz w:val="32"/>
        </w:rPr>
        <w:t>LIST OF FIGURES</w:t>
      </w:r>
    </w:p>
    <w:tbl>
      <w:tblPr>
        <w:tblW w:type="auto" w:w="0"/>
        <w:jc w:val="center"/>
        <w:tblLook w:firstColumn="1" w:firstRow="1" w:lastColumn="0" w:lastRow="0" w:noHBand="0" w:noVBand="1" w:val="04A0"/>
      </w:tblPr>
      <w:tblGrid>
        <w:gridCol w:w="3250"/>
        <w:gridCol w:w="3250"/>
        <w:gridCol w:w="3250"/>
      </w:tblGrid>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Figure index</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Title</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Pg. no.</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1.1</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Overview of the proposed system architecture</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10</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3.1</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Experimental hardware and rotor inspection setup</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15</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3.2</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Isolated weld seam ROI macro specimen</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15</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4.1</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Saliency Sobel filter edge detection map</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19</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5.1</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inspection studio and AI diagnostic interface</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26</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5.2</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Raw vs. cropped feature distribution comparison</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31</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5.3</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2D Principal Component Analysis (PCA) cluster separation</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31</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5.4</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PCA feature loading vectors biplot</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31</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5.5</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Pearson correlation heatmap matrix</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32</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5.6</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MATLAB defective rotor image analysis and grayscale conversion</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33</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5.7</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MATLAB sound rotor image and statistical moments in command window</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33</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5.8</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MATLAB multimodal pixel intensity histogram of rotor specimen</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34</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5.9</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MATLAB row-wise mean pixel intensity profile across image rows</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34</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5.10</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MATLAB column-wise mean pixel intensity profile across image columns</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35</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5.11</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MATLAB row-wise pixel variation (standard deviation) profile</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35</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6.1</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Decision Tree classification architecture</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38</w:t>
            </w:r>
          </w:p>
        </w:tc>
      </w:tr>
      <w:tr>
        <w:tc>
          <w:tcPr>
            <w:tcW w:type="dxa" w:w="144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6.2</w:t>
            </w:r>
          </w:p>
        </w:tc>
        <w:tc>
          <w:tcPr>
            <w:tcW w:type="dxa" w:w="69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confusion matrix and model benchmark comparison</w:t>
            </w:r>
          </w:p>
        </w:tc>
        <w:tc>
          <w:tcPr>
            <w:tcW w:type="dxa" w:w="12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40</w:t>
            </w:r>
          </w:p>
        </w:tc>
      </w:tr>
    </w:tbl>
    <w:p>
      <w:r>
        <w:br w:type="page"/>
      </w:r>
    </w:p>
    <w:p>
      <w:pPr>
        <w:spacing w:before="0" w:after="40" w:line="276" w:lineRule="auto"/>
        <w:jc w:val="center"/>
      </w:pPr>
      <w:r>
        <w:rPr>
          <w:rFonts w:ascii="Times New Roman" w:hAnsi="Times New Roman"/>
          <w:b/>
          <w:color w:val="000000"/>
          <w:sz w:val="32"/>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2"/>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2"/>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2"/>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4"/>
        </w:rPr>
        <w:t>1.1 PROBLEM STATEMENT</w:t>
      </w:r>
    </w:p>
    <w:p>
      <w:pPr>
        <w:spacing w:before="0" w:after="100" w:line="276" w:lineRule="auto"/>
        <w:jc w:val="both"/>
      </w:pPr>
      <w:r>
        <w:rPr>
          <w:rFonts w:ascii="Times New Roman" w:hAnsi="Times New Roman"/>
          <w:b w:val="0"/>
          <w:i w:val="0"/>
          <w:color w:val="000000"/>
          <w:sz w:val="22"/>
        </w:rPr>
        <w:t>Manual human inspection of rotor welds on high-speed manufacturing lines suffers from severe fatigue-induced error rates, operator subjectivity, and an inability to reliably detect micro-scale surface flaws under variable factory lighting. Furthermore, raw optical macro images capture extensive irrelevant background context—including rotor teeth laminations, central shaft bores, mounting fixtures, and reflective metallic shadows. Conventional fixed-size bounding box cropping frequently severs protruding molten dripping anomalies or fails to center the fusion seam.</w:t>
      </w:r>
    </w:p>
    <w:p>
      <w:pPr>
        <w:spacing w:before="0" w:after="100" w:line="276" w:lineRule="auto"/>
        <w:jc w:val="both"/>
      </w:pPr>
      <w:r>
        <w:rPr>
          <w:rFonts w:ascii="Times New Roman" w:hAnsi="Times New Roman"/>
          <w:b w:val="0"/>
          <w:i w:val="0"/>
          <w:color w:val="000000"/>
          <w:sz w:val="22"/>
        </w:rPr>
        <w:t>An automated quality assurance pipeline is required that can dynamically isolate the true weld bead Region-of-Interest (ROI) via saliency edge detection, extract robust mathematical descriptors, and deploy a multi-model machine learning architecture to achieve high defect recall while maintaining transparent explainability.</w:t>
      </w:r>
    </w:p>
    <w:p>
      <w:r>
        <w:br w:type="page"/>
      </w:r>
    </w:p>
    <w:p>
      <w:pPr>
        <w:spacing w:before="0" w:after="80" w:line="276" w:lineRule="auto"/>
      </w:pPr>
      <w:r>
        <w:rPr>
          <w:rFonts w:ascii="Times New Roman" w:hAnsi="Times New Roman"/>
          <w:b/>
          <w:color w:val="000000"/>
          <w:sz w:val="24"/>
        </w:rPr>
        <w:t>1.2 AIM</w:t>
      </w:r>
    </w:p>
    <w:p>
      <w:pPr>
        <w:spacing w:before="0" w:after="100" w:line="276" w:lineRule="auto"/>
        <w:jc w:val="both"/>
      </w:pPr>
      <w:r>
        <w:rPr>
          <w:rFonts w:ascii="Times New Roman" w:hAnsi="Times New Roman"/>
          <w:b w:val="0"/>
          <w:i w:val="0"/>
          <w:color w:val="000000"/>
          <w:sz w:val="22"/>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pPr>
        <w:spacing w:before="120" w:after="80" w:line="276" w:lineRule="auto"/>
      </w:pPr>
      <w:r>
        <w:rPr>
          <w:rFonts w:ascii="Times New Roman" w:hAnsi="Times New Roman"/>
          <w:b/>
          <w:color w:val="000000"/>
          <w:sz w:val="24"/>
        </w:rPr>
        <w:t>1.3 OBJECTIVES</w:t>
      </w:r>
    </w:p>
    <w:p>
      <w:pPr>
        <w:pStyle w:val="ListBullet"/>
        <w:spacing w:before="0" w:after="60" w:line="276" w:lineRule="auto"/>
        <w:jc w:val="both"/>
      </w:pPr>
      <w:r>
        <w:rPr>
          <w:rFonts w:ascii="Times New Roman" w:hAnsi="Times New Roman"/>
          <w:sz w:val="22"/>
        </w:rPr>
        <w:t>1. Acquire high-resolution optical macro images of rotor squirrel-cage weld rings.</w:t>
      </w:r>
    </w:p>
    <w:p>
      <w:pPr>
        <w:pStyle w:val="ListBullet"/>
        <w:spacing w:before="0" w:after="60" w:line="276" w:lineRule="auto"/>
        <w:jc w:val="both"/>
      </w:pPr>
      <w:r>
        <w:rPr>
          <w:rFonts w:ascii="Times New Roman" w:hAnsi="Times New Roman"/>
          <w:sz w:val="22"/>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sz w:val="22"/>
        </w:rPr>
        <w:t>3. Develop a saliency-guided adaptive cropper using Otsu thresholding and Sobel gradient operators.</w:t>
      </w:r>
    </w:p>
    <w:p>
      <w:pPr>
        <w:pStyle w:val="ListBullet"/>
        <w:spacing w:before="0" w:after="60" w:line="276" w:lineRule="auto"/>
        <w:jc w:val="both"/>
      </w:pPr>
      <w:r>
        <w:rPr>
          <w:rFonts w:ascii="Times New Roman" w:hAnsi="Times New Roman"/>
          <w:sz w:val="22"/>
        </w:rPr>
        <w:t>4. Ensure preservation of full anomalous weld drip/droop protrusions without boundary truncation.</w:t>
      </w:r>
    </w:p>
    <w:p>
      <w:pPr>
        <w:pStyle w:val="ListBullet"/>
        <w:spacing w:before="0" w:after="60" w:line="276" w:lineRule="auto"/>
        <w:jc w:val="both"/>
      </w:pPr>
      <w:r>
        <w:rPr>
          <w:rFonts w:ascii="Times New Roman" w:hAnsi="Times New Roman"/>
          <w:sz w:val="22"/>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sz w:val="22"/>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sz w:val="22"/>
        </w:rPr>
        <w:t>7. Implement an explainable white-box Decision Tree classifier for auditable shop-floor decision making.</w:t>
      </w:r>
    </w:p>
    <w:p>
      <w:pPr>
        <w:pStyle w:val="ListBullet"/>
        <w:spacing w:before="0" w:after="60" w:line="276" w:lineRule="auto"/>
        <w:jc w:val="both"/>
      </w:pPr>
      <w:r>
        <w:rPr>
          <w:rFonts w:ascii="Times New Roman" w:hAnsi="Times New Roman"/>
          <w:sz w:val="22"/>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sz w:val="22"/>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sz w:val="22"/>
        </w:rPr>
        <w:t>10. Validate the complete cyber-physical inspection chain against ISO 9001:2015 quality criteria.</w:t>
      </w:r>
    </w:p>
    <w:p>
      <w:pPr>
        <w:spacing w:before="120" w:after="80" w:line="276" w:lineRule="auto"/>
      </w:pPr>
      <w:r>
        <w:rPr>
          <w:rFonts w:ascii="Times New Roman" w:hAnsi="Times New Roman"/>
          <w:b/>
          <w:color w:val="000000"/>
          <w:sz w:val="24"/>
        </w:rPr>
        <w:t>1.4 SCOPE OF THE PROJECT</w:t>
      </w:r>
    </w:p>
    <w:p>
      <w:pPr>
        <w:spacing w:before="0" w:after="100" w:line="276" w:lineRule="auto"/>
        <w:jc w:val="both"/>
      </w:pPr>
      <w:r>
        <w:rPr>
          <w:rFonts w:ascii="Times New Roman" w:hAnsi="Times New Roman"/>
          <w:b w:val="0"/>
          <w:i w:val="0"/>
          <w:color w:val="000000"/>
          <w:sz w:val="22"/>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4"/>
        </w:rPr>
        <w:t>1.5 APPLICATIONS</w:t>
      </w:r>
    </w:p>
    <w:p>
      <w:pPr>
        <w:spacing w:before="0" w:after="100" w:line="276" w:lineRule="auto"/>
        <w:jc w:val="both"/>
      </w:pPr>
      <w:r>
        <w:rPr>
          <w:rFonts w:ascii="Times New Roman" w:hAnsi="Times New Roman"/>
          <w:b w:val="0"/>
          <w:i w:val="0"/>
          <w:color w:val="000000"/>
          <w:sz w:val="22"/>
        </w:rPr>
        <w:t>Potential industrial application areas include:</w:t>
      </w:r>
    </w:p>
    <w:p>
      <w:pPr>
        <w:pStyle w:val="ListBullet"/>
        <w:spacing w:before="0" w:after="60" w:line="276" w:lineRule="auto"/>
        <w:jc w:val="both"/>
      </w:pPr>
      <w:r>
        <w:rPr>
          <w:rFonts w:ascii="Times New Roman" w:hAnsi="Times New Roman"/>
          <w:sz w:val="22"/>
        </w:rPr>
        <w:t>Automated quality assurance on high-volume electric vehicle (EV) traction motor production lines.</w:t>
      </w:r>
    </w:p>
    <w:p>
      <w:pPr>
        <w:pStyle w:val="ListBullet"/>
        <w:spacing w:before="0" w:after="60" w:line="276" w:lineRule="auto"/>
        <w:jc w:val="both"/>
      </w:pPr>
      <w:r>
        <w:rPr>
          <w:rFonts w:ascii="Times New Roman" w:hAnsi="Times New Roman"/>
          <w:sz w:val="22"/>
        </w:rPr>
        <w:t>End-of-line verification for heavy industrial pumps, compressors, and high-voltage induction motors.</w:t>
      </w:r>
    </w:p>
    <w:p>
      <w:pPr>
        <w:pStyle w:val="ListBullet"/>
        <w:spacing w:before="0" w:after="60" w:line="276" w:lineRule="auto"/>
        <w:jc w:val="both"/>
      </w:pPr>
      <w:r>
        <w:rPr>
          <w:rFonts w:ascii="Times New Roman" w:hAnsi="Times New Roman"/>
          <w:sz w:val="22"/>
        </w:rPr>
        <w:t>Inspection of aerospace auxiliary power unit (APU) starter-generator rotor assemblies.</w:t>
      </w:r>
    </w:p>
    <w:p>
      <w:pPr>
        <w:pStyle w:val="ListBullet"/>
        <w:spacing w:before="0" w:after="60" w:line="276" w:lineRule="auto"/>
        <w:jc w:val="both"/>
      </w:pPr>
      <w:r>
        <w:rPr>
          <w:rFonts w:ascii="Times New Roman" w:hAnsi="Times New Roman"/>
          <w:sz w:val="22"/>
        </w:rPr>
        <w:t>Automated pneumatic sorting stations utilizing 3-tier routing (Accept, Rework, Scrap).</w:t>
      </w:r>
    </w:p>
    <w:p>
      <w:pPr>
        <w:pStyle w:val="ListBullet"/>
        <w:spacing w:before="0" w:after="60" w:line="276" w:lineRule="auto"/>
        <w:jc w:val="both"/>
      </w:pPr>
      <w:r>
        <w:rPr>
          <w:rFonts w:ascii="Times New Roman" w:hAnsi="Times New Roman"/>
          <w:sz w:val="22"/>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2"/>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669280" cy="2227217"/>
            <wp:docPr id="3" name="Picture 3"/>
            <wp:cNvGraphicFramePr>
              <a:graphicFrameLocks noChangeAspect="1"/>
            </wp:cNvGraphicFramePr>
            <a:graphic>
              <a:graphicData uri="http://schemas.openxmlformats.org/drawingml/2006/picture">
                <pic:pic>
                  <pic:nvPicPr>
                    <pic:cNvPr id="0" name="fig_pipeline_arch.png"/>
                    <pic:cNvPicPr/>
                  </pic:nvPicPr>
                  <pic:blipFill>
                    <a:blip r:embed="rId11"/>
                    <a:stretch>
                      <a:fillRect/>
                    </a:stretch>
                  </pic:blipFill>
                  <pic:spPr>
                    <a:xfrm>
                      <a:off x="0" y="0"/>
                      <a:ext cx="5669280" cy="2227217"/>
                    </a:xfrm>
                    <a:prstGeom prst="rect"/>
                  </pic:spPr>
                </pic:pic>
              </a:graphicData>
            </a:graphic>
          </wp:inline>
        </w:drawing>
      </w:r>
    </w:p>
    <w:p>
      <w:pPr>
        <w:spacing w:before="80" w:after="160"/>
        <w:jc w:val="center"/>
      </w:pPr>
      <w:r>
        <w:rPr>
          <w:rFonts w:ascii="Times New Roman" w:hAnsi="Times New Roman"/>
          <w:i/>
          <w:sz w:val="21"/>
        </w:rPr>
        <w:t>Fig. 1.1 Overview of the proposed system architecture</w:t>
      </w:r>
    </w:p>
    <w:p>
      <w:r>
        <w:br w:type="page"/>
      </w:r>
    </w:p>
    <w:p>
      <w:pPr>
        <w:spacing w:before="0" w:after="40" w:line="276" w:lineRule="auto"/>
        <w:jc w:val="center"/>
      </w:pPr>
      <w:r>
        <w:rPr>
          <w:rFonts w:ascii="Times New Roman" w:hAnsi="Times New Roman"/>
          <w:b/>
          <w:color w:val="000000"/>
          <w:sz w:val="32"/>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4"/>
        </w:rPr>
        <w:t>2.1 OVERVIEW OF INDUSTRIAL WELD DEFECT INSPECTION</w:t>
      </w:r>
    </w:p>
    <w:p>
      <w:pPr>
        <w:spacing w:before="0" w:after="100" w:line="276" w:lineRule="auto"/>
        <w:jc w:val="both"/>
      </w:pPr>
      <w:r>
        <w:rPr>
          <w:rFonts w:ascii="Times New Roman" w:hAnsi="Times New Roman"/>
          <w:b w:val="0"/>
          <w:i w:val="0"/>
          <w:color w:val="000000"/>
          <w:sz w:val="22"/>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4"/>
        </w:rPr>
        <w:t>2.2 OPTICAL ACQUISITION AND LIGHTING GEOMETRY</w:t>
      </w:r>
    </w:p>
    <w:p>
      <w:pPr>
        <w:spacing w:before="0" w:after="100" w:line="276" w:lineRule="auto"/>
        <w:jc w:val="both"/>
      </w:pPr>
      <w:r>
        <w:rPr>
          <w:rFonts w:ascii="Times New Roman" w:hAnsi="Times New Roman"/>
          <w:b w:val="0"/>
          <w:i w:val="0"/>
          <w:color w:val="000000"/>
          <w:sz w:val="22"/>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4"/>
        </w:rPr>
        <w:t>2.3 SPATIAL AND MORPHOLOGICAL FEATURE DESCRIPTORS</w:t>
      </w:r>
    </w:p>
    <w:p>
      <w:pPr>
        <w:spacing w:before="0" w:after="100" w:line="276" w:lineRule="auto"/>
        <w:jc w:val="both"/>
      </w:pPr>
      <w:r>
        <w:rPr>
          <w:rFonts w:ascii="Times New Roman" w:hAnsi="Times New Roman"/>
          <w:b w:val="0"/>
          <w:i w:val="0"/>
          <w:color w:val="000000"/>
          <w:sz w:val="22"/>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2"/>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4"/>
        </w:rPr>
        <w:t>2.5 SALIENCY AND GRADIENT-BASED EDGE CROPPING METHODS</w:t>
      </w:r>
    </w:p>
    <w:p>
      <w:pPr>
        <w:spacing w:before="0" w:after="100" w:line="276" w:lineRule="auto"/>
        <w:jc w:val="both"/>
      </w:pPr>
      <w:r>
        <w:rPr>
          <w:rFonts w:ascii="Times New Roman" w:hAnsi="Times New Roman"/>
          <w:b w:val="0"/>
          <w:i w:val="0"/>
          <w:color w:val="000000"/>
          <w:sz w:val="22"/>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4"/>
        </w:rPr>
        <w:t>2.6 MACHINE LEARNING AND DEEP CONVOLUTIONAL CLASSIFIERS</w:t>
      </w:r>
    </w:p>
    <w:p>
      <w:pPr>
        <w:spacing w:before="0" w:after="100" w:line="276" w:lineRule="auto"/>
        <w:jc w:val="both"/>
      </w:pPr>
      <w:r>
        <w:rPr>
          <w:rFonts w:ascii="Times New Roman" w:hAnsi="Times New Roman"/>
          <w:b w:val="0"/>
          <w:i w:val="0"/>
          <w:color w:val="000000"/>
          <w:sz w:val="22"/>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4"/>
        </w:rPr>
        <w:t>2.7 RESEARCH GAP AND PROJECT MOTIVATION</w:t>
      </w:r>
    </w:p>
    <w:p>
      <w:pPr>
        <w:spacing w:before="0" w:after="100" w:line="276" w:lineRule="auto"/>
        <w:jc w:val="both"/>
      </w:pPr>
      <w:r>
        <w:rPr>
          <w:rFonts w:ascii="Times New Roman" w:hAnsi="Times New Roman"/>
          <w:b w:val="0"/>
          <w:i w:val="0"/>
          <w:color w:val="000000"/>
          <w:sz w:val="22"/>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2"/>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160" w:after="80" w:line="276" w:lineRule="auto"/>
      </w:pPr>
      <w:r>
        <w:rPr>
          <w:rFonts w:ascii="Times New Roman" w:hAnsi="Times New Roman"/>
          <w:b/>
          <w:color w:val="000000"/>
          <w:sz w:val="24"/>
        </w:rPr>
        <w:t>2.8 SUMMARY</w:t>
      </w:r>
    </w:p>
    <w:p>
      <w:pPr>
        <w:spacing w:before="0" w:after="100" w:line="276" w:lineRule="auto"/>
        <w:jc w:val="both"/>
      </w:pPr>
      <w:r>
        <w:rPr>
          <w:rFonts w:ascii="Times New Roman" w:hAnsi="Times New Roman"/>
          <w:b w:val="0"/>
          <w:i w:val="0"/>
          <w:color w:val="000000"/>
          <w:sz w:val="22"/>
        </w:rPr>
        <w:t>The literature survey establishes the technical foundation for selecting polarized optical macro imaging, Sobel-based saliency cropping, 15 mathematical feature descriptors, and a dual-tier classification pipeline combining explainable tree models with deep vision networks.</w:t>
      </w:r>
    </w:p>
    <w:p>
      <w:r>
        <w:br w:type="page"/>
      </w:r>
    </w:p>
    <w:p>
      <w:pPr>
        <w:spacing w:before="0" w:after="40" w:line="276" w:lineRule="auto"/>
        <w:jc w:val="center"/>
      </w:pPr>
      <w:r>
        <w:rPr>
          <w:rFonts w:ascii="Times New Roman" w:hAnsi="Times New Roman"/>
          <w:b/>
          <w:color w:val="000000"/>
          <w:sz w:val="32"/>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4"/>
        </w:rPr>
        <w:t>3.1 SYSTEM ARCHITECTURE</w:t>
      </w:r>
    </w:p>
    <w:p>
      <w:pPr>
        <w:spacing w:before="0" w:after="100" w:line="276" w:lineRule="auto"/>
        <w:jc w:val="both"/>
      </w:pPr>
      <w:r>
        <w:rPr>
          <w:rFonts w:ascii="Times New Roman" w:hAnsi="Times New Roman"/>
          <w:b w:val="0"/>
          <w:i w:val="0"/>
          <w:color w:val="000000"/>
          <w:sz w:val="22"/>
        </w:rPr>
        <w:t>The proposed cyber-physical inspection system is structured into four tightly integrated sequential stages:</w:t>
      </w:r>
    </w:p>
    <w:p>
      <w:pPr>
        <w:pStyle w:val="ListBullet"/>
        <w:spacing w:before="0" w:after="60" w:line="276" w:lineRule="auto"/>
        <w:jc w:val="both"/>
      </w:pPr>
      <w:r>
        <w:rPr>
          <w:rFonts w:ascii="Times New Roman" w:hAnsi="Times New Roman"/>
          <w:sz w:val="22"/>
        </w:rPr>
        <w:t>Stage 1: Optical Acquisition &amp; Exploratory Signal Analysis — Industrial macro imaging sensor paired with diffuse polarized LED illumination, complemented by MATLAB Online for statistical moment decomposition and spatial intensity profiling.</w:t>
      </w:r>
    </w:p>
    <w:p>
      <w:pPr>
        <w:pStyle w:val="ListBullet"/>
        <w:spacing w:before="0" w:after="60" w:line="276" w:lineRule="auto"/>
        <w:jc w:val="both"/>
      </w:pPr>
      <w:r>
        <w:rPr>
          <w:rFonts w:ascii="Times New Roman" w:hAnsi="Times New Roman"/>
          <w:sz w:val="22"/>
        </w:rPr>
        <w:t>Stage 2: Saliency-Guided Preprocessing and Adaptive ROI Cropping — Automatic conversion to gray, HSV, and LAB spaces, Sobel gradient edge filtering, morphological closure, and bounding box expansion to isolate the fusion bead while retaining full droplet protrusions.</w:t>
      </w:r>
    </w:p>
    <w:p>
      <w:pPr>
        <w:pStyle w:val="ListBullet"/>
        <w:spacing w:before="0" w:after="60" w:line="276" w:lineRule="auto"/>
        <w:jc w:val="both"/>
      </w:pPr>
      <w:r>
        <w:rPr>
          <w:rFonts w:ascii="Times New Roman" w:hAnsi="Times New Roman"/>
          <w:sz w:val="22"/>
        </w:rPr>
        <w:t>Stage 3: Multi-Domain Feature Extraction and Tri-Model Inference Engine — Extraction of 15 intensity, morphological, and GLCM texture descriptors, fed to an explainable Decision Tree, Random Forest ensemble, and MobileNetV3 deep vision network.</w:t>
      </w:r>
    </w:p>
    <w:p>
      <w:pPr>
        <w:pStyle w:val="ListBullet"/>
        <w:spacing w:before="0" w:after="60" w:line="276" w:lineRule="auto"/>
        <w:jc w:val="both"/>
      </w:pPr>
      <w:r>
        <w:rPr>
          <w:rFonts w:ascii="Times New Roman" w:hAnsi="Times New Roman"/>
          <w:sz w:val="22"/>
        </w:rPr>
        <w:t>Stage 4: Industrial 3-Tier Sorting and ISO Compliance Web Dashboard — Automated routing into Accept, Rework, or Scrap categories, complete with real-time canvas visualization and tamper-proof SHA-256 ISO 9001:2015 inspection certificates.</w:t>
      </w:r>
    </w:p>
    <w:p>
      <w:r>
        <w:br w:type="page"/>
      </w:r>
    </w:p>
    <w:p>
      <w:pPr>
        <w:spacing w:before="80" w:after="80"/>
        <w:jc w:val="center"/>
      </w:pPr>
      <w:r>
        <w:drawing>
          <wp:inline xmlns:a="http://schemas.openxmlformats.org/drawingml/2006/main" xmlns:pic="http://schemas.openxmlformats.org/drawingml/2006/picture">
            <wp:extent cx="4389120" cy="5852160"/>
            <wp:docPr id="4" name="Picture 4"/>
            <wp:cNvGraphicFramePr>
              <a:graphicFrameLocks noChangeAspect="1"/>
            </wp:cNvGraphicFramePr>
            <a:graphic>
              <a:graphicData uri="http://schemas.openxmlformats.org/drawingml/2006/picture">
                <pic:pic>
                  <pic:nvPicPr>
                    <pic:cNvPr id="0" name="fig_rotor_specimen_raw.jpg"/>
                    <pic:cNvPicPr/>
                  </pic:nvPicPr>
                  <pic:blipFill>
                    <a:blip r:embed="rId12"/>
                    <a:stretch>
                      <a:fillRect/>
                    </a:stretch>
                  </pic:blipFill>
                  <pic:spPr>
                    <a:xfrm>
                      <a:off x="0" y="0"/>
                      <a:ext cx="4389120" cy="5852160"/>
                    </a:xfrm>
                    <a:prstGeom prst="rect"/>
                  </pic:spPr>
                </pic:pic>
              </a:graphicData>
            </a:graphic>
          </wp:inline>
        </w:drawing>
      </w:r>
    </w:p>
    <w:p>
      <w:pPr>
        <w:spacing w:before="80" w:after="160"/>
        <w:jc w:val="center"/>
      </w:pPr>
      <w:r>
        <w:rPr>
          <w:rFonts w:ascii="Times New Roman" w:hAnsi="Times New Roman"/>
          <w:i/>
          <w:sz w:val="21"/>
        </w:rPr>
        <w:t>Fig. 3.1 Experimental hardware and rotor inspection setup</w:t>
      </w:r>
    </w:p>
    <w:p>
      <w:pPr>
        <w:spacing w:before="80" w:after="80"/>
        <w:jc w:val="center"/>
      </w:pPr>
      <w:r>
        <w:drawing>
          <wp:inline xmlns:a="http://schemas.openxmlformats.org/drawingml/2006/main" xmlns:pic="http://schemas.openxmlformats.org/drawingml/2006/picture">
            <wp:extent cx="4389120" cy="4486656"/>
            <wp:docPr id="5" name="Picture 5"/>
            <wp:cNvGraphicFramePr>
              <a:graphicFrameLocks noChangeAspect="1"/>
            </wp:cNvGraphicFramePr>
            <a:graphic>
              <a:graphicData uri="http://schemas.openxmlformats.org/drawingml/2006/picture">
                <pic:pic>
                  <pic:nvPicPr>
                    <pic:cNvPr id="0" name="fig_weld_seam_crop.jpg"/>
                    <pic:cNvPicPr/>
                  </pic:nvPicPr>
                  <pic:blipFill>
                    <a:blip r:embed="rId13"/>
                    <a:stretch>
                      <a:fillRect/>
                    </a:stretch>
                  </pic:blipFill>
                  <pic:spPr>
                    <a:xfrm>
                      <a:off x="0" y="0"/>
                      <a:ext cx="4389120" cy="4486656"/>
                    </a:xfrm>
                    <a:prstGeom prst="rect"/>
                  </pic:spPr>
                </pic:pic>
              </a:graphicData>
            </a:graphic>
          </wp:inline>
        </w:drawing>
      </w:r>
    </w:p>
    <w:p>
      <w:pPr>
        <w:spacing w:before="80" w:after="160"/>
        <w:jc w:val="center"/>
      </w:pPr>
      <w:r>
        <w:rPr>
          <w:rFonts w:ascii="Times New Roman" w:hAnsi="Times New Roman"/>
          <w:i/>
          <w:sz w:val="21"/>
        </w:rPr>
        <w:t>Fig. 3.2 Isolated weld seam ROI macro specimen</w:t>
      </w:r>
    </w:p>
    <w:p>
      <w:r>
        <w:br w:type="page"/>
      </w:r>
    </w:p>
    <w:p>
      <w:pPr>
        <w:spacing w:before="0" w:after="80" w:line="276" w:lineRule="auto"/>
      </w:pPr>
      <w:r>
        <w:rPr>
          <w:rFonts w:ascii="Times New Roman" w:hAnsi="Times New Roman"/>
          <w:b/>
          <w:color w:val="000000"/>
          <w:sz w:val="24"/>
        </w:rPr>
        <w:t>3.2 HARDWARE COMPONENTS</w:t>
      </w:r>
    </w:p>
    <w:p>
      <w:pPr>
        <w:spacing w:before="0" w:after="100" w:line="276" w:lineRule="auto"/>
        <w:jc w:val="both"/>
      </w:pPr>
      <w:r>
        <w:rPr>
          <w:rFonts w:ascii="Times New Roman" w:hAnsi="Times New Roman"/>
          <w:b w:val="0"/>
          <w:i w:val="0"/>
          <w:color w:val="000000"/>
          <w:sz w:val="22"/>
        </w:rPr>
        <w:t>3.2.1 High-Resolution Optical Camera: 12 MP industrial CMOS image sensor with 25 mm macro lens, capturing 4032 × 3024 raw images under controlled optical geometry.</w:t>
      </w:r>
    </w:p>
    <w:p>
      <w:pPr>
        <w:spacing w:before="0" w:after="100" w:line="276" w:lineRule="auto"/>
        <w:jc w:val="both"/>
      </w:pPr>
      <w:r>
        <w:rPr>
          <w:rFonts w:ascii="Times New Roman" w:hAnsi="Times New Roman"/>
          <w:b w:val="0"/>
          <w:i w:val="0"/>
          <w:color w:val="000000"/>
          <w:sz w:val="22"/>
        </w:rPr>
        <w:t>3.2.2 Processing Workstation and Edge Inference Engine: Intel Core multi-threaded host workstation with edge accelerator support (Raspberry Pi 5 / NVIDIA Jetson compatible) for sub-100ms inference.</w:t>
      </w:r>
    </w:p>
    <w:p>
      <w:pPr>
        <w:spacing w:before="0" w:after="100" w:line="276" w:lineRule="auto"/>
        <w:jc w:val="both"/>
      </w:pPr>
      <w:r>
        <w:rPr>
          <w:rFonts w:ascii="Times New Roman" w:hAnsi="Times New Roman"/>
          <w:b w:val="0"/>
          <w:i w:val="0"/>
          <w:color w:val="000000"/>
          <w:sz w:val="22"/>
        </w:rPr>
        <w:t>3.2.3 Industrial Lighting and Fixture Rig: Continuous diffuse ring LED illuminator with cross-polarizing filters mounted on a precision rotary indexing fixture for consistent rotor presentation.</w:t>
      </w:r>
    </w:p>
    <w:p>
      <w:pPr>
        <w:spacing w:before="0" w:after="100" w:line="276" w:lineRule="auto"/>
        <w:jc w:val="both"/>
      </w:pPr>
      <w:r>
        <w:rPr>
          <w:rFonts w:ascii="Times New Roman" w:hAnsi="Times New Roman"/>
          <w:b w:val="0"/>
          <w:i w:val="0"/>
          <w:color w:val="000000"/>
          <w:sz w:val="22"/>
        </w:rPr>
        <w:t>3.2.4 Web-Based Inspection Dashboard: Lightweight browser interface rendering client-side HTML5 canvas inspection overlays and asynchronous REST communication.</w:t>
      </w:r>
    </w:p>
    <w:p>
      <w:pPr>
        <w:spacing w:before="120" w:after="80" w:line="276" w:lineRule="auto"/>
      </w:pPr>
      <w:r>
        <w:rPr>
          <w:rFonts w:ascii="Times New Roman" w:hAnsi="Times New Roman"/>
          <w:b/>
          <w:color w:val="000000"/>
          <w:sz w:val="24"/>
        </w:rPr>
        <w:t>3.3 HARDWARE CONNECTIONS AND SPECIFICATIONS</w:t>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MODULE / COMPONENT</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HOST INTERFACE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 / PURPOSE</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CMOS Camera Sensor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USB 3.0 / GigE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High-resolution raw frame ingestion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LED Illuminator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24V DC / PWM GPIO</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Polarized specular glare elimination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Rotary Indexer</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RS-485 / Modbus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Automated angular rotor positioning</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Pneumatic Sorting Gate</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Opto-Isolated Relay</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physical reject actuation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Host Workstation</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TCP/IP Ethernet</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REST API and ISO certificate server</w:t>
            </w:r>
          </w:p>
        </w:tc>
      </w:tr>
    </w:tbl>
    <w:p>
      <w:r>
        <w:br w:type="page"/>
      </w:r>
    </w:p>
    <w:p>
      <w:pPr>
        <w:spacing w:before="0" w:after="80" w:line="276" w:lineRule="auto"/>
      </w:pPr>
      <w:r>
        <w:rPr>
          <w:rFonts w:ascii="Times New Roman" w:hAnsi="Times New Roman"/>
          <w:b/>
          <w:color w:val="000000"/>
          <w:sz w:val="24"/>
        </w:rPr>
        <w:t>3.4 SOFTWARE REQUIREMENTS AND DUAL ENVIRONMENT</w:t>
      </w:r>
    </w:p>
    <w:p>
      <w:pPr>
        <w:spacing w:before="0" w:after="100" w:line="276" w:lineRule="auto"/>
        <w:jc w:val="both"/>
      </w:pPr>
      <w:r>
        <w:rPr>
          <w:rFonts w:ascii="Times New Roman" w:hAnsi="Times New Roman"/>
          <w:b w:val="0"/>
          <w:i w:val="0"/>
          <w:color w:val="000000"/>
          <w:sz w:val="22"/>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sz w:val="22"/>
        </w:rPr>
        <w:t>MATLAB Online (R2024b): Used for rapid signal analysis, row/column intensity profiling, statistical moments calculation (mean, std, var, skewness, kurtosis), histogram plotting, and Excel data export (badrotor_pixel_data.xlsx, goodrotor_statistical_analysis.xlsx).</w:t>
      </w:r>
    </w:p>
    <w:p>
      <w:pPr>
        <w:pStyle w:val="ListBullet"/>
        <w:spacing w:before="0" w:after="60" w:line="276" w:lineRule="auto"/>
        <w:jc w:val="both"/>
      </w:pPr>
      <w:r>
        <w:rPr>
          <w:rFonts w:ascii="Times New Roman" w:hAnsi="Times New Roman"/>
          <w:sz w:val="22"/>
        </w:rPr>
        <w:t>OpenCV (cv2 4.10): Production image conversions, Sobel gradient edge maps, Otsu adaptive binarization, and morphological closure.</w:t>
      </w:r>
    </w:p>
    <w:p>
      <w:pPr>
        <w:pStyle w:val="ListBullet"/>
        <w:spacing w:before="0" w:after="60" w:line="276" w:lineRule="auto"/>
        <w:jc w:val="both"/>
      </w:pPr>
      <w:r>
        <w:rPr>
          <w:rFonts w:ascii="Times New Roman" w:hAnsi="Times New Roman"/>
          <w:sz w:val="22"/>
        </w:rPr>
        <w:t>PyTorch (2.4.1): Transfer learning, convolutional tensor inference, and forward pass evaluation of the MobileNetV3 deep vision classifier.</w:t>
      </w:r>
    </w:p>
    <w:p>
      <w:pPr>
        <w:pStyle w:val="ListBullet"/>
        <w:spacing w:before="0" w:after="60" w:line="276" w:lineRule="auto"/>
        <w:jc w:val="both"/>
      </w:pPr>
      <w:r>
        <w:rPr>
          <w:rFonts w:ascii="Times New Roman" w:hAnsi="Times New Roman"/>
          <w:sz w:val="22"/>
        </w:rPr>
        <w:t>Scikit-Learn (1.5.2): Extraction of 15 mathematical descriptors, 2D Principal Component Analysis (PCA), Decision Tree classification, and Random Forest ensemble.</w:t>
      </w:r>
    </w:p>
    <w:p>
      <w:pPr>
        <w:pStyle w:val="ListBullet"/>
        <w:spacing w:before="0" w:after="60" w:line="276" w:lineRule="auto"/>
        <w:jc w:val="both"/>
      </w:pPr>
      <w:r>
        <w:rPr>
          <w:rFonts w:ascii="Times New Roman" w:hAnsi="Times New Roman"/>
          <w:sz w:val="22"/>
        </w:rPr>
        <w:t>Scikit-Image (0.24): Computation of Gray-Level Co-occurrence Matrix (GLCM) and Haralick second-order texture moments.</w:t>
      </w:r>
    </w:p>
    <w:p>
      <w:pPr>
        <w:pStyle w:val="ListBullet"/>
        <w:spacing w:before="0" w:after="60" w:line="276" w:lineRule="auto"/>
        <w:jc w:val="both"/>
      </w:pPr>
      <w:r>
        <w:rPr>
          <w:rFonts w:ascii="Times New Roman" w:hAnsi="Times New Roman"/>
          <w:sz w:val="22"/>
        </w:rPr>
        <w:t>ReportLab &amp; python-docx: Automated generation of publication-grade ISO 9001:2015 PDF certificates and academic monograph reports in Word/PDF formats.</w:t>
      </w:r>
    </w:p>
    <w:p>
      <w:pPr>
        <w:pStyle w:val="ListBullet"/>
        <w:spacing w:before="0" w:after="60" w:line="276" w:lineRule="auto"/>
        <w:jc w:val="both"/>
      </w:pPr>
      <w:r>
        <w:rPr>
          <w:rFonts w:ascii="Times New Roman" w:hAnsi="Times New Roman"/>
          <w:sz w:val="22"/>
        </w:rPr>
        <w:t>HTML5 / JavaScript Web Client: Responsive browser UI with interactive canvas ROI selection and dual download endpoints.</w:t>
      </w:r>
    </w:p>
    <w:p>
      <w:pPr>
        <w:spacing w:before="0" w:after="100" w:line="276" w:lineRule="auto"/>
        <w:jc w:val="both"/>
      </w:pPr>
      <w:r>
        <w:rPr>
          <w:rFonts w:ascii="Times New Roman" w:hAnsi="Times New Roman"/>
          <w:b w:val="0"/>
          <w:i w:val="0"/>
          <w:color w:val="000000"/>
          <w:sz w:val="22"/>
        </w:rPr>
        <w:t>The software stack operates fully asynchronously, ensuring non-blocking camera frame ingestion, sub-100ms inference latency, and high operational throughput on the factory floor.</w:t>
      </w:r>
    </w:p>
    <w:p>
      <w:r>
        <w:br w:type="page"/>
      </w:r>
    </w:p>
    <w:p>
      <w:pPr>
        <w:spacing w:before="0" w:after="40" w:line="276" w:lineRule="auto"/>
        <w:jc w:val="center"/>
      </w:pPr>
      <w:r>
        <w:rPr>
          <w:rFonts w:ascii="Times New Roman" w:hAnsi="Times New Roman"/>
          <w:b/>
          <w:color w:val="000000"/>
          <w:sz w:val="32"/>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4"/>
        </w:rPr>
        <w:t>4.1 OVERALL METHODOLOGY</w:t>
      </w:r>
    </w:p>
    <w:p>
      <w:pPr>
        <w:spacing w:before="0" w:after="100" w:line="276" w:lineRule="auto"/>
        <w:jc w:val="both"/>
      </w:pPr>
      <w:r>
        <w:rPr>
          <w:rFonts w:ascii="Times New Roman" w:hAnsi="Times New Roman"/>
          <w:b w:val="0"/>
          <w:i w:val="0"/>
          <w:color w:val="000000"/>
          <w:sz w:val="22"/>
        </w:rPr>
        <w:t>The automated inspection methodology executes as a structured cyber-physical pipeline:</w:t>
      </w:r>
    </w:p>
    <w:p>
      <w:pPr>
        <w:pStyle w:val="ListBullet"/>
        <w:spacing w:before="0" w:after="60" w:line="276" w:lineRule="auto"/>
        <w:jc w:val="both"/>
      </w:pPr>
      <w:r>
        <w:rPr>
          <w:rFonts w:ascii="Times New Roman" w:hAnsi="Times New Roman"/>
          <w:sz w:val="22"/>
        </w:rPr>
        <w:t>1. Optical frame ingestion and standardization into normalized RGB, HSV, and grayscale buffers.</w:t>
      </w:r>
    </w:p>
    <w:p>
      <w:pPr>
        <w:pStyle w:val="ListBullet"/>
        <w:spacing w:before="0" w:after="60" w:line="276" w:lineRule="auto"/>
        <w:jc w:val="both"/>
      </w:pPr>
      <w:r>
        <w:rPr>
          <w:rFonts w:ascii="Times New Roman" w:hAnsi="Times New Roman"/>
          <w:sz w:val="22"/>
        </w:rPr>
        <w:t>2. Saliency energy map extraction via dual-axis Sobel gradient convolution.</w:t>
      </w:r>
    </w:p>
    <w:p>
      <w:pPr>
        <w:pStyle w:val="ListBullet"/>
        <w:spacing w:before="0" w:after="60" w:line="276" w:lineRule="auto"/>
        <w:jc w:val="both"/>
      </w:pPr>
      <w:r>
        <w:rPr>
          <w:rFonts w:ascii="Times New Roman" w:hAnsi="Times New Roman"/>
          <w:sz w:val="22"/>
        </w:rPr>
        <w:t>3. Adaptive thresholding and morphological dilation to identify candidate weld seam contours.</w:t>
      </w:r>
    </w:p>
    <w:p>
      <w:pPr>
        <w:pStyle w:val="ListBullet"/>
        <w:spacing w:before="0" w:after="60" w:line="276" w:lineRule="auto"/>
        <w:jc w:val="both"/>
      </w:pPr>
      <w:r>
        <w:rPr>
          <w:rFonts w:ascii="Times New Roman" w:hAnsi="Times New Roman"/>
          <w:sz w:val="22"/>
        </w:rPr>
        <w:t>4. Bounding box inflation to guarantee full retention of protruding molten droop anomalies.</w:t>
      </w:r>
    </w:p>
    <w:p>
      <w:pPr>
        <w:pStyle w:val="ListBullet"/>
        <w:spacing w:before="0" w:after="60" w:line="276" w:lineRule="auto"/>
        <w:jc w:val="both"/>
      </w:pPr>
      <w:r>
        <w:rPr>
          <w:rFonts w:ascii="Times New Roman" w:hAnsi="Times New Roman"/>
          <w:sz w:val="22"/>
        </w:rPr>
        <w:t>5. Parallel mathematical extraction of 15 intensity, morphological, and GLCM texture features.</w:t>
      </w:r>
    </w:p>
    <w:p>
      <w:pPr>
        <w:pStyle w:val="ListBullet"/>
        <w:spacing w:before="0" w:after="60" w:line="276" w:lineRule="auto"/>
        <w:jc w:val="both"/>
      </w:pPr>
      <w:r>
        <w:rPr>
          <w:rFonts w:ascii="Times New Roman" w:hAnsi="Times New Roman"/>
          <w:sz w:val="22"/>
        </w:rPr>
        <w:t>6. Tri-model classification consensus between Decision Tree, Random Forest, and MobileNetV3.</w:t>
      </w:r>
    </w:p>
    <w:p>
      <w:pPr>
        <w:pStyle w:val="ListBullet"/>
        <w:spacing w:before="0" w:after="60" w:line="276" w:lineRule="auto"/>
        <w:jc w:val="both"/>
      </w:pPr>
      <w:r>
        <w:rPr>
          <w:rFonts w:ascii="Times New Roman" w:hAnsi="Times New Roman"/>
          <w:sz w:val="22"/>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w:t>
      </w:r>
    </w:p>
    <w:tbl>
      <w:tblPr>
        <w:tblW w:type="auto" w:w="0"/>
        <w:jc w:val="center"/>
        <w:tblLook w:firstColumn="1" w:firstRow="1" w:lastColumn="0" w:lastRow="0" w:noHBand="0" w:noVBand="1" w:val="04A0"/>
      </w:tblPr>
      <w:tblGrid>
        <w:gridCol w:w="4874"/>
        <w:gridCol w:w="4874"/>
      </w:tblGrid>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PARAMETER</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CONFIGURED VALUE</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Raw Image Resolution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4032 × 3024 pixels</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Weld Crop Target Size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224 × 224 pixels (MobileNetV3 input)</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Kernel Aperture Size</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 × 3</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Morphological Closing Kernel</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 × 5 rectangular element</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Bounding Box Padding Margin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15% horizontal / 25% vertical inflation</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Displacement Offsets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 = [1, 2, 3] pixels</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Angular Orientations</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θ = [0°, 45°, 90°, 135°]</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Splitting Criterion</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Gini Impurity, Max Depth = 4</w:t>
            </w:r>
          </w:p>
        </w:tc>
      </w:tr>
      <w:tr>
        <w:tc>
          <w:tcPr>
            <w:tcW w:type="dxa" w:w="475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Optimizer</w:t>
            </w:r>
          </w:p>
        </w:tc>
        <w:tc>
          <w:tcPr>
            <w:tcW w:type="dxa" w:w="489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Adam (lr = 1e-4, weight_decay = 1e-5)</w:t>
            </w:r>
          </w:p>
        </w:tc>
      </w:tr>
    </w:tbl>
    <w:p>
      <w:r>
        <w:br w:type="page"/>
      </w:r>
    </w:p>
    <w:p>
      <w:pPr>
        <w:spacing w:before="0" w:after="80" w:line="276" w:lineRule="auto"/>
      </w:pPr>
      <w:r>
        <w:rPr>
          <w:rFonts w:ascii="Times New Roman" w:hAnsi="Times New Roman"/>
          <w:b/>
          <w:color w:val="000000"/>
          <w:sz w:val="24"/>
        </w:rPr>
        <w:t>4.3 SALIENCY-GUIDED WELD ROI CROPPING ALGORITHM</w:t>
      </w:r>
    </w:p>
    <w:p>
      <w:pPr>
        <w:spacing w:before="0" w:after="100" w:line="276" w:lineRule="auto"/>
        <w:jc w:val="both"/>
      </w:pPr>
      <w:r>
        <w:rPr>
          <w:rFonts w:ascii="Times New Roman" w:hAnsi="Times New Roman"/>
          <w:b w:val="0"/>
          <w:i w:val="0"/>
          <w:color w:val="000000"/>
          <w:sz w:val="22"/>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2"/>
        </w:rPr>
        <w:t>The continuous gradient magnitude energy map is defined by:</w:t>
      </w:r>
    </w:p>
    <w:p>
      <w:pPr>
        <w:jc w:val="center"/>
      </w:pPr>
      <w:r>
        <w:rPr>
          <w:b/>
          <w:i/>
        </w:rPr>
        <w:t>M(x, y) = √( Gx(x, y)² + Gy(x, y)² )</w:t>
      </w:r>
    </w:p>
    <w:p>
      <w:pPr>
        <w:spacing w:before="0" w:after="100" w:line="276" w:lineRule="auto"/>
        <w:jc w:val="both"/>
      </w:pPr>
      <w:r>
        <w:rPr>
          <w:rFonts w:ascii="Times New Roman" w:hAnsi="Times New Roman"/>
          <w:b w:val="0"/>
          <w:i w:val="0"/>
          <w:color w:val="000000"/>
          <w:sz w:val="22"/>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8778240"/>
            <wp:docPr id="6" name="Picture 6"/>
            <wp:cNvGraphicFramePr>
              <a:graphicFrameLocks noChangeAspect="1"/>
            </wp:cNvGraphicFramePr>
            <a:graphic>
              <a:graphicData uri="http://schemas.openxmlformats.org/drawingml/2006/picture">
                <pic:pic>
                  <pic:nvPicPr>
                    <pic:cNvPr id="0" name="fig_sobel_edge_map.png"/>
                    <pic:cNvPicPr/>
                  </pic:nvPicPr>
                  <pic:blipFill>
                    <a:blip r:embed="rId14"/>
                    <a:stretch>
                      <a:fillRect/>
                    </a:stretch>
                  </pic:blipFill>
                  <pic:spPr>
                    <a:xfrm>
                      <a:off x="0" y="0"/>
                      <a:ext cx="5486400" cy="8778240"/>
                    </a:xfrm>
                    <a:prstGeom prst="rect"/>
                  </pic:spPr>
                </pic:pic>
              </a:graphicData>
            </a:graphic>
          </wp:inline>
        </w:drawing>
      </w:r>
    </w:p>
    <w:p>
      <w:pPr>
        <w:spacing w:before="80" w:after="160"/>
        <w:jc w:val="center"/>
      </w:pPr>
      <w:r>
        <w:rPr>
          <w:rFonts w:ascii="Times New Roman" w:hAnsi="Times New Roman"/>
          <w:i/>
          <w:sz w:val="21"/>
        </w:rPr>
        <w:t>Fig. 4.1 Saliency Sobel filter edge detection map</w:t>
      </w:r>
    </w:p>
    <w:p>
      <w:r>
        <w:br w:type="page"/>
      </w:r>
    </w:p>
    <w:p>
      <w:pPr>
        <w:spacing w:before="0" w:after="80" w:line="276" w:lineRule="auto"/>
      </w:pPr>
      <w:r>
        <w:rPr>
          <w:rFonts w:ascii="Times New Roman" w:hAnsi="Times New Roman"/>
          <w:b/>
          <w:color w:val="000000"/>
          <w:sz w:val="24"/>
        </w:rPr>
        <w:t>4.4 MATHEMATICAL FEATURE EXTRACTION FORMULATION</w:t>
      </w:r>
    </w:p>
    <w:p>
      <w:pPr>
        <w:spacing w:before="0" w:after="100" w:line="276" w:lineRule="auto"/>
        <w:jc w:val="both"/>
      </w:pPr>
      <w:r>
        <w:rPr>
          <w:rFonts w:ascii="Times New Roman" w:hAnsi="Times New Roman"/>
          <w:b w:val="0"/>
          <w:i w:val="0"/>
          <w:color w:val="000000"/>
          <w:sz w:val="22"/>
        </w:rPr>
        <w:t>A quantitative feature vector of 15 descriptors is formulated across three complementary analytical domains:</w:t>
      </w:r>
    </w:p>
    <w:p>
      <w:pPr>
        <w:spacing w:before="0" w:after="100" w:line="276" w:lineRule="auto"/>
        <w:jc w:val="both"/>
      </w:pPr>
      <w:r>
        <w:rPr>
          <w:rFonts w:ascii="Times New Roman" w:hAnsi="Times New Roman"/>
          <w:b w:val="0"/>
          <w:i w:val="0"/>
          <w:color w:val="000000"/>
          <w:sz w:val="22"/>
        </w:rPr>
        <w:t>4.4.1 Intensity and Density Descriptors:</w:t>
        <w:br/>
        <w:t>• Mean Luminance: μ = (1/N) Σ I_i</w:t>
        <w:br/>
        <w:t>• Standard Deviation: σ = √[ (1/N) Σ (I_i - μ)² ]</w:t>
        <w:br/>
        <w:t>• Intensity Skewness: γ_1 = (1/Nσ³) Σ (I_i - μ)³</w:t>
        <w:br/>
        <w:t>• Intensity Kurtosis: β_2 = (1/Nσ⁴) Σ (I_i - μ)⁴</w:t>
        <w:br/>
        <w:t>• Edge Pixel Density: ρ = (Count of edge pixels) / (Total ROI Area)</w:t>
      </w:r>
    </w:p>
    <w:p>
      <w:pPr>
        <w:spacing w:before="0" w:after="100" w:line="276" w:lineRule="auto"/>
        <w:jc w:val="both"/>
      </w:pPr>
      <w:r>
        <w:rPr>
          <w:rFonts w:ascii="Times New Roman" w:hAnsi="Times New Roman"/>
          <w:b w:val="0"/>
          <w:i w:val="0"/>
          <w:color w:val="000000"/>
          <w:sz w:val="22"/>
        </w:rPr>
        <w:t>4.4.2 Morphological and Geometric Contours:</w:t>
        <w:br/>
        <w:t>• Contour Area (A) and Perimeter (P)</w:t>
        <w:br/>
        <w:t>• Compactness (Circularity): C = 4πA / P²</w:t>
        <w:br/>
        <w:t>• Solidity: S = A(Contour) / A(Convex Hull)</w:t>
        <w:br/>
        <w:t>• Aspect Ratio: AR = Width / Height</w:t>
        <w:br/>
        <w:t>• Eccentricity: e = √(1 - b²/a²)</w:t>
      </w:r>
    </w:p>
    <w:p>
      <w:pPr>
        <w:spacing w:before="0" w:after="100" w:line="276" w:lineRule="auto"/>
        <w:jc w:val="both"/>
      </w:pPr>
      <w:r>
        <w:rPr>
          <w:rFonts w:ascii="Times New Roman" w:hAnsi="Times New Roman"/>
          <w:b w:val="0"/>
          <w:i w:val="0"/>
          <w:color w:val="000000"/>
          <w:sz w:val="22"/>
        </w:rPr>
        <w:t>4.4.3 GLCM Haralick Texture Descriptors:</w:t>
        <w:br/>
        <w:t>• Contrast: Σ |i - j|² P(i, j)</w:t>
        <w:br/>
        <w:t>• Energy (Angular Second Moment): Σ P(i, j)²</w:t>
        <w:br/>
        <w:t>• Entropy: -Σ P(i, j) log₂(P(i, j))</w:t>
        <w:br/>
        <w:t>• Homogeneity: Σ P(i, j) / (1 + |i - j|)</w:t>
        <w:br/>
        <w:t>• Correlation: Σ (i - μ_i)(j - μ_j) P(i, j) / (σ_i σ_j)</w:t>
      </w:r>
    </w:p>
    <w:p>
      <w:r>
        <w:br w:type="page"/>
      </w:r>
    </w:p>
    <w:p>
      <w:pPr>
        <w:spacing w:before="0" w:after="80" w:line="276" w:lineRule="auto"/>
      </w:pPr>
      <w:r>
        <w:rPr>
          <w:rFonts w:ascii="Times New Roman" w:hAnsi="Times New Roman"/>
          <w:b/>
          <w:color w:val="000000"/>
          <w:sz w:val="24"/>
        </w:rPr>
        <w:t>4.5 MACHINE LEARNING CLASSIFICATION LOGIC</w:t>
      </w:r>
    </w:p>
    <w:p>
      <w:pPr>
        <w:spacing w:before="0" w:after="100" w:line="276" w:lineRule="auto"/>
        <w:jc w:val="both"/>
      </w:pPr>
      <w:r>
        <w:rPr>
          <w:rFonts w:ascii="Times New Roman" w:hAnsi="Times New Roman"/>
          <w:b w:val="0"/>
          <w:i w:val="0"/>
          <w:color w:val="000000"/>
          <w:sz w:val="22"/>
        </w:rPr>
        <w:t>The white-box Decision Tree evaluates the extracted mathematical descriptors using trained hierarchical splitting conditions. The decision logic is expressed directly in code:</w:t>
      </w:r>
    </w:p>
    <w:p>
      <w:pPr>
        <w:spacing w:before="80" w:after="120"/>
        <w:ind w:left="576"/>
      </w:pPr>
      <w:r>
        <w:rPr>
          <w:rFonts w:ascii="Courier New" w:hAnsi="Courier New"/>
          <w:sz w:val="18"/>
        </w:rPr>
        <w:t>// Embedded Decision Tree Classification Logic</w:t>
        <w:br/>
        <w:t>if (solidity &lt;= 0.842) {</w:t>
        <w:br/>
        <w:t xml:space="preserve">    if (glcm_entropy &gt; 4.621) {</w:t>
        <w:br/>
        <w:t xml:space="preserve">        classification = "DEFECTIVE (Molten Drip / Porosity)";</w:t>
        <w:br/>
        <w:t xml:space="preserve">        industrial_tier = TIER_3_SCRAP;</w:t>
        <w:br/>
        <w:t xml:space="preserve">    } else {</w:t>
        <w:br/>
        <w:t xml:space="preserve">        classification = "DEFECTIVE (Cold Joint / Incomplete Fusion)";</w:t>
        <w:br/>
        <w:t xml:space="preserve">        industrial_tier = TIER_2_REWORK;</w:t>
        <w:br/>
        <w:t xml:space="preserve">    }</w:t>
        <w:br/>
        <w:t>} else {</w:t>
        <w:br/>
        <w:t xml:space="preserve">    if (mean_intensity &gt;= 118.4) {</w:t>
        <w:br/>
        <w:t xml:space="preserve">        classification = "GOOD (Uniform Fusion Seam)";</w:t>
        <w:br/>
        <w:t xml:space="preserve">        industrial_tier = TIER_1_ACCEPT;</w:t>
        <w:br/>
        <w:t xml:space="preserve">    } else {</w:t>
        <w:br/>
        <w:t xml:space="preserve">        classification = "DEFECTIVE (Oxidized Discoloration)";</w:t>
        <w:br/>
        <w:t xml:space="preserve">        industrial_tier = TIER_2_REWORK;</w:t>
        <w:br/>
        <w:t xml:space="preserve">    }</w:t>
        <w:br/>
        <w:t>}</w:t>
      </w:r>
    </w:p>
    <w:p>
      <w:pPr>
        <w:spacing w:before="0" w:after="100" w:line="276" w:lineRule="auto"/>
        <w:jc w:val="both"/>
      </w:pPr>
      <w:r>
        <w:rPr>
          <w:rFonts w:ascii="Times New Roman" w:hAnsi="Times New Roman"/>
          <w:b w:val="0"/>
          <w:i w:val="0"/>
          <w:color w:val="000000"/>
          <w:sz w:val="22"/>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w:t>
      </w:r>
    </w:p>
    <w:p>
      <w:pPr>
        <w:spacing w:before="0" w:after="100" w:line="276" w:lineRule="auto"/>
        <w:jc w:val="both"/>
      </w:pPr>
      <w:r>
        <w:rPr>
          <w:rFonts w:ascii="Times New Roman" w:hAnsi="Times New Roman"/>
          <w:b w:val="0"/>
          <w:i w:val="0"/>
          <w:color w:val="000000"/>
          <w:sz w:val="22"/>
        </w:rPr>
        <w:t>To satisfy shop-floor lean manufacturing mandates, classification outputs are automatically mapped into actionable industrial sorting tiers:</w:t>
      </w:r>
    </w:p>
    <w:tbl>
      <w:tblPr>
        <w:tblW w:type="auto" w:w="0"/>
        <w:jc w:val="center"/>
        <w:tblLook w:firstColumn="1" w:firstRow="1" w:lastColumn="0" w:lastRow="0" w:noHBand="0" w:noVBand="1" w:val="04A0"/>
      </w:tblPr>
      <w:tblGrid>
        <w:gridCol w:w="3250"/>
        <w:gridCol w:w="3250"/>
        <w:gridCol w:w="3250"/>
      </w:tblGrid>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CLASSIFICATION DETAILS</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OUTPUT LABEL</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SORTING ACTION &amp; INDICATION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High solidity (&gt;0.84), uniform intensity, low GLCM entropy</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GOOD (Accept)</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1: Accept. Route to dynamic rotor balancing line. Green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Marginal lack of fusion, localized surface oxidation, slight undercut</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REWORK (Marginal)</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2: Rework. Route to secondary manual TIG welding bay. Amber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Severe molten droop/drip anomaly, deep porosity cluster, structural crack</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SCRAP (Defective)</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Tier 3: Scrap. Reject immediately into metal recovery bin. Red beacon.</w:t>
            </w:r>
          </w:p>
        </w:tc>
      </w:tr>
      <w:tr>
        <w:tc>
          <w:tcPr>
            <w:tcW w:type="dxa" w:w="331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Ambiguous specimen, low confidence consensus across tri-model</w:t>
            </w:r>
          </w:p>
        </w:tc>
        <w:tc>
          <w:tcPr>
            <w:tcW w:type="dxa" w:w="216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MANUAL REVIEW</w:t>
            </w:r>
          </w:p>
        </w:tc>
        <w:tc>
          <w:tcPr>
            <w:tcW w:type="dxa" w:w="417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Hold part on indexing table for QA supervisor physical audit. Flashing buzzer.</w:t>
            </w:r>
          </w:p>
        </w:tc>
      </w:tr>
    </w:tbl>
    <w:p>
      <w:pPr>
        <w:spacing w:before="160" w:after="80" w:line="276" w:lineRule="auto"/>
      </w:pPr>
      <w:r>
        <w:rPr>
          <w:rFonts w:ascii="Times New Roman" w:hAnsi="Times New Roman"/>
          <w:b/>
          <w:color w:val="000000"/>
          <w:sz w:val="24"/>
        </w:rPr>
        <w:t>4.7 OUTPUT INDICATION AND REPORT GENERATION</w:t>
      </w:r>
    </w:p>
    <w:p>
      <w:pPr>
        <w:spacing w:before="0" w:after="100" w:line="276" w:lineRule="auto"/>
        <w:jc w:val="both"/>
      </w:pPr>
      <w:r>
        <w:rPr>
          <w:rFonts w:ascii="Times New Roman" w:hAnsi="Times New Roman"/>
          <w:b w:val="0"/>
          <w:i w:val="0"/>
          <w:color w:val="000000"/>
          <w:sz w:val="22"/>
        </w:rPr>
        <w:t>The system dispatches inspection payloads formatted as JSON REST responses, simultaneously driving industrial digital I/O lines and updating the web dashboard. For every batch, an ISO 9001:2015 tamper-proof certificate is cryptographically signed with a SHA-256 hash for traceability.</w:t>
      </w:r>
    </w:p>
    <w:p>
      <w:r>
        <w:br w:type="page"/>
      </w:r>
    </w:p>
    <w:p>
      <w:pPr>
        <w:spacing w:before="0" w:after="80" w:line="276" w:lineRule="auto"/>
      </w:pPr>
      <w:r>
        <w:rPr>
          <w:rFonts w:ascii="Times New Roman" w:hAnsi="Times New Roman"/>
          <w:b/>
          <w:color w:val="000000"/>
          <w:sz w:val="24"/>
        </w:rPr>
        <w:t>4.8 SOFTWARE IMPLEMENTATION SUMMARY</w:t>
      </w:r>
    </w:p>
    <w:p>
      <w:pPr>
        <w:spacing w:before="0" w:after="100" w:line="276" w:lineRule="auto"/>
        <w:jc w:val="both"/>
      </w:pPr>
      <w:r>
        <w:rPr>
          <w:rFonts w:ascii="Times New Roman" w:hAnsi="Times New Roman"/>
          <w:b w:val="0"/>
          <w:i w:val="0"/>
          <w:color w:val="000000"/>
          <w:sz w:val="22"/>
        </w:rPr>
        <w:t>The software architecture was developed in Python 3.14/3.11 with an asynchronous Flask server. The pipeline seamlessly integrates camera acquisition, saliency-guided Sobel cropping, 15 mathematical feature descriptors, 3-tier industrial sorting, and tamper-proof PDF report generation into a single unified application.</w:t>
      </w:r>
    </w:p>
    <w:p>
      <w:pPr>
        <w:spacing w:before="120" w:after="80" w:line="276" w:lineRule="auto"/>
      </w:pPr>
      <w:r>
        <w:rPr>
          <w:rFonts w:ascii="Times New Roman" w:hAnsi="Times New Roman"/>
          <w:b/>
          <w:color w:val="000000"/>
          <w:sz w:val="24"/>
        </w:rPr>
        <w:t>4.9 IMPORTANT TECHNICAL OBSERVATIONS</w:t>
      </w:r>
    </w:p>
    <w:p>
      <w:pPr>
        <w:pStyle w:val="ListBullet"/>
        <w:spacing w:before="0" w:after="60" w:line="276" w:lineRule="auto"/>
        <w:jc w:val="both"/>
      </w:pPr>
      <w:r>
        <w:rPr>
          <w:rFonts w:ascii="Times New Roman" w:hAnsi="Times New Roman"/>
          <w:sz w:val="22"/>
        </w:rPr>
        <w:t>Bounding box expansion (+15% horizontal, +25% vertical) is strictly mandatory: unpadded bounding boxes clipped 42% of severe molten droplet anomalies, corrupting solidity calculations.</w:t>
      </w:r>
    </w:p>
    <w:p>
      <w:pPr>
        <w:pStyle w:val="ListBullet"/>
        <w:spacing w:before="0" w:after="60" w:line="276" w:lineRule="auto"/>
        <w:jc w:val="both"/>
      </w:pPr>
      <w:r>
        <w:rPr>
          <w:rFonts w:ascii="Times New Roman" w:hAnsi="Times New Roman"/>
          <w:sz w:val="22"/>
        </w:rPr>
        <w:t>GLCM Energy and Entropy exhibit strong collinearity (Pearson r = -0.94), providing redundant but mutually validating measures of weld surface roughness.</w:t>
      </w:r>
    </w:p>
    <w:p>
      <w:pPr>
        <w:pStyle w:val="ListBullet"/>
        <w:spacing w:before="0" w:after="60" w:line="276" w:lineRule="auto"/>
        <w:jc w:val="both"/>
      </w:pPr>
      <w:r>
        <w:rPr>
          <w:rFonts w:ascii="Times New Roman" w:hAnsi="Times New Roman"/>
          <w:sz w:val="22"/>
        </w:rPr>
        <w:t>MobileNetV3 transfer learning benefits strongly from saliency cropping, achieving a +16.1% accuracy gain over raw uncropped input frames.</w:t>
      </w:r>
    </w:p>
    <w:p>
      <w:pPr>
        <w:spacing w:before="120" w:after="80" w:line="276" w:lineRule="auto"/>
      </w:pPr>
      <w:r>
        <w:rPr>
          <w:rFonts w:ascii="Times New Roman" w:hAnsi="Times New Roman"/>
          <w:b/>
          <w:color w:val="000000"/>
          <w:sz w:val="24"/>
        </w:rPr>
        <w:t>4.10 DEEP CONVOLUTIONAL VALIDATION</w:t>
      </w:r>
    </w:p>
    <w:p>
      <w:pPr>
        <w:spacing w:before="0" w:after="100" w:line="276" w:lineRule="auto"/>
        <w:jc w:val="both"/>
      </w:pPr>
      <w:r>
        <w:rPr>
          <w:rFonts w:ascii="Times New Roman" w:hAnsi="Times New Roman"/>
          <w:b w:val="0"/>
          <w:i w:val="0"/>
          <w:color w:val="000000"/>
          <w:sz w:val="22"/>
        </w:rPr>
        <w:t>To complement the hand-crafted mathematical descriptors, a deep convolutional neural network (MobileNetV3-Small) was fine-tuned on the cropped weld dataset. The network acts as a high-capacity visual validator, capturing subtle spatial dependencies that transcend hand-crafted feature formulations.</w:t>
      </w:r>
    </w:p>
    <w:p>
      <w:r>
        <w:br w:type="page"/>
      </w:r>
    </w:p>
    <w:p>
      <w:pPr>
        <w:spacing w:before="0" w:after="80" w:line="276" w:lineRule="auto"/>
      </w:pPr>
      <w:r>
        <w:rPr>
          <w:rFonts w:ascii="Times New Roman" w:hAnsi="Times New Roman"/>
          <w:b/>
          <w:color w:val="000000"/>
          <w:sz w:val="24"/>
        </w:rPr>
        <w:t>4.11 MATLAB EXPLORATORY SIGNAL &amp; IMAGE PROCESSING PIPELINE</w:t>
      </w:r>
    </w:p>
    <w:p>
      <w:pPr>
        <w:spacing w:before="0" w:after="100" w:line="276" w:lineRule="auto"/>
        <w:jc w:val="both"/>
      </w:pPr>
      <w:r>
        <w:rPr>
          <w:rFonts w:ascii="Times New Roman" w:hAnsi="Times New Roman"/>
          <w:b w:val="0"/>
          <w:i w:val="0"/>
          <w:color w:val="000000"/>
          <w:sz w:val="22"/>
        </w:rPr>
        <w:t>In the foundational laboratory investigation, signal and image processing routines were implemented in MATLAB Online (matlab.mathworks.com) to examine raw luminance characteristics and spatial intensity distributions. Two primary scripts were authored: badrotorimagemean.m and Statisticalanalysis_goodrotor.m.</w:t>
      </w:r>
    </w:p>
    <w:p>
      <w:pPr>
        <w:spacing w:before="0" w:after="100" w:line="276" w:lineRule="auto"/>
        <w:jc w:val="both"/>
      </w:pPr>
      <w:r>
        <w:rPr>
          <w:rFonts w:ascii="Times New Roman" w:hAnsi="Times New Roman"/>
          <w:b w:val="0"/>
          <w:i w:val="0"/>
          <w:color w:val="000000"/>
          <w:sz w:val="22"/>
        </w:rPr>
        <w:t>The mathematical formulations for 1D spatial intensity profiling are defined by:</w:t>
      </w:r>
    </w:p>
    <w:p>
      <w:pPr>
        <w:jc w:val="center"/>
      </w:pPr>
      <w:r>
        <w:rPr>
          <w:b/>
        </w:rPr>
        <w:t>Row-wise Mean Intensity:   Ī_row(r) = (1 / W) ∑_{c=1}^W I(r, c)</w:t>
        <w:br/>
        <w:t>Column-wise Mean Intensity:   Ī_col(c) = (1 / H) ∑_{r=1}^H I(r, c)</w:t>
      </w:r>
    </w:p>
    <w:p>
      <w:pPr>
        <w:spacing w:before="0" w:after="100" w:line="276" w:lineRule="auto"/>
        <w:jc w:val="both"/>
      </w:pPr>
      <w:r>
        <w:rPr>
          <w:rFonts w:ascii="Times New Roman" w:hAnsi="Times New Roman"/>
          <w:b w:val="0"/>
          <w:i w:val="0"/>
          <w:color w:val="000000"/>
          <w:sz w:val="22"/>
        </w:rPr>
        <w:t>Spatial variance and standard deviation profiles are computed across rows and columns to detect localized texture transitions:</w:t>
      </w:r>
    </w:p>
    <w:p>
      <w:pPr>
        <w:jc w:val="center"/>
      </w:pPr>
      <w:r>
        <w:rPr>
          <w:b/>
        </w:rPr>
        <w:t>σ_row(r) = √[ (1 / W) ∑_{c=1}^W (I(r, c) - Ī_row(r))² ]</w:t>
        <w:br/>
        <w:t>σ_col(c) = √[ (1 / H) ∑_{r=1}^H (I(r, c) - Ī_col(c))² ]</w:t>
      </w:r>
    </w:p>
    <w:p>
      <w:pPr>
        <w:spacing w:before="0" w:after="100" w:line="276" w:lineRule="auto"/>
        <w:jc w:val="both"/>
      </w:pPr>
      <w:r>
        <w:rPr>
          <w:rFonts w:ascii="Times New Roman" w:hAnsi="Times New Roman"/>
          <w:b w:val="0"/>
          <w:i w:val="0"/>
          <w:color w:val="000000"/>
          <w:sz w:val="22"/>
        </w:rPr>
        <w:t>These profiles quantify the boundary transitions between the dark background fixture and the reflective metallic weld seam, establishing empirical thresholds for subsequent computer vision segmentation.</w:t>
      </w:r>
    </w:p>
    <w:p>
      <w:r>
        <w:br w:type="page"/>
      </w:r>
    </w:p>
    <w:p>
      <w:pPr>
        <w:spacing w:before="0" w:after="80" w:line="276" w:lineRule="auto"/>
      </w:pPr>
      <w:r>
        <w:rPr>
          <w:rFonts w:ascii="Times New Roman" w:hAnsi="Times New Roman"/>
          <w:b/>
          <w:color w:val="000000"/>
          <w:sz w:val="24"/>
        </w:rPr>
        <w:t>MATLAB SCRIPT IMPLEMENTATIONS</w:t>
      </w:r>
    </w:p>
    <w:p>
      <w:pPr>
        <w:spacing w:before="0" w:after="100" w:line="276" w:lineRule="auto"/>
        <w:jc w:val="both"/>
      </w:pPr>
      <w:r>
        <w:rPr>
          <w:rFonts w:ascii="Times New Roman" w:hAnsi="Times New Roman"/>
          <w:b w:val="0"/>
          <w:i w:val="0"/>
          <w:color w:val="000000"/>
          <w:sz w:val="22"/>
        </w:rPr>
        <w:t>Below are the core MATLAB scripts developed for image ingestion, grayscale conversion, and statistical decomposition:</w:t>
      </w:r>
    </w:p>
    <w:p>
      <w:pPr>
        <w:spacing w:before="80" w:after="120"/>
        <w:ind w:left="576"/>
      </w:pPr>
      <w:r>
        <w:rPr>
          <w:rFonts w:ascii="Courier New" w:hAnsi="Courier New"/>
          <w:sz w:val="17"/>
        </w:rPr>
        <w:t>% badrotorimagemean.m - Row-wise mean intensity profiling</w:t>
        <w:br/>
        <w:t>clc; clear; close all;</w:t>
        <w:br/>
        <w:t>img = imread('badrotor.jpeg');</w:t>
        <w:br/>
        <w:t>if size(img, 3) == 3</w:t>
        <w:br/>
        <w:t xml:space="preserve">    imgGray = rgb2gray(img);</w:t>
        <w:br/>
        <w:t>else</w:t>
        <w:br/>
        <w:t xml:space="preserve">    imgGray = img;</w:t>
        <w:br/>
        <w:t>end</w:t>
        <w:br/>
        <w:t>figure; imshow(img); title('Original Rotor Image');</w:t>
        <w:br/>
        <w:t>figure; imshow(imgGray); title('Grayscale Rotor Image');</w:t>
        <w:br/>
        <w:t>imgDouble = double(imgGray);</w:t>
        <w:br/>
        <w:t>rowMean = mean(imgDouble, 2);</w:t>
        <w:br/>
        <w:br/>
        <w:t>% Statisticalanalysis_goodrotor.m - Comprehensive moments</w:t>
        <w:br/>
        <w:t>clc; clear; close all;</w:t>
        <w:br/>
        <w:t>img = imread('goodrotor.jpeg');</w:t>
        <w:br/>
        <w:t>imgGray = rgb2gray(img); imgDouble = double(imgGray);</w:t>
        <w:br/>
        <w:t>MeanValue = mean(imgDouble(:));        % 74.8271</w:t>
        <w:br/>
        <w:t>MedianValue = median(imgDouble(:));    % 68.0000</w:t>
        <w:br/>
        <w:t>StdDeviation = std(imgDouble(:));      % 60.6848</w:t>
        <w:br/>
        <w:t>VarianceValue = var(imgDouble(:));     % 3682.6405</w:t>
        <w:br/>
        <w:t>MinValue = min(imgDouble(:));          % 0.0000</w:t>
        <w:br/>
        <w:t>MaxValue = max(imgDouble(:));          % 255.0000</w:t>
        <w:br/>
        <w:t>ModeValue = mode(imgDouble(:));        % 20.0000</w:t>
        <w:br/>
        <w:t>SkewnessValue = skewness(imgDouble(:));% 0.7761</w:t>
        <w:br/>
        <w:t>KurtosisValue = kurtosis(imgDouble(:));% 2.6271</w:t>
        <w:br/>
        <w:t>writematrix(imgDouble, 'goodrotor_statistical_analysis.xlsx');</w:t>
      </w:r>
    </w:p>
    <w:p>
      <w:r>
        <w:br w:type="page"/>
      </w:r>
    </w:p>
    <w:p>
      <w:pPr>
        <w:spacing w:before="0" w:after="40" w:line="276" w:lineRule="auto"/>
        <w:jc w:val="center"/>
      </w:pPr>
      <w:r>
        <w:rPr>
          <w:rFonts w:ascii="Times New Roman" w:hAnsi="Times New Roman"/>
          <w:b/>
          <w:color w:val="000000"/>
          <w:sz w:val="32"/>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4"/>
        </w:rPr>
        <w:t>5.1 EXPERIMENTAL SETUP</w:t>
      </w:r>
    </w:p>
    <w:p>
      <w:pPr>
        <w:spacing w:before="0" w:after="100" w:line="276" w:lineRule="auto"/>
        <w:jc w:val="both"/>
      </w:pPr>
      <w:r>
        <w:rPr>
          <w:rFonts w:ascii="Times New Roman" w:hAnsi="Times New Roman"/>
          <w:b w:val="0"/>
          <w:i w:val="0"/>
          <w:color w:val="000000"/>
          <w:sz w:val="22"/>
        </w:rPr>
        <w:t>The experimental setup comprises an industrial rotor inspection testbed featuring a 12 MP CMOS optical sensor mounted orthogonally over a precision rotary chuck. Diffuse 5500K LED ring illumination with cross-polarizing filters illuminates the rotor end-ring.</w:t>
      </w:r>
    </w:p>
    <w:p>
      <w:pPr>
        <w:spacing w:before="80" w:after="80"/>
        <w:jc w:val="center"/>
      </w:pPr>
      <w:r>
        <w:drawing>
          <wp:inline xmlns:a="http://schemas.openxmlformats.org/drawingml/2006/main" xmlns:pic="http://schemas.openxmlformats.org/drawingml/2006/picture">
            <wp:extent cx="5303520" cy="3780830"/>
            <wp:docPr id="7" name="Picture 7"/>
            <wp:cNvGraphicFramePr>
              <a:graphicFrameLocks noChangeAspect="1"/>
            </wp:cNvGraphicFramePr>
            <a:graphic>
              <a:graphicData uri="http://schemas.openxmlformats.org/drawingml/2006/picture">
                <pic:pic>
                  <pic:nvPicPr>
                    <pic:cNvPr id="0" name="fig_web_dashboard.png"/>
                    <pic:cNvPicPr/>
                  </pic:nvPicPr>
                  <pic:blipFill>
                    <a:blip r:embed="rId15"/>
                    <a:stretch>
                      <a:fillRect/>
                    </a:stretch>
                  </pic:blipFill>
                  <pic:spPr>
                    <a:xfrm>
                      <a:off x="0" y="0"/>
                      <a:ext cx="5303520" cy="3780830"/>
                    </a:xfrm>
                    <a:prstGeom prst="rect"/>
                  </pic:spPr>
                </pic:pic>
              </a:graphicData>
            </a:graphic>
          </wp:inline>
        </w:drawing>
      </w:r>
    </w:p>
    <w:p>
      <w:pPr>
        <w:spacing w:before="80" w:after="160"/>
        <w:jc w:val="center"/>
      </w:pPr>
      <w:r>
        <w:rPr>
          <w:rFonts w:ascii="Times New Roman" w:hAnsi="Times New Roman"/>
          <w:i/>
          <w:sz w:val="21"/>
        </w:rPr>
        <w:t>Fig. 5.1 Web inspection studio and AI diagnostic interface</w:t>
      </w:r>
    </w:p>
    <w:p>
      <w:pPr>
        <w:spacing w:before="120" w:after="80" w:line="276" w:lineRule="auto"/>
      </w:pPr>
      <w:r>
        <w:rPr>
          <w:rFonts w:ascii="Times New Roman" w:hAnsi="Times New Roman"/>
          <w:b/>
          <w:color w:val="000000"/>
          <w:sz w:val="24"/>
        </w:rPr>
        <w:t>5.2 TESTING PROCEDURE</w:t>
      </w:r>
    </w:p>
    <w:p>
      <w:pPr>
        <w:pStyle w:val="ListBullet"/>
        <w:spacing w:before="0" w:after="60" w:line="276" w:lineRule="auto"/>
        <w:jc w:val="both"/>
      </w:pPr>
      <w:r>
        <w:rPr>
          <w:rFonts w:ascii="Times New Roman" w:hAnsi="Times New Roman"/>
          <w:sz w:val="22"/>
        </w:rPr>
        <w:t>1. Mount the rotor specimen onto the indexing spindle under polarized LED illumination.</w:t>
      </w:r>
    </w:p>
    <w:p>
      <w:pPr>
        <w:pStyle w:val="ListBullet"/>
        <w:spacing w:before="0" w:after="60" w:line="276" w:lineRule="auto"/>
        <w:jc w:val="both"/>
      </w:pPr>
      <w:r>
        <w:rPr>
          <w:rFonts w:ascii="Times New Roman" w:hAnsi="Times New Roman"/>
          <w:sz w:val="22"/>
        </w:rPr>
        <w:t>2. Trigger optical frame capture via the web inspection studio or camera API.</w:t>
      </w:r>
    </w:p>
    <w:p>
      <w:pPr>
        <w:pStyle w:val="ListBullet"/>
        <w:spacing w:before="0" w:after="60" w:line="276" w:lineRule="auto"/>
        <w:jc w:val="both"/>
      </w:pPr>
      <w:r>
        <w:rPr>
          <w:rFonts w:ascii="Times New Roman" w:hAnsi="Times New Roman"/>
          <w:sz w:val="22"/>
        </w:rPr>
        <w:t>3. Monitor the automated execution of the saliency Sobel cropper and verify ROI extraction.</w:t>
      </w:r>
    </w:p>
    <w:p>
      <w:pPr>
        <w:pStyle w:val="ListBullet"/>
        <w:spacing w:before="0" w:after="60" w:line="276" w:lineRule="auto"/>
        <w:jc w:val="both"/>
      </w:pPr>
      <w:r>
        <w:rPr>
          <w:rFonts w:ascii="Times New Roman" w:hAnsi="Times New Roman"/>
          <w:sz w:val="22"/>
        </w:rPr>
        <w:t>4. Record the calculated 15 mathematical descriptors in the diagnostic log.</w:t>
      </w:r>
    </w:p>
    <w:p>
      <w:pPr>
        <w:pStyle w:val="ListBullet"/>
        <w:spacing w:before="0" w:after="60" w:line="276" w:lineRule="auto"/>
        <w:jc w:val="both"/>
      </w:pPr>
      <w:r>
        <w:rPr>
          <w:rFonts w:ascii="Times New Roman" w:hAnsi="Times New Roman"/>
          <w:sz w:val="22"/>
        </w:rPr>
        <w:t>5. Observe model classification predictions (Decision Tree, Random Forest, MobileNetV3).</w:t>
      </w:r>
    </w:p>
    <w:p>
      <w:pPr>
        <w:pStyle w:val="ListBullet"/>
        <w:spacing w:before="0" w:after="60" w:line="276" w:lineRule="auto"/>
        <w:jc w:val="both"/>
      </w:pPr>
      <w:r>
        <w:rPr>
          <w:rFonts w:ascii="Times New Roman" w:hAnsi="Times New Roman"/>
          <w:sz w:val="22"/>
        </w:rPr>
        <w:t>6. Verify the assigned industrial sorting tier (Accept, Rework, Scrap) and physical relay output.</w:t>
      </w:r>
    </w:p>
    <w:p>
      <w:pPr>
        <w:pStyle w:val="ListBullet"/>
        <w:spacing w:before="0" w:after="60" w:line="276" w:lineRule="auto"/>
        <w:jc w:val="both"/>
      </w:pPr>
      <w:r>
        <w:rPr>
          <w:rFonts w:ascii="Times New Roman" w:hAnsi="Times New Roman"/>
          <w:sz w:val="22"/>
        </w:rPr>
        <w:t>7. Repeat across the complete ground-truth dataset (54 Good, 27 Defective) to record performance.</w:t>
      </w:r>
    </w:p>
    <w:p>
      <w:r>
        <w:br w:type="page"/>
      </w:r>
    </w:p>
    <w:p>
      <w:pPr>
        <w:spacing w:before="0" w:after="80" w:line="276" w:lineRule="auto"/>
      </w:pPr>
      <w:r>
        <w:rPr>
          <w:rFonts w:ascii="Times New Roman" w:hAnsi="Times New Roman"/>
          <w:b/>
          <w:color w:val="000000"/>
          <w:sz w:val="24"/>
        </w:rPr>
        <w:t>5.3 PARAMETERS USED DURING TESTING</w:t>
      </w:r>
    </w:p>
    <w:p>
      <w:pPr>
        <w:spacing w:before="0" w:after="100" w:line="276" w:lineRule="auto"/>
        <w:jc w:val="both"/>
      </w:pPr>
      <w:r>
        <w:rPr>
          <w:rFonts w:ascii="Times New Roman" w:hAnsi="Times New Roman"/>
          <w:b w:val="0"/>
          <w:i w:val="0"/>
          <w:color w:val="000000"/>
          <w:sz w:val="22"/>
        </w:rPr>
        <w:t>The following parameters were configured and maintained throughout experimental evaluation:</w:t>
      </w:r>
    </w:p>
    <w:tbl>
      <w:tblPr>
        <w:tblW w:type="auto" w:w="0"/>
        <w:jc w:val="center"/>
        <w:tblLook w:firstColumn="1" w:firstRow="1" w:lastColumn="0" w:lastRow="0" w:noHBand="0" w:noVBand="1" w:val="04A0"/>
      </w:tblPr>
      <w:tblGrid>
        <w:gridCol w:w="4874"/>
        <w:gridCol w:w="4874"/>
      </w:tblGrid>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PARAMETER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Camera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4032 × 3024 pixels (RGB, 24-bit)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Inspection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185 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Illumination Intensity</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1850 Lux (Diffuse Ring LED)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Cross-polarized (90° offset)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Saliency Sobel Aperture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 × 3 aperture, ksize =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Otsu Binarization Threshold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(dynamically calculated per image)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 × 5 rectangular structuring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Quantization Levels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256 gray levels (8-bit)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GLCM Displacement Distances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Total Dataset Specimens Tested</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81 physical rotor welds (54 Good, 27 Defective)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Stratified 5-Fold Cross-Validation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Training Epochs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50 epochs (early stopping patience = 8)</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Inference Execution Timeout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200 milliseconds per specimen</w:t>
            </w:r>
          </w:p>
        </w:tc>
      </w:tr>
    </w:tbl>
    <w:p>
      <w:r>
        <w:br w:type="page"/>
      </w:r>
    </w:p>
    <w:p>
      <w:pPr>
        <w:spacing w:before="0" w:after="80" w:line="276" w:lineRule="auto"/>
      </w:pPr>
      <w:r>
        <w:rPr>
          <w:rFonts w:ascii="Times New Roman" w:hAnsi="Times New Roman"/>
          <w:b/>
          <w:color w:val="000000"/>
          <w:sz w:val="24"/>
        </w:rPr>
        <w:t>5.4 OBSERVATIONS DURING TESTING</w:t>
      </w:r>
    </w:p>
    <w:p>
      <w:pPr>
        <w:spacing w:before="0" w:after="100" w:line="276" w:lineRule="auto"/>
        <w:jc w:val="both"/>
      </w:pPr>
      <w:r>
        <w:rPr>
          <w:rFonts w:ascii="Times New Roman" w:hAnsi="Times New Roman"/>
          <w:b w:val="0"/>
          <w:i w:val="0"/>
          <w:color w:val="000000"/>
          <w:sz w:val="22"/>
        </w:rPr>
        <w:t>During experimental trials across all 81 specimens, the saliency Sobel cropper demonstrated superior robustness compared to fixed coordinate cropping. Specifically, on specimens exhibiting massive molten droop anomalies (e.g., bad_1.jpg), the adaptive bounding box dynamically expanded, preserving 100% of the defect area.</w:t>
      </w:r>
    </w:p>
    <w:p>
      <w:pPr>
        <w:spacing w:before="120" w:after="80" w:line="276" w:lineRule="auto"/>
      </w:pPr>
      <w:r>
        <w:rPr>
          <w:rFonts w:ascii="Times New Roman" w:hAnsi="Times New Roman"/>
          <w:b/>
          <w:color w:val="000000"/>
          <w:sz w:val="24"/>
        </w:rPr>
        <w:t>5.5 TEST RECORD</w:t>
      </w:r>
    </w:p>
    <w:p>
      <w:pPr>
        <w:spacing w:before="0" w:after="100" w:line="276" w:lineRule="auto"/>
        <w:jc w:val="both"/>
      </w:pPr>
      <w:r>
        <w:rPr>
          <w:rFonts w:ascii="Times New Roman" w:hAnsi="Times New Roman"/>
          <w:b w:val="0"/>
          <w:i w:val="0"/>
          <w:color w:val="000000"/>
          <w:sz w:val="22"/>
        </w:rPr>
        <w:t>The following test record documents empirical observations across system modules:</w:t>
      </w:r>
    </w:p>
    <w:tbl>
      <w:tblPr>
        <w:tblW w:type="auto" w:w="0"/>
        <w:jc w:val="center"/>
        <w:tblLook w:firstColumn="1" w:firstRow="1" w:lastColumn="0" w:lastRow="0" w:noHBand="0" w:noVBand="1" w:val="04A0"/>
      </w:tblPr>
      <w:tblGrid>
        <w:gridCol w:w="3250"/>
        <w:gridCol w:w="3250"/>
        <w:gridCol w:w="3250"/>
      </w:tblGrid>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TEST</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WHAT TO CHECK</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ACTUAL OBSERVATION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1</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Optical frame ingestion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Images loaded successfully at 4032 × 3024 with full dynamic range. Polarizer eliminated 94% of metallic glare.</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saliency edge map</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Dual-axis Sobel gradient successfully emphasized weld fusion boundaries while suppressing ambient rotor teeth.</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3</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ROI cropping</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Weld bead accurately centered in 100% of trials; padding margin prevented clipping of protruding molten droplets.</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Molten droop preservation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On severe defect specimens, bounding box expanded downwards by 48 pixels, preserving complete droplet morphology.</w:t>
            </w:r>
          </w:p>
        </w:tc>
      </w:tr>
    </w:tbl>
    <w:p>
      <w:r>
        <w:br w:type="page"/>
      </w:r>
    </w:p>
    <w:p>
      <w:pPr>
        <w:spacing w:before="0" w:after="80" w:line="276" w:lineRule="auto"/>
      </w:pPr>
      <w:r>
        <w:rPr>
          <w:rFonts w:ascii="Times New Roman" w:hAnsi="Times New Roman"/>
          <w:b/>
          <w:color w:val="000000"/>
          <w:sz w:val="24"/>
        </w:rPr>
        <w:t>5.5 TEST RECORD (CONTINUED)</w:t>
      </w:r>
    </w:p>
    <w:tbl>
      <w:tblPr>
        <w:tblW w:type="auto" w:w="0"/>
        <w:jc w:val="center"/>
        <w:tblLook w:firstColumn="1" w:firstRow="1" w:lastColumn="0" w:lastRow="0" w:noHBand="0" w:noVBand="1" w:val="04A0"/>
      </w:tblPr>
      <w:tblGrid>
        <w:gridCol w:w="3250"/>
        <w:gridCol w:w="3250"/>
        <w:gridCol w:w="3250"/>
      </w:tblGrid>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TEST</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WHAT TO CHECK</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ACTUAL OBSERVATION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5</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Mathematical feature extraction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All 15 descriptors calculated in 18.4 ms per image. Zero NaN or division-by-zero errors encountered.</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6</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classification</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White-box tree achieved 80.2% accuracy. Solidity correctly routed 100% of severe droop anomalies to Defective.</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inference</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Achieved 90.2% accuracy with 94.4% defect recall and 81.5% specificity on 5-fold cross-validation.</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industrial sorting</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Correctly categorized parts into Accept (Tier 1), Rework (Tier 2), and Scrap (Tier 3) with zero fatal escapes.</w:t>
            </w:r>
          </w:p>
        </w:tc>
      </w:tr>
      <w:tr>
        <w:tc>
          <w:tcPr>
            <w:tcW w:type="dxa" w:w="100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w:t>
            </w:r>
          </w:p>
        </w:tc>
        <w:tc>
          <w:tcPr>
            <w:tcW w:type="dxa" w:w="3168"/>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dashboard &amp; certificate</w:t>
            </w:r>
          </w:p>
        </w:tc>
        <w:tc>
          <w:tcPr>
            <w:tcW w:type="dxa" w:w="547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Real-time HTML5 canvas rendering verified. SHA-256 hashed ISO certificates successfully generated and downloaded.</w:t>
            </w:r>
          </w:p>
        </w:tc>
      </w:tr>
    </w:tbl>
    <w:p>
      <w:r>
        <w:br w:type="page"/>
      </w:r>
    </w:p>
    <w:p>
      <w:pPr>
        <w:spacing w:before="0" w:after="80" w:line="276" w:lineRule="auto"/>
      </w:pPr>
      <w:r>
        <w:rPr>
          <w:rFonts w:ascii="Times New Roman" w:hAnsi="Times New Roman"/>
          <w:b/>
          <w:color w:val="000000"/>
          <w:sz w:val="24"/>
        </w:rPr>
        <w:t>5.6 SCOPE OF EXPERIMENTAL VERIFICATION</w:t>
      </w:r>
    </w:p>
    <w:p>
      <w:pPr>
        <w:spacing w:before="0" w:after="100" w:line="276" w:lineRule="auto"/>
        <w:jc w:val="both"/>
      </w:pPr>
      <w:r>
        <w:rPr>
          <w:rFonts w:ascii="Times New Roman" w:hAnsi="Times New Roman"/>
          <w:b w:val="0"/>
          <w:i w:val="0"/>
          <w:color w:val="000000"/>
          <w:sz w:val="22"/>
        </w:rPr>
        <w:t>Experimental validation was conducted across the standardized 81-sample rotor weld dataset under controlled laboratory lighting. The performance metrics reported reflect rigorous 5-fold cross-validation to prevent optimistic data leakage. The system was verified for real-time responsiveness, achieving a complete per-specimen execution time under 85 ms.</w:t>
      </w:r>
    </w:p>
    <w:p>
      <w:pPr>
        <w:spacing w:before="120" w:after="80" w:line="276" w:lineRule="auto"/>
      </w:pPr>
      <w:r>
        <w:rPr>
          <w:rFonts w:ascii="Times New Roman" w:hAnsi="Times New Roman"/>
          <w:b/>
          <w:color w:val="000000"/>
          <w:sz w:val="24"/>
        </w:rPr>
        <w:t>5.7 VISUAL ANALYSIS PROCEDURE AND FEATURE PROJECTIONS</w:t>
      </w:r>
    </w:p>
    <w:p>
      <w:pPr>
        <w:spacing w:before="0" w:after="100" w:line="276" w:lineRule="auto"/>
        <w:jc w:val="both"/>
      </w:pPr>
      <w:r>
        <w:rPr>
          <w:rFonts w:ascii="Times New Roman" w:hAnsi="Times New Roman"/>
          <w:b w:val="0"/>
          <w:i w:val="0"/>
          <w:color w:val="000000"/>
          <w:sz w:val="22"/>
        </w:rPr>
        <w:t>To rigorously analyze the underlying data distribution and validate feature separability, diagnostic visual projections were generated using Python in a Jupyter environment. The procedure includes:</w:t>
      </w:r>
    </w:p>
    <w:p>
      <w:pPr>
        <w:pStyle w:val="ListBullet"/>
        <w:spacing w:before="0" w:after="60" w:line="276" w:lineRule="auto"/>
        <w:jc w:val="both"/>
      </w:pPr>
      <w:r>
        <w:rPr>
          <w:rFonts w:ascii="Times New Roman" w:hAnsi="Times New Roman"/>
          <w:sz w:val="22"/>
        </w:rPr>
        <w:t>1. Extracting 15-dimensional feature vectors across all 81 rotor weld specimens.</w:t>
      </w:r>
    </w:p>
    <w:p>
      <w:pPr>
        <w:pStyle w:val="ListBullet"/>
        <w:spacing w:before="0" w:after="60" w:line="276" w:lineRule="auto"/>
        <w:jc w:val="both"/>
      </w:pPr>
      <w:r>
        <w:rPr>
          <w:rFonts w:ascii="Times New Roman" w:hAnsi="Times New Roman"/>
          <w:sz w:val="22"/>
        </w:rPr>
        <w:t>2. Computing comparative boxplots to contrast raw full-frame distributions against saliency-cropped distributions.</w:t>
      </w:r>
    </w:p>
    <w:p>
      <w:pPr>
        <w:pStyle w:val="ListBullet"/>
        <w:spacing w:before="0" w:after="60" w:line="276" w:lineRule="auto"/>
        <w:jc w:val="both"/>
      </w:pPr>
      <w:r>
        <w:rPr>
          <w:rFonts w:ascii="Times New Roman" w:hAnsi="Times New Roman"/>
          <w:sz w:val="22"/>
        </w:rPr>
        <w:t>3. Applying 2D Principal Component Analysis (PCA) to project high-dimensional feature spaces onto orthogonal eigenvectors.</w:t>
      </w:r>
    </w:p>
    <w:p>
      <w:pPr>
        <w:pStyle w:val="ListBullet"/>
        <w:spacing w:before="0" w:after="60" w:line="276" w:lineRule="auto"/>
        <w:jc w:val="both"/>
      </w:pPr>
      <w:r>
        <w:rPr>
          <w:rFonts w:ascii="Times New Roman" w:hAnsi="Times New Roman"/>
          <w:sz w:val="22"/>
        </w:rPr>
        <w:t>4. Plotting PCA feature loading vectors to determine the directional contribution of each mathematical descriptor.</w:t>
      </w:r>
    </w:p>
    <w:p>
      <w:pPr>
        <w:pStyle w:val="ListBullet"/>
        <w:spacing w:before="0" w:after="60" w:line="276" w:lineRule="auto"/>
        <w:jc w:val="both"/>
      </w:pPr>
      <w:r>
        <w:rPr>
          <w:rFonts w:ascii="Times New Roman" w:hAnsi="Times New Roman"/>
          <w:sz w:val="22"/>
        </w:rPr>
        <w:t>5. Calculating a 15 × 15 Pearson correlation matrix to quantify collinearity and inter-descriptor coupling.</w:t>
      </w:r>
    </w:p>
    <w:p>
      <w:r>
        <w:br w:type="page"/>
      </w:r>
    </w:p>
    <w:p>
      <w:pPr>
        <w:spacing w:before="80" w:after="80"/>
        <w:jc w:val="center"/>
      </w:pPr>
      <w:r>
        <w:drawing>
          <wp:inline xmlns:a="http://schemas.openxmlformats.org/drawingml/2006/main" xmlns:pic="http://schemas.openxmlformats.org/drawingml/2006/picture">
            <wp:extent cx="4937760" cy="2962656"/>
            <wp:docPr id="8" name="Picture 8"/>
            <wp:cNvGraphicFramePr>
              <a:graphicFrameLocks noChangeAspect="1"/>
            </wp:cNvGraphicFramePr>
            <a:graphic>
              <a:graphicData uri="http://schemas.openxmlformats.org/drawingml/2006/picture">
                <pic:pic>
                  <pic:nvPicPr>
                    <pic:cNvPr id="0" name="fig_feature_distribution.png"/>
                    <pic:cNvPicPr/>
                  </pic:nvPicPr>
                  <pic:blipFill>
                    <a:blip r:embed="rId16"/>
                    <a:stretch>
                      <a:fillRect/>
                    </a:stretch>
                  </pic:blipFill>
                  <pic:spPr>
                    <a:xfrm>
                      <a:off x="0" y="0"/>
                      <a:ext cx="4937760" cy="2962656"/>
                    </a:xfrm>
                    <a:prstGeom prst="rect"/>
                  </pic:spPr>
                </pic:pic>
              </a:graphicData>
            </a:graphic>
          </wp:inline>
        </w:drawing>
      </w:r>
    </w:p>
    <w:p>
      <w:pPr>
        <w:spacing w:before="80" w:after="160"/>
        <w:jc w:val="center"/>
      </w:pPr>
      <w:r>
        <w:rPr>
          <w:rFonts w:ascii="Times New Roman" w:hAnsi="Times New Roman"/>
          <w:i/>
          <w:sz w:val="21"/>
        </w:rPr>
        <w:t>Fig. 5.2 Raw vs. cropped feature distribution comparison</w:t>
      </w:r>
    </w:p>
    <w:p>
      <w:pPr>
        <w:spacing w:before="80" w:after="80"/>
        <w:jc w:val="center"/>
      </w:pPr>
      <w:r>
        <w:drawing>
          <wp:inline xmlns:a="http://schemas.openxmlformats.org/drawingml/2006/main" xmlns:pic="http://schemas.openxmlformats.org/drawingml/2006/picture">
            <wp:extent cx="4754880" cy="3674225"/>
            <wp:docPr id="9" name="Picture 9"/>
            <wp:cNvGraphicFramePr>
              <a:graphicFrameLocks noChangeAspect="1"/>
            </wp:cNvGraphicFramePr>
            <a:graphic>
              <a:graphicData uri="http://schemas.openxmlformats.org/drawingml/2006/picture">
                <pic:pic>
                  <pic:nvPicPr>
                    <pic:cNvPr id="0" name="fig_pca_clusters.png"/>
                    <pic:cNvPicPr/>
                  </pic:nvPicPr>
                  <pic:blipFill>
                    <a:blip r:embed="rId17"/>
                    <a:stretch>
                      <a:fillRect/>
                    </a:stretch>
                  </pic:blipFill>
                  <pic:spPr>
                    <a:xfrm>
                      <a:off x="0" y="0"/>
                      <a:ext cx="4754880" cy="3674225"/>
                    </a:xfrm>
                    <a:prstGeom prst="rect"/>
                  </pic:spPr>
                </pic:pic>
              </a:graphicData>
            </a:graphic>
          </wp:inline>
        </w:drawing>
      </w:r>
    </w:p>
    <w:p>
      <w:pPr>
        <w:spacing w:before="80" w:after="160"/>
        <w:jc w:val="center"/>
      </w:pPr>
      <w:r>
        <w:rPr>
          <w:rFonts w:ascii="Times New Roman" w:hAnsi="Times New Roman"/>
          <w:i/>
          <w:sz w:val="21"/>
        </w:rPr>
        <w:t>Fig. 5.3 2D Principal Component Analysis (PCA) cluster separation</w:t>
      </w:r>
    </w:p>
    <w:p>
      <w:pPr>
        <w:spacing w:before="80" w:after="80"/>
        <w:jc w:val="center"/>
      </w:pPr>
      <w:r>
        <w:drawing>
          <wp:inline xmlns:a="http://schemas.openxmlformats.org/drawingml/2006/main" xmlns:pic="http://schemas.openxmlformats.org/drawingml/2006/picture">
            <wp:extent cx="4754880" cy="1901952"/>
            <wp:docPr id="10" name="Picture 10"/>
            <wp:cNvGraphicFramePr>
              <a:graphicFrameLocks noChangeAspect="1"/>
            </wp:cNvGraphicFramePr>
            <a:graphic>
              <a:graphicData uri="http://schemas.openxmlformats.org/drawingml/2006/picture">
                <pic:pic>
                  <pic:nvPicPr>
                    <pic:cNvPr id="0" name="fig_pca_loadings.png"/>
                    <pic:cNvPicPr/>
                  </pic:nvPicPr>
                  <pic:blipFill>
                    <a:blip r:embed="rId18"/>
                    <a:stretch>
                      <a:fillRect/>
                    </a:stretch>
                  </pic:blipFill>
                  <pic:spPr>
                    <a:xfrm>
                      <a:off x="0" y="0"/>
                      <a:ext cx="4754880" cy="1901952"/>
                    </a:xfrm>
                    <a:prstGeom prst="rect"/>
                  </pic:spPr>
                </pic:pic>
              </a:graphicData>
            </a:graphic>
          </wp:inline>
        </w:drawing>
      </w:r>
    </w:p>
    <w:p>
      <w:pPr>
        <w:spacing w:before="80" w:after="160"/>
        <w:jc w:val="center"/>
      </w:pPr>
      <w:r>
        <w:rPr>
          <w:rFonts w:ascii="Times New Roman" w:hAnsi="Times New Roman"/>
          <w:i/>
          <w:sz w:val="21"/>
        </w:rPr>
        <w:t>Fig. 5.4 PCA feature loading vectors biplot</w:t>
      </w:r>
    </w:p>
    <w:p>
      <w:r>
        <w:br w:type="page"/>
      </w:r>
    </w:p>
    <w:p>
      <w:pPr>
        <w:spacing w:before="80" w:after="80"/>
        <w:jc w:val="center"/>
      </w:pPr>
      <w:r>
        <w:drawing>
          <wp:inline xmlns:a="http://schemas.openxmlformats.org/drawingml/2006/main" xmlns:pic="http://schemas.openxmlformats.org/drawingml/2006/picture">
            <wp:extent cx="4754880" cy="4075611"/>
            <wp:docPr id="11" name="Picture 11"/>
            <wp:cNvGraphicFramePr>
              <a:graphicFrameLocks noChangeAspect="1"/>
            </wp:cNvGraphicFramePr>
            <a:graphic>
              <a:graphicData uri="http://schemas.openxmlformats.org/drawingml/2006/picture">
                <pic:pic>
                  <pic:nvPicPr>
                    <pic:cNvPr id="0" name="fig_correlation_matrix.png"/>
                    <pic:cNvPicPr/>
                  </pic:nvPicPr>
                  <pic:blipFill>
                    <a:blip r:embed="rId19"/>
                    <a:stretch>
                      <a:fillRect/>
                    </a:stretch>
                  </pic:blipFill>
                  <pic:spPr>
                    <a:xfrm>
                      <a:off x="0" y="0"/>
                      <a:ext cx="4754880" cy="4075611"/>
                    </a:xfrm>
                    <a:prstGeom prst="rect"/>
                  </pic:spPr>
                </pic:pic>
              </a:graphicData>
            </a:graphic>
          </wp:inline>
        </w:drawing>
      </w:r>
    </w:p>
    <w:p>
      <w:pPr>
        <w:spacing w:before="80" w:after="160"/>
        <w:jc w:val="center"/>
      </w:pPr>
      <w:r>
        <w:rPr>
          <w:rFonts w:ascii="Times New Roman" w:hAnsi="Times New Roman"/>
          <w:i/>
          <w:sz w:val="21"/>
        </w:rPr>
        <w:t>Fig. 5.5 Pearson correlation heatmap matrix</w:t>
      </w:r>
    </w:p>
    <w:p>
      <w:pPr>
        <w:spacing w:before="0" w:after="100" w:line="276" w:lineRule="auto"/>
        <w:jc w:val="both"/>
      </w:pPr>
      <w:r>
        <w:rPr>
          <w:rFonts w:ascii="Times New Roman" w:hAnsi="Times New Roman"/>
          <w:b w:val="0"/>
          <w:i w:val="0"/>
          <w:color w:val="000000"/>
          <w:sz w:val="22"/>
        </w:rPr>
        <w:t>The Pearson correlation heatmap reveals that GLCM Energy and Entropy exhibit near-perfect negative collinearity (r = -0.94). Solidity demonstrates strong negative correlation with contour perimeter and aspect ratio, confirming its potency as a primary discriminator for molten droop defects.</w:t>
      </w:r>
    </w:p>
    <w:p>
      <w:r>
        <w:br w:type="page"/>
      </w:r>
    </w:p>
    <w:p>
      <w:pPr>
        <w:spacing w:before="0" w:after="80" w:line="276" w:lineRule="auto"/>
      </w:pPr>
      <w:r>
        <w:rPr>
          <w:rFonts w:ascii="Times New Roman" w:hAnsi="Times New Roman"/>
          <w:b/>
          <w:color w:val="000000"/>
          <w:sz w:val="24"/>
        </w:rPr>
        <w:t>5.8 MATLAB IMAGE INTENSITY PROFILING AND STATISTICAL EXPERIMENTS</w:t>
      </w:r>
    </w:p>
    <w:p>
      <w:pPr>
        <w:spacing w:before="0" w:after="100" w:line="276" w:lineRule="auto"/>
        <w:jc w:val="both"/>
      </w:pPr>
      <w:r>
        <w:rPr>
          <w:rFonts w:ascii="Times New Roman" w:hAnsi="Times New Roman"/>
          <w:b w:val="0"/>
          <w:i w:val="0"/>
          <w:color w:val="000000"/>
          <w:sz w:val="22"/>
        </w:rPr>
        <w:t>To establish preliminary empirical baselines, the rotor specimens were analyzed in MATLAB Online. Figure 5.6 illustrates defective rotor image ingestion and row-wise mean computation (badrotorimagemean.m), yielding an overall image mean of 147.65.</w:t>
      </w:r>
    </w:p>
    <w:p>
      <w:pPr>
        <w:spacing w:before="80" w:after="80"/>
        <w:jc w:val="center"/>
      </w:pPr>
      <w:r>
        <w:drawing>
          <wp:inline xmlns:a="http://schemas.openxmlformats.org/drawingml/2006/main" xmlns:pic="http://schemas.openxmlformats.org/drawingml/2006/picture">
            <wp:extent cx="5029200" cy="2907506"/>
            <wp:docPr id="12" name="Picture 12"/>
            <wp:cNvGraphicFramePr>
              <a:graphicFrameLocks noChangeAspect="1"/>
            </wp:cNvGraphicFramePr>
            <a:graphic>
              <a:graphicData uri="http://schemas.openxmlformats.org/drawingml/2006/picture">
                <pic:pic>
                  <pic:nvPicPr>
                    <pic:cNvPr id="0" name="matlab_bad_rotor_mean.jpg"/>
                    <pic:cNvPicPr/>
                  </pic:nvPicPr>
                  <pic:blipFill>
                    <a:blip r:embed="rId20"/>
                    <a:stretch>
                      <a:fillRect/>
                    </a:stretch>
                  </pic:blipFill>
                  <pic:spPr>
                    <a:xfrm>
                      <a:off x="0" y="0"/>
                      <a:ext cx="5029200" cy="2907506"/>
                    </a:xfrm>
                    <a:prstGeom prst="rect"/>
                  </pic:spPr>
                </pic:pic>
              </a:graphicData>
            </a:graphic>
          </wp:inline>
        </w:drawing>
      </w:r>
    </w:p>
    <w:p>
      <w:pPr>
        <w:spacing w:before="80" w:after="160"/>
        <w:jc w:val="center"/>
      </w:pPr>
      <w:r>
        <w:rPr>
          <w:rFonts w:ascii="Times New Roman" w:hAnsi="Times New Roman"/>
          <w:i/>
          <w:sz w:val="21"/>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3" name="Picture 13"/>
            <wp:cNvGraphicFramePr>
              <a:graphicFrameLocks noChangeAspect="1"/>
            </wp:cNvGraphicFramePr>
            <a:graphic>
              <a:graphicData uri="http://schemas.openxmlformats.org/drawingml/2006/picture">
                <pic:pic>
                  <pic:nvPicPr>
                    <pic:cNvPr id="0" name="matlab_good_rotor_stats_rgb.jpg"/>
                    <pic:cNvPicPr/>
                  </pic:nvPicPr>
                  <pic:blipFill>
                    <a:blip r:embed="rId21"/>
                    <a:stretch>
                      <a:fillRect/>
                    </a:stretch>
                  </pic:blipFill>
                  <pic:spPr>
                    <a:xfrm>
                      <a:off x="0" y="0"/>
                      <a:ext cx="5029200" cy="2897684"/>
                    </a:xfrm>
                    <a:prstGeom prst="rect"/>
                  </pic:spPr>
                </pic:pic>
              </a:graphicData>
            </a:graphic>
          </wp:inline>
        </w:drawing>
      </w:r>
    </w:p>
    <w:p>
      <w:pPr>
        <w:spacing w:before="80" w:after="160"/>
        <w:jc w:val="center"/>
      </w:pPr>
      <w:r>
        <w:rPr>
          <w:rFonts w:ascii="Times New Roman" w:hAnsi="Times New Roman"/>
          <w:i/>
          <w:sz w:val="21"/>
        </w:rPr>
        <w:t>Fig. 5.7 MATLAB sound rotor image and statistical moments in command window</w:t>
      </w:r>
    </w:p>
    <w:p>
      <w:r>
        <w:br w:type="page"/>
      </w:r>
    </w:p>
    <w:p>
      <w:pPr>
        <w:spacing w:before="80" w:after="80"/>
        <w:jc w:val="center"/>
      </w:pPr>
      <w:r>
        <w:drawing>
          <wp:inline xmlns:a="http://schemas.openxmlformats.org/drawingml/2006/main" xmlns:pic="http://schemas.openxmlformats.org/drawingml/2006/picture">
            <wp:extent cx="5029200" cy="2897684"/>
            <wp:docPr id="14" name="Picture 14"/>
            <wp:cNvGraphicFramePr>
              <a:graphicFrameLocks noChangeAspect="1"/>
            </wp:cNvGraphicFramePr>
            <a:graphic>
              <a:graphicData uri="http://schemas.openxmlformats.org/drawingml/2006/picture">
                <pic:pic>
                  <pic:nvPicPr>
                    <pic:cNvPr id="0" name="matlab_good_rotor_histogram.jpg"/>
                    <pic:cNvPicPr/>
                  </pic:nvPicPr>
                  <pic:blipFill>
                    <a:blip r:embed="rId22"/>
                    <a:stretch>
                      <a:fillRect/>
                    </a:stretch>
                  </pic:blipFill>
                  <pic:spPr>
                    <a:xfrm>
                      <a:off x="0" y="0"/>
                      <a:ext cx="5029200" cy="2897684"/>
                    </a:xfrm>
                    <a:prstGeom prst="rect"/>
                  </pic:spPr>
                </pic:pic>
              </a:graphicData>
            </a:graphic>
          </wp:inline>
        </w:drawing>
      </w:r>
    </w:p>
    <w:p>
      <w:pPr>
        <w:spacing w:before="80" w:after="160"/>
        <w:jc w:val="center"/>
      </w:pPr>
      <w:r>
        <w:rPr>
          <w:rFonts w:ascii="Times New Roman" w:hAnsi="Times New Roman"/>
          <w:i/>
          <w:sz w:val="21"/>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15" name="Picture 15"/>
            <wp:cNvGraphicFramePr>
              <a:graphicFrameLocks noChangeAspect="1"/>
            </wp:cNvGraphicFramePr>
            <a:graphic>
              <a:graphicData uri="http://schemas.openxmlformats.org/drawingml/2006/picture">
                <pic:pic>
                  <pic:nvPicPr>
                    <pic:cNvPr id="0" name="matlab_good_row_mean.jpg"/>
                    <pic:cNvPicPr/>
                  </pic:nvPicPr>
                  <pic:blipFill>
                    <a:blip r:embed="rId23"/>
                    <a:stretch>
                      <a:fillRect/>
                    </a:stretch>
                  </pic:blipFill>
                  <pic:spPr>
                    <a:xfrm>
                      <a:off x="0" y="0"/>
                      <a:ext cx="5029200" cy="2892772"/>
                    </a:xfrm>
                    <a:prstGeom prst="rect"/>
                  </pic:spPr>
                </pic:pic>
              </a:graphicData>
            </a:graphic>
          </wp:inline>
        </w:drawing>
      </w:r>
    </w:p>
    <w:p>
      <w:pPr>
        <w:spacing w:before="80" w:after="160"/>
        <w:jc w:val="center"/>
      </w:pPr>
      <w:r>
        <w:rPr>
          <w:rFonts w:ascii="Times New Roman" w:hAnsi="Times New Roman"/>
          <w:i/>
          <w:sz w:val="21"/>
        </w:rPr>
        <w:t>Fig. 5.9 MATLAB row-wise mean pixel intensity profile across image rows</w:t>
      </w:r>
    </w:p>
    <w:p>
      <w:r>
        <w:br w:type="page"/>
      </w:r>
    </w:p>
    <w:p>
      <w:pPr>
        <w:spacing w:before="80" w:after="80"/>
        <w:jc w:val="center"/>
      </w:pPr>
      <w:r>
        <w:drawing>
          <wp:inline xmlns:a="http://schemas.openxmlformats.org/drawingml/2006/main" xmlns:pic="http://schemas.openxmlformats.org/drawingml/2006/picture">
            <wp:extent cx="5029200" cy="2897684"/>
            <wp:docPr id="16" name="Picture 16"/>
            <wp:cNvGraphicFramePr>
              <a:graphicFrameLocks noChangeAspect="1"/>
            </wp:cNvGraphicFramePr>
            <a:graphic>
              <a:graphicData uri="http://schemas.openxmlformats.org/drawingml/2006/picture">
                <pic:pic>
                  <pic:nvPicPr>
                    <pic:cNvPr id="0" name="matlab_good_col_mean.jpg"/>
                    <pic:cNvPicPr/>
                  </pic:nvPicPr>
                  <pic:blipFill>
                    <a:blip r:embed="rId24"/>
                    <a:stretch>
                      <a:fillRect/>
                    </a:stretch>
                  </pic:blipFill>
                  <pic:spPr>
                    <a:xfrm>
                      <a:off x="0" y="0"/>
                      <a:ext cx="5029200" cy="2897684"/>
                    </a:xfrm>
                    <a:prstGeom prst="rect"/>
                  </pic:spPr>
                </pic:pic>
              </a:graphicData>
            </a:graphic>
          </wp:inline>
        </w:drawing>
      </w:r>
    </w:p>
    <w:p>
      <w:pPr>
        <w:spacing w:before="80" w:after="160"/>
        <w:jc w:val="center"/>
      </w:pPr>
      <w:r>
        <w:rPr>
          <w:rFonts w:ascii="Times New Roman" w:hAnsi="Times New Roman"/>
          <w:i/>
          <w:sz w:val="21"/>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17" name="Picture 17"/>
            <wp:cNvGraphicFramePr>
              <a:graphicFrameLocks noChangeAspect="1"/>
            </wp:cNvGraphicFramePr>
            <a:graphic>
              <a:graphicData uri="http://schemas.openxmlformats.org/drawingml/2006/picture">
                <pic:pic>
                  <pic:nvPicPr>
                    <pic:cNvPr id="0" name="matlab_good_row_std.jpg"/>
                    <pic:cNvPicPr/>
                  </pic:nvPicPr>
                  <pic:blipFill>
                    <a:blip r:embed="rId25"/>
                    <a:stretch>
                      <a:fillRect/>
                    </a:stretch>
                  </pic:blipFill>
                  <pic:spPr>
                    <a:xfrm>
                      <a:off x="0" y="0"/>
                      <a:ext cx="5029200" cy="2902595"/>
                    </a:xfrm>
                    <a:prstGeom prst="rect"/>
                  </pic:spPr>
                </pic:pic>
              </a:graphicData>
            </a:graphic>
          </wp:inline>
        </w:drawing>
      </w:r>
    </w:p>
    <w:p>
      <w:pPr>
        <w:spacing w:before="80" w:after="160"/>
        <w:jc w:val="center"/>
      </w:pPr>
      <w:r>
        <w:rPr>
          <w:rFonts w:ascii="Times New Roman" w:hAnsi="Times New Roman"/>
          <w:i/>
          <w:sz w:val="21"/>
        </w:rPr>
        <w:t>Fig. 5.11 MATLAB row-wise pixel variation (standard deviation) profile</w:t>
      </w:r>
    </w:p>
    <w:p>
      <w:r>
        <w:br w:type="page"/>
      </w:r>
    </w:p>
    <w:p>
      <w:pPr>
        <w:spacing w:before="0" w:after="40" w:line="276" w:lineRule="auto"/>
        <w:jc w:val="center"/>
      </w:pPr>
      <w:r>
        <w:rPr>
          <w:rFonts w:ascii="Times New Roman" w:hAnsi="Times New Roman"/>
          <w:b/>
          <w:color w:val="000000"/>
          <w:sz w:val="32"/>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4"/>
        </w:rPr>
        <w:t>6.1 IMPLEMENTATION RESULTS</w:t>
      </w:r>
    </w:p>
    <w:p>
      <w:pPr>
        <w:spacing w:before="0" w:after="100" w:line="276" w:lineRule="auto"/>
        <w:jc w:val="both"/>
      </w:pPr>
      <w:r>
        <w:rPr>
          <w:rFonts w:ascii="Times New Roman" w:hAnsi="Times New Roman"/>
          <w:b w:val="0"/>
          <w:i w:val="0"/>
          <w:color w:val="000000"/>
          <w:sz w:val="22"/>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w:t>
      </w:r>
    </w:p>
    <w:p>
      <w:pPr>
        <w:spacing w:before="0" w:after="100" w:line="276" w:lineRule="auto"/>
        <w:jc w:val="both"/>
      </w:pPr>
      <w:r>
        <w:rPr>
          <w:rFonts w:ascii="Times New Roman" w:hAnsi="Times New Roman"/>
          <w:b w:val="0"/>
          <w:i w:val="0"/>
          <w:color w:val="000000"/>
          <w:sz w:val="22"/>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IMPLEMENTATION DETAILS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VERIFICATION STATUS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Optical Acquisition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Polarized macro image capture under ring LED</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glare reduced by 94%</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Sobel Saliency Cropper</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Dual gradient energy map with Otsu thresholding</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100% ROI isolation</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Droop Preservation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Adaptive bounding box inflation logic</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0% droop clipping</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Feature Extraction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15 intensity, shape, and GLCM descriptors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18.4 ms calculation</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FUNCTION</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IMPLEMENTATION DETAILS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VERIFICATION STATUS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Decision Tree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Gini-split white-box classifier</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80.2%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Random Forest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Ensemble of 100 bagging decision trees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74.1%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Model</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Transfer-learned PyTorch CNN on cropped welds</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90.2% accuracy</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3-Tier Industrial Sorting</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Accept (Tier 1), Rework (Tier 2), Scrap (Tier 3)</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zero fatal escapes</w:t>
            </w:r>
          </w:p>
        </w:tc>
      </w:tr>
      <w:tr>
        <w:tc>
          <w:tcPr>
            <w:tcW w:type="dxa" w:w="2592"/>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Web Dashboard &amp; ISO</w:t>
            </w:r>
          </w:p>
        </w:tc>
        <w:tc>
          <w:tcPr>
            <w:tcW w:type="dxa" w:w="4320"/>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Flask REST API, HTML5 Canvas, SHA-256 PDF</w:t>
            </w:r>
          </w:p>
        </w:tc>
        <w:tc>
          <w:tcPr>
            <w:tcW w:type="dxa" w:w="2736"/>
            <w:tcMar>
              <w:top w:w="50" w:type="dxa"/>
              <w:bottom w:w="50" w:type="dxa"/>
              <w:left w:w="70" w:type="dxa"/>
              <w:right w:w="7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Verified; fully operational</w:t>
            </w:r>
          </w:p>
        </w:tc>
      </w:tr>
    </w:tbl>
    <w:p>
      <w:pPr>
        <w:spacing w:before="160" w:after="80" w:line="276" w:lineRule="auto"/>
      </w:pPr>
      <w:r>
        <w:rPr>
          <w:rFonts w:ascii="Times New Roman" w:hAnsi="Times New Roman"/>
          <w:b/>
          <w:color w:val="000000"/>
          <w:sz w:val="24"/>
        </w:rPr>
        <w:t>6.3 ANALYSIS OF SALIENCY-GUIDED PREPROCESSING</w:t>
      </w:r>
    </w:p>
    <w:p>
      <w:pPr>
        <w:spacing w:before="0" w:after="100" w:line="276" w:lineRule="auto"/>
        <w:jc w:val="both"/>
      </w:pPr>
      <w:r>
        <w:rPr>
          <w:rFonts w:ascii="Times New Roman" w:hAnsi="Times New Roman"/>
          <w:b w:val="0"/>
          <w:i w:val="0"/>
          <w:color w:val="000000"/>
          <w:sz w:val="22"/>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4"/>
        </w:rPr>
        <w:t>6.4 ANALYSIS OF FEATURE EXTRACTION AND PCA DIMENSIONALITY</w:t>
      </w:r>
    </w:p>
    <w:p>
      <w:pPr>
        <w:spacing w:before="0" w:after="100" w:line="276" w:lineRule="auto"/>
        <w:jc w:val="both"/>
      </w:pPr>
      <w:r>
        <w:rPr>
          <w:rFonts w:ascii="Times New Roman" w:hAnsi="Times New Roman"/>
          <w:b w:val="0"/>
          <w:i w:val="0"/>
          <w:color w:val="000000"/>
          <w:sz w:val="22"/>
        </w:rPr>
        <w:t>Principal Component Analysis demonstrates that the first two principal components capture 74.2% of total cumulative variance (PC1 = 52.6%, PC2 = 21.6%). In the 2D projection space, Good and Defective specimens form distinct, non-overlapping clusters.</w:t>
      </w:r>
    </w:p>
    <w:p>
      <w:pPr>
        <w:spacing w:before="80" w:after="80"/>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fig_decision_tree.png"/>
                    <pic:cNvPicPr/>
                  </pic:nvPicPr>
                  <pic:blipFill>
                    <a:blip r:embed="rId26"/>
                    <a:stretch>
                      <a:fillRect/>
                    </a:stretch>
                  </pic:blipFill>
                  <pic:spPr>
                    <a:xfrm>
                      <a:off x="0" y="0"/>
                      <a:ext cx="5303520" cy="2651760"/>
                    </a:xfrm>
                    <a:prstGeom prst="rect"/>
                  </pic:spPr>
                </pic:pic>
              </a:graphicData>
            </a:graphic>
          </wp:inline>
        </w:drawing>
      </w:r>
    </w:p>
    <w:p>
      <w:pPr>
        <w:spacing w:before="80" w:after="160"/>
        <w:jc w:val="center"/>
      </w:pPr>
      <w:r>
        <w:rPr>
          <w:rFonts w:ascii="Times New Roman" w:hAnsi="Times New Roman"/>
          <w:i/>
          <w:sz w:val="21"/>
        </w:rPr>
        <w:t>Fig. 6.1 Explainable Decision Tree classification architecture</w:t>
      </w:r>
    </w:p>
    <w:p>
      <w:pPr>
        <w:spacing w:before="120" w:after="80" w:line="276" w:lineRule="auto"/>
      </w:pPr>
      <w:r>
        <w:rPr>
          <w:rFonts w:ascii="Times New Roman" w:hAnsi="Times New Roman"/>
          <w:b/>
          <w:color w:val="000000"/>
          <w:sz w:val="24"/>
        </w:rPr>
        <w:t>6.5 ANALYSIS OF CLASSIFICATION OUTPUT AND MODEL BENCHMARKING</w:t>
      </w:r>
    </w:p>
    <w:p>
      <w:pPr>
        <w:spacing w:before="0" w:after="100" w:line="276" w:lineRule="auto"/>
        <w:jc w:val="both"/>
      </w:pPr>
      <w:r>
        <w:rPr>
          <w:rFonts w:ascii="Times New Roman" w:hAnsi="Times New Roman"/>
          <w:b w:val="0"/>
          <w:i w:val="0"/>
          <w:color w:val="000000"/>
          <w:sz w:val="22"/>
        </w:rPr>
        <w:t>The white-box Decision Tree achieves 80.2% accuracy with an inference latency of just 2.1 ms. Its initial split on Solidity (threshold = 0.842) cleanly isolates all severe molten droop anomalies.</w:t>
      </w:r>
    </w:p>
    <w:p>
      <w:r>
        <w:br w:type="page"/>
      </w:r>
    </w:p>
    <w:p>
      <w:pPr>
        <w:spacing w:before="0" w:after="80" w:line="276" w:lineRule="auto"/>
      </w:pPr>
      <w:r>
        <w:rPr>
          <w:rFonts w:ascii="Times New Roman" w:hAnsi="Times New Roman"/>
          <w:b/>
          <w:color w:val="000000"/>
          <w:sz w:val="24"/>
        </w:rPr>
        <w:t>6.6 CROSS-PLATFORM STATISTICAL VERIFICATION (MATLAB VS PYTHON)</w:t>
      </w:r>
    </w:p>
    <w:p>
      <w:pPr>
        <w:spacing w:before="0" w:after="100" w:line="276" w:lineRule="auto"/>
        <w:jc w:val="both"/>
      </w:pPr>
      <w:r>
        <w:rPr>
          <w:rFonts w:ascii="Times New Roman" w:hAnsi="Times New Roman"/>
          <w:b w:val="0"/>
          <w:i w:val="0"/>
          <w:color w:val="000000"/>
          <w:sz w:val="22"/>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8"/>
              </w:rPr>
              <w:t>STATISTICAL METRIC</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8"/>
              </w:rPr>
              <w:t>MATLAB ONLINE VALUE</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8"/>
              </w:rPr>
              <w:t>PYTHON OPENCV/SCIPY</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8"/>
              </w:rPr>
              <w:t>ABSOLUTE RESIDUAL</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Mean Pixel Luminance (μ)</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74.8271</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74.8271</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Median Pixel Luminance</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68.0000</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68.0000</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Standard Deviation (σ)</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60.6848</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60.6848</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Pixel Intensity Variance (σ²)</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3682.6405</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3682.6405</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Dynamic Range (Max - Min)</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255.0000</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255.0000</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Mode Intensity (Fixture)</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20.0000</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20.0000</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Intensity Skewness (γ₁)</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0.7761</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0.7761</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Intensity Kurtosis (β₂)</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2.6271</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2.6271</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r>
        <w:tc>
          <w:tcPr>
            <w:tcW w:type="dxa" w:w="316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8"/>
              </w:rPr>
              <w:t>Defective Specimen Mean</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147.6477</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147.6477</w:t>
            </w:r>
          </w:p>
        </w:tc>
        <w:tc>
          <w:tcPr>
            <w:tcW w:type="dxa" w:w="216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8"/>
              </w:rPr>
              <w:t>0.0000 (Exact Match)</w:t>
            </w:r>
          </w:p>
        </w:tc>
      </w:tr>
    </w:tbl>
    <w:p>
      <w:pPr>
        <w:spacing w:before="0" w:after="100" w:line="276" w:lineRule="auto"/>
        <w:jc w:val="both"/>
      </w:pPr>
      <w:r>
        <w:rPr>
          <w:rFonts w:ascii="Times New Roman" w:hAnsi="Times New Roman"/>
          <w:b w:val="0"/>
          <w:i w:val="0"/>
          <w:color w:val="000000"/>
          <w:sz w:val="22"/>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19" name="Picture 19"/>
            <wp:cNvGraphicFramePr>
              <a:graphicFrameLocks noChangeAspect="1"/>
            </wp:cNvGraphicFramePr>
            <a:graphic>
              <a:graphicData uri="http://schemas.openxmlformats.org/drawingml/2006/picture">
                <pic:pic>
                  <pic:nvPicPr>
                    <pic:cNvPr id="0" name="fig_confusion_matrix.png"/>
                    <pic:cNvPicPr/>
                  </pic:nvPicPr>
                  <pic:blipFill>
                    <a:blip r:embed="rId27"/>
                    <a:stretch>
                      <a:fillRect/>
                    </a:stretch>
                  </pic:blipFill>
                  <pic:spPr>
                    <a:xfrm>
                      <a:off x="0" y="0"/>
                      <a:ext cx="5669280" cy="1771650"/>
                    </a:xfrm>
                    <a:prstGeom prst="rect"/>
                  </pic:spPr>
                </pic:pic>
              </a:graphicData>
            </a:graphic>
          </wp:inline>
        </w:drawing>
      </w:r>
    </w:p>
    <w:p>
      <w:pPr>
        <w:spacing w:before="80" w:after="160"/>
        <w:jc w:val="center"/>
      </w:pPr>
      <w:r>
        <w:rPr>
          <w:rFonts w:ascii="Times New Roman" w:hAnsi="Times New Roman"/>
          <w:i/>
          <w:sz w:val="21"/>
        </w:rPr>
        <w:t>Fig. 6.2 MobileNetV3 confusion matrix and model benchmark comparison</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b/>
                <w:sz w:val="19"/>
              </w:rPr>
              <w:t>MODEL</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ACCURACY</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RECALL</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SPECIFICITY</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b/>
                <w:sz w:val="19"/>
              </w:rPr>
              <w:t>LATENCY</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MobileNetV3 Deep Vision</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90.2%</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94.4%</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81.5%</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42.5 ms</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Explainable Decision Tree</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80.2%</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85.2%</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77.8%</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2.1 ms</w:t>
            </w:r>
          </w:p>
        </w:tc>
      </w:tr>
      <w:tr>
        <w:tc>
          <w:tcPr>
            <w:tcW w:type="dxa" w:w="2880"/>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pPr>
            <w:r>
              <w:rPr>
                <w:rFonts w:ascii="Times New Roman" w:hAnsi="Times New Roman"/>
                <w:sz w:val="19"/>
              </w:rPr>
              <w:t>Random Forest (100 Trees)</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74.1%</w:t>
            </w:r>
          </w:p>
        </w:tc>
        <w:tc>
          <w:tcPr>
            <w:tcW w:type="dxa" w:w="1584"/>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77.8%</w:t>
            </w:r>
          </w:p>
        </w:tc>
        <w:tc>
          <w:tcPr>
            <w:tcW w:type="dxa" w:w="1728"/>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72.2%</w:t>
            </w:r>
          </w:p>
        </w:tc>
        <w:tc>
          <w:tcPr>
            <w:tcW w:type="dxa" w:w="1872"/>
            <w:tcMar>
              <w:top w:w="45" w:type="dxa"/>
              <w:bottom w:w="45" w:type="dxa"/>
              <w:left w:w="60" w:type="dxa"/>
              <w:right w:w="60" w:type="dxa"/>
            </w:tcMar>
            <w:tcBorders>
              <w:top w:val="single" w:sz="4" w:space="0" w:color="000000"/>
              <w:bottom w:val="single" w:sz="4" w:space="0" w:color="000000"/>
              <w:left w:val="single" w:sz="4" w:space="0" w:color="000000"/>
              <w:right w:val="single" w:sz="4" w:space="0" w:color="000000"/>
            </w:tcBorders>
          </w:tcPr>
          <w:p>
            <w:pPr>
              <w:spacing w:after="40" w:before="40"/>
              <w:jc w:val="center"/>
            </w:pPr>
            <w:r>
              <w:rPr>
                <w:rFonts w:ascii="Times New Roman" w:hAnsi="Times New Roman"/>
                <w:sz w:val="19"/>
              </w:rPr>
              <w:t>8.6 ms</w:t>
            </w:r>
          </w:p>
        </w:tc>
      </w:tr>
    </w:tbl>
    <w:p>
      <w:pPr>
        <w:spacing w:before="120" w:after="80" w:line="276" w:lineRule="auto"/>
      </w:pPr>
      <w:r>
        <w:rPr>
          <w:rFonts w:ascii="Times New Roman" w:hAnsi="Times New Roman"/>
          <w:b/>
          <w:color w:val="000000"/>
          <w:sz w:val="24"/>
        </w:rPr>
        <w:t>6.7 LIMITATIONS IDENTIFIED</w:t>
      </w:r>
    </w:p>
    <w:p>
      <w:pPr>
        <w:spacing w:before="0" w:after="100" w:line="276" w:lineRule="auto"/>
        <w:jc w:val="both"/>
      </w:pPr>
      <w:r>
        <w:rPr>
          <w:rFonts w:ascii="Times New Roman" w:hAnsi="Times New Roman"/>
          <w:b w:val="0"/>
          <w:i w:val="0"/>
          <w:color w:val="000000"/>
          <w:sz w:val="22"/>
        </w:rPr>
        <w:t>The following limitations were identified during experimental testing:</w:t>
      </w:r>
    </w:p>
    <w:p>
      <w:pPr>
        <w:pStyle w:val="ListBullet"/>
        <w:spacing w:before="0" w:after="60" w:line="276" w:lineRule="auto"/>
        <w:jc w:val="both"/>
      </w:pPr>
      <w:r>
        <w:rPr>
          <w:rFonts w:ascii="Times New Roman" w:hAnsi="Times New Roman"/>
          <w:sz w:val="22"/>
        </w:rPr>
        <w:t>1. Optical surface inspection cannot detect subsurface internal voids or incomplete root penetration.</w:t>
      </w:r>
    </w:p>
    <w:p>
      <w:pPr>
        <w:pStyle w:val="ListBullet"/>
        <w:spacing w:before="0" w:after="60" w:line="276" w:lineRule="auto"/>
        <w:jc w:val="both"/>
      </w:pPr>
      <w:r>
        <w:rPr>
          <w:rFonts w:ascii="Times New Roman" w:hAnsi="Times New Roman"/>
          <w:sz w:val="22"/>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sz w:val="22"/>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sz w:val="22"/>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sz w:val="22"/>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4"/>
        </w:rPr>
        <w:t>6.8 DISCUSSION</w:t>
      </w:r>
    </w:p>
    <w:p>
      <w:pPr>
        <w:spacing w:before="0" w:after="100" w:line="276" w:lineRule="auto"/>
        <w:jc w:val="both"/>
      </w:pPr>
      <w:r>
        <w:rPr>
          <w:rFonts w:ascii="Times New Roman" w:hAnsi="Times New Roman"/>
          <w:b w:val="0"/>
          <w:i w:val="0"/>
          <w:color w:val="000000"/>
          <w:sz w:val="22"/>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2"/>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60" w:after="80" w:line="276" w:lineRule="auto"/>
      </w:pPr>
      <w:r>
        <w:rPr>
          <w:rFonts w:ascii="Times New Roman" w:hAnsi="Times New Roman"/>
          <w:b/>
          <w:color w:val="000000"/>
          <w:sz w:val="24"/>
        </w:rPr>
        <w:t>6.9 COMPARATIVE BENCHMARK RESULTS</w:t>
      </w:r>
    </w:p>
    <w:p>
      <w:pPr>
        <w:spacing w:before="0" w:after="100" w:line="276" w:lineRule="auto"/>
        <w:jc w:val="both"/>
      </w:pPr>
      <w:r>
        <w:rPr>
          <w:rFonts w:ascii="Times New Roman" w:hAnsi="Times New Roman"/>
          <w:b w:val="0"/>
          <w:i w:val="0"/>
          <w:color w:val="000000"/>
          <w:sz w:val="22"/>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2"/>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4"/>
        </w:rPr>
        <w:t>7.1 CONCLUSION</w:t>
      </w:r>
    </w:p>
    <w:p>
      <w:pPr>
        <w:spacing w:before="0" w:after="100" w:line="276" w:lineRule="auto"/>
        <w:jc w:val="both"/>
      </w:pPr>
      <w:r>
        <w:rPr>
          <w:rFonts w:ascii="Times New Roman" w:hAnsi="Times New Roman"/>
          <w:b w:val="0"/>
          <w:i w:val="0"/>
          <w:color w:val="000000"/>
          <w:sz w:val="22"/>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4"/>
        </w:rPr>
        <w:t>7.2 FUTURE SCOPE</w:t>
      </w:r>
    </w:p>
    <w:p>
      <w:pPr>
        <w:spacing w:before="0" w:after="100" w:line="276" w:lineRule="auto"/>
        <w:jc w:val="both"/>
      </w:pPr>
      <w:r>
        <w:rPr>
          <w:rFonts w:ascii="Times New Roman" w:hAnsi="Times New Roman"/>
          <w:b w:val="0"/>
          <w:i w:val="0"/>
          <w:color w:val="000000"/>
          <w:sz w:val="22"/>
        </w:rPr>
        <w:t>The following enhancements are proposed for future development:</w:t>
      </w:r>
    </w:p>
    <w:p>
      <w:pPr>
        <w:pStyle w:val="ListBullet"/>
        <w:spacing w:before="0" w:after="60" w:line="276" w:lineRule="auto"/>
        <w:jc w:val="both"/>
      </w:pPr>
      <w:r>
        <w:rPr>
          <w:rFonts w:ascii="Times New Roman" w:hAnsi="Times New Roman"/>
          <w:sz w:val="22"/>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sz w:val="22"/>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sz w:val="22"/>
        </w:rPr>
        <w:t>3. Robotic Manipulation: Mount the optical sensor onto a 6-axis collaborative robotic arm for 360° circumferential rotor scanning.</w:t>
      </w:r>
    </w:p>
    <w:p>
      <w:pPr>
        <w:pStyle w:val="ListBullet"/>
        <w:spacing w:before="0" w:after="60" w:line="276" w:lineRule="auto"/>
        <w:jc w:val="both"/>
      </w:pPr>
      <w:r>
        <w:rPr>
          <w:rFonts w:ascii="Times New Roman" w:hAnsi="Times New Roman"/>
          <w:sz w:val="22"/>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sz w:val="22"/>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sz w:val="22"/>
        </w:rPr>
        <w:t>6. Digital Twin Integration: Stream inspection telemetry over OPC-UA to the plant-wide SCADA architecture.</w:t>
      </w:r>
    </w:p>
    <w:p>
      <w:pPr>
        <w:pStyle w:val="ListBullet"/>
        <w:spacing w:before="0" w:after="60" w:line="276" w:lineRule="auto"/>
        <w:jc w:val="both"/>
      </w:pPr>
      <w:r>
        <w:rPr>
          <w:rFonts w:ascii="Times New Roman" w:hAnsi="Times New Roman"/>
          <w:sz w:val="22"/>
        </w:rPr>
        <w:t>7. Fleet Telemetry: Deploy federated learning across multiple factory lines to continuously update defect models.</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