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3-tier sorting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Smart weld ROI cropper multi-specimen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studio and AI diagnostic interface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SALIENCY CROPPER MULTI-SPECIMEN ANALYSIS</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the adaptive cropper evaluates local gradient density to center the fusion zone accurately.</w:t>
      </w:r>
    </w:p>
    <w:p>
      <w:pPr>
        <w:spacing w:before="80" w:after="80"/>
        <w:jc w:val="center"/>
      </w:pPr>
      <w:r>
        <w:drawing>
          <wp:inline xmlns:a="http://schemas.openxmlformats.org/drawingml/2006/main" xmlns:pic="http://schemas.openxmlformats.org/drawingml/2006/picture">
            <wp:extent cx="5486400" cy="2618640"/>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486400" cy="2618640"/>
                    </a:xfrm>
                    <a:prstGeom prst="rect"/>
                  </pic:spPr>
                </pic:pic>
              </a:graphicData>
            </a:graphic>
          </wp:inline>
        </w:drawing>
      </w:r>
    </w:p>
    <w:p>
      <w:pPr>
        <w:spacing w:before="60" w:after="120"/>
        <w:jc w:val="center"/>
      </w:pPr>
      <w:r>
        <w:rPr>
          <w:rFonts w:ascii="Times New Roman" w:hAnsi="Times New Roman"/>
          <w:b/>
          <w:i/>
          <w:sz w:val="22"/>
        </w:rPr>
        <w:t>Fig. 4.2 Smart weld ROI cropper multi-specimen comparison</w:t>
      </w:r>
    </w:p>
    <w:p>
      <w:r>
        <w:br w:type="page"/>
      </w:r>
    </w:p>
    <w:p>
      <w:pPr>
        <w:spacing w:before="0" w:after="80" w:line="276" w:lineRule="auto"/>
      </w:pPr>
      <w:r>
        <w:rPr>
          <w:rFonts w:ascii="Times New Roman" w:hAnsi="Times New Roman"/>
          <w:b/>
          <w:color w:val="000000"/>
          <w:sz w:val="26"/>
        </w:rPr>
        <w:t>FULL MOLTEN DROOP ANOMALY BOUNDARY RETENTION</w:t>
      </w:r>
    </w:p>
    <w:p>
      <w:pPr>
        <w:spacing w:before="0" w:after="100" w:line="276" w:lineRule="auto"/>
        <w:jc w:val="both"/>
      </w:pPr>
      <w:r>
        <w:rPr>
          <w:rFonts w:ascii="Times New Roman" w:hAnsi="Times New Roman"/>
          <w:b w:val="0"/>
          <w:i w:val="0"/>
          <w:color w:val="000000"/>
          <w:sz w:val="24"/>
        </w:rPr>
        <w:t>Figure 4.3 demonstrates the critical importance of bounding box inflation. Conventional cropping severs protruding molten dripping defects, falsely inflating solidity metrics. Our adaptive padding margin (+15% horizontal, +25% vertical) guarantees complete droop capture without truncation.</w:t>
      </w:r>
    </w:p>
    <w:p>
      <w:pPr>
        <w:spacing w:before="80" w:after="80"/>
        <w:jc w:val="center"/>
      </w:pPr>
      <w:r>
        <w:drawing>
          <wp:inline xmlns:a="http://schemas.openxmlformats.org/drawingml/2006/main" xmlns:pic="http://schemas.openxmlformats.org/drawingml/2006/picture">
            <wp:extent cx="5303520" cy="2581566"/>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581566"/>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without clipping</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4"/>
        </w:rPr>
        <w:t>4.4.1 Intensity and Density Descriptors:</w:t>
        <w:br/>
        <w:t>- Mean Luminance: mu = (1/N) Sum I_i</w:t>
        <w:br/>
        <w:t>- Standard Deviation: sigma = sqrt[ (1/N) Sum (I_i - mu)^2 ]</w:t>
        <w:br/>
        <w:t>- Intensity Skewness: gamma_1 = (1/N sigma^3) Sum (I_i - mu)^3</w:t>
        <w:br/>
        <w:t>- Intensity Kurtosis: beta_2 = (1/N sigma^4) Sum (I_i - mu)^4</w:t>
        <w:br/>
        <w:t>- Edge Pixel Density: rho = (Count of edge pixels) / (Total ROI Area)</w:t>
      </w:r>
    </w:p>
    <w:p>
      <w:pPr>
        <w:spacing w:before="0" w:after="100" w:line="276" w:lineRule="auto"/>
        <w:jc w:val="both"/>
      </w:pPr>
      <w:r>
        <w:rPr>
          <w:rFonts w:ascii="Times New Roman" w:hAnsi="Times New Roman"/>
          <w:b w:val="0"/>
          <w:i w:val="0"/>
          <w:color w:val="000000"/>
          <w:sz w:val="24"/>
        </w:rPr>
        <w:t>4.4.2 Morphological and Geometric Contours:</w:t>
        <w:br/>
        <w:t>- Contour Area (A) and Perimeter (P)</w:t>
        <w:br/>
        <w:t>- Compactness (Circularity): C = 4*pi*A / P^2</w:t>
        <w:br/>
        <w:t>- Solidity: S = A(Contour) / A(Convex Hull)</w:t>
        <w:br/>
        <w:t>- Aspect Ratio: AR = Width / Height</w:t>
        <w:br/>
        <w:t>- Eccentricity: e = sqrt(1 - b^2 / a^2)</w:t>
      </w:r>
    </w:p>
    <w:p>
      <w:pPr>
        <w:spacing w:before="0" w:after="100" w:line="276" w:lineRule="auto"/>
        <w:jc w:val="both"/>
      </w:pPr>
      <w:r>
        <w:rPr>
          <w:rFonts w:ascii="Times New Roman" w:hAnsi="Times New Roman"/>
          <w:b w:val="0"/>
          <w:i w:val="0"/>
          <w:color w:val="000000"/>
          <w:sz w:val="24"/>
        </w:rPr>
        <w:t>4.4.3 GLCM Haralick Texture Descriptors:</w:t>
        <w:br/>
        <w:t>- Contrast: Sum |i - j|^2 P(i, j)</w:t>
        <w:br/>
        <w:t>- Energy (Angular Second Moment): Sum P(i, j)^2</w:t>
        <w:br/>
        <w:t>- Entropy: -Sum P(i, j) log2(P(i, j))</w:t>
        <w:br/>
        <w:t>- Homogeneity: Sum P(i, j) / (1 + |i - j|)</w:t>
        <w:br/>
        <w:t>- Correlation: Sum (i - mu_i)(j - mu_j) P(i, j) / (sigma_i sigma_j)</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p>
      <w:pPr>
        <w:spacing w:before="80" w:after="120"/>
        <w:ind w:left="576"/>
      </w:pPr>
      <w:r>
        <w:rPr>
          <w:rFonts w:ascii="Times New Roman" w:hAnsi="Times New Roman"/>
          <w:sz w:val="21"/>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DETAILS</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LABEL</w:t>
            </w:r>
          </w:p>
        </w:tc>
        <w:tc>
          <w:tcPr>
            <w:tcW w:type="dxa" w:w="417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SORTING ACTION &amp; INDICATION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 solidity (&gt;0.84), uniform intensity, low GLCM entropy</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GOOD (Accept)</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1: Accept. Route to dynamic rotor balancing line. Green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lack of fusion, localized surface oxidation, slight undercut</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REWORK (Marginal)</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2: Rework. Route to secondary manual TIG welding bay. Amber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Severe molten droop/drip anomaly, deep porosity cluster, structural crack</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SCRAP (Defective)</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Tier 3: Scrap. Reject immediately into metal recovery bin. Red beacon.</w:t>
            </w:r>
          </w:p>
        </w:tc>
      </w:tr>
      <w:tr>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Ambiguous specimen, low confidence consensus across tri-model</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REVIEW</w:t>
            </w:r>
          </w:p>
        </w:tc>
        <w:tc>
          <w:tcPr>
            <w:tcW w:type="dxa" w:w="417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Hold part on indexing table for QA supervisor physical audit. Flashing buzzer.</w:t>
            </w:r>
          </w:p>
        </w:tc>
      </w:tr>
    </w:tbl>
    <w:p>
      <w:pPr>
        <w:spacing w:before="160" w:after="80" w:line="276" w:lineRule="auto"/>
      </w:pPr>
      <w:r>
        <w:rPr>
          <w:rFonts w:ascii="Times New Roman" w:hAnsi="Times New Roman"/>
          <w:b/>
          <w:color w:val="000000"/>
          <w:sz w:val="26"/>
        </w:rPr>
        <w:t>4.7 OUTPUT INDICATION AND REPORT GENERATION</w:t>
      </w:r>
    </w:p>
    <w:p>
      <w:pPr>
        <w:spacing w:before="0" w:after="100" w:line="276" w:lineRule="auto"/>
        <w:jc w:val="both"/>
      </w:pPr>
      <w:r>
        <w:rPr>
          <w:rFonts w:ascii="Times New Roman" w:hAnsi="Times New Roman"/>
          <w:b w:val="0"/>
          <w:i w:val="0"/>
          <w:color w:val="000000"/>
          <w:sz w:val="24"/>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6"/>
        </w:rPr>
        <w:t>4.9 IMPORTANT TECHNICAL OBSERVATIONS</w:t>
      </w:r>
    </w:p>
    <w:p>
      <w:pPr>
        <w:pStyle w:val="ListBullet"/>
        <w:spacing w:before="0" w:after="60" w:line="276" w:lineRule="auto"/>
        <w:jc w:val="both"/>
      </w:pPr>
      <w:r>
        <w:rPr>
          <w:rFonts w:ascii="Times New Roman" w:hAnsi="Times New Roman"/>
          <w:color w:val="000000"/>
          <w:sz w:val="24"/>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color w:val="000000"/>
          <w:sz w:val="24"/>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color w:val="000000"/>
          <w:sz w:val="24"/>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6"/>
        </w:rPr>
        <w:t>4.10 DEEP CONVOLUTIONAL VALIDATION</w:t>
      </w:r>
    </w:p>
    <w:p>
      <w:pPr>
        <w:spacing w:before="0" w:after="100" w:line="276" w:lineRule="auto"/>
        <w:jc w:val="both"/>
      </w:pPr>
      <w:r>
        <w:rPr>
          <w:rFonts w:ascii="Times New Roman" w:hAnsi="Times New Roman"/>
          <w:b w:val="0"/>
          <w:i w:val="0"/>
          <w:color w:val="000000"/>
          <w:sz w:val="24"/>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4"/>
        </w:rPr>
        <w:t>The mathematical formulations for 1D spatial intensity profiling are defined by:</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6"/>
        </w:rPr>
        <w:t>WEB INSPECTION STUDIO AND AI DIAGNOSTIC DASHBOARD</w:t>
      </w:r>
    </w:p>
    <w:p>
      <w:pPr>
        <w:spacing w:before="0" w:after="100" w:line="276" w:lineRule="auto"/>
        <w:jc w:val="both"/>
      </w:pPr>
      <w:r>
        <w:rPr>
          <w:rFonts w:ascii="Times New Roman" w:hAnsi="Times New Roman"/>
          <w:b w:val="0"/>
          <w:i w:val="0"/>
          <w:color w:val="000000"/>
          <w:sz w:val="24"/>
        </w:rPr>
        <w:t>Figure 5.1 illustrates the responsive HTML5/JavaScript web inspection studio developed for operational deployment. The interface provides interactive canvas ROI verification, real-time diagnostic feature display, multi-model consensus readouts, and one-click ISO certificate generation.</w:t>
      </w:r>
    </w:p>
    <w:p>
      <w:pPr>
        <w:spacing w:before="80" w:after="80"/>
        <w:jc w:val="center"/>
      </w:pPr>
      <w:r>
        <w:drawing>
          <wp:inline xmlns:a="http://schemas.openxmlformats.org/drawingml/2006/main" xmlns:pic="http://schemas.openxmlformats.org/drawingml/2006/picture">
            <wp:extent cx="5669280" cy="4041577"/>
            <wp:docPr id="12" name="Picture 12"/>
            <wp:cNvGraphicFramePr>
              <a:graphicFrameLocks noChangeAspect="1"/>
            </wp:cNvGraphicFramePr>
            <a:graphic>
              <a:graphicData uri="http://schemas.openxmlformats.org/drawingml/2006/picture">
                <pic:pic>
                  <pic:nvPicPr>
                    <pic:cNvPr id="0" name="fig_web_dashboard.png"/>
                    <pic:cNvPicPr/>
                  </pic:nvPicPr>
                  <pic:blipFill>
                    <a:blip r:embed="rId20"/>
                    <a:stretch>
                      <a:fillRect/>
                    </a:stretch>
                  </pic:blipFill>
                  <pic:spPr>
                    <a:xfrm>
                      <a:off x="0" y="0"/>
                      <a:ext cx="5669280" cy="4041577"/>
                    </a:xfrm>
                    <a:prstGeom prst="rect"/>
                  </pic:spPr>
                </pic:pic>
              </a:graphicData>
            </a:graphic>
          </wp:inline>
        </w:drawing>
      </w:r>
    </w:p>
    <w:p>
      <w:pPr>
        <w:spacing w:before="60" w:after="120"/>
        <w:jc w:val="center"/>
      </w:pPr>
      <w:r>
        <w:rPr>
          <w:rFonts w:ascii="Times New Roman" w:hAnsi="Times New Roman"/>
          <w:b/>
          <w:i/>
          <w:sz w:val="22"/>
        </w:rPr>
        <w:t>Fig. 5.1 Web inspection studio and AI diagnostic interface</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3" name="Picture 13"/>
            <wp:cNvGraphicFramePr>
              <a:graphicFrameLocks noChangeAspect="1"/>
            </wp:cNvGraphicFramePr>
            <a:graphic>
              <a:graphicData uri="http://schemas.openxmlformats.org/drawingml/2006/picture">
                <pic:pic>
                  <pic:nvPicPr>
                    <pic:cNvPr id="0" name="fig_feature_distribution.png"/>
                    <pic:cNvPicPr/>
                  </pic:nvPicPr>
                  <pic:blipFill>
                    <a:blip r:embed="rId21"/>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4" name="Picture 14"/>
            <wp:cNvGraphicFramePr>
              <a:graphicFrameLocks noChangeAspect="1"/>
            </wp:cNvGraphicFramePr>
            <a:graphic>
              <a:graphicData uri="http://schemas.openxmlformats.org/drawingml/2006/picture">
                <pic:pic>
                  <pic:nvPicPr>
                    <pic:cNvPr id="0" name="fig_pca_clusters.png"/>
                    <pic:cNvPicPr/>
                  </pic:nvPicPr>
                  <pic:blipFill>
                    <a:blip r:embed="rId22"/>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5" name="Picture 15"/>
            <wp:cNvGraphicFramePr>
              <a:graphicFrameLocks noChangeAspect="1"/>
            </wp:cNvGraphicFramePr>
            <a:graphic>
              <a:graphicData uri="http://schemas.openxmlformats.org/drawingml/2006/picture">
                <pic:pic>
                  <pic:nvPicPr>
                    <pic:cNvPr id="0" name="fig_pca_loadings.png"/>
                    <pic:cNvPicPr/>
                  </pic:nvPicPr>
                  <pic:blipFill>
                    <a:blip r:embed="rId23"/>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6" name="Picture 16"/>
            <wp:cNvGraphicFramePr>
              <a:graphicFrameLocks noChangeAspect="1"/>
            </wp:cNvGraphicFramePr>
            <a:graphic>
              <a:graphicData uri="http://schemas.openxmlformats.org/drawingml/2006/picture">
                <pic:pic>
                  <pic:nvPicPr>
                    <pic:cNvPr id="0" name="fig_correlation_matrix.png"/>
                    <pic:cNvPicPr/>
                  </pic:nvPicPr>
                  <pic:blipFill>
                    <a:blip r:embed="rId24"/>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7" name="Picture 17"/>
            <wp:cNvGraphicFramePr>
              <a:graphicFrameLocks noChangeAspect="1"/>
            </wp:cNvGraphicFramePr>
            <a:graphic>
              <a:graphicData uri="http://schemas.openxmlformats.org/drawingml/2006/picture">
                <pic:pic>
                  <pic:nvPicPr>
                    <pic:cNvPr id="0" name="matlab_bad_rotor_mean.jpg"/>
                    <pic:cNvPicPr/>
                  </pic:nvPicPr>
                  <pic:blipFill>
                    <a:blip r:embed="rId25"/>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8" name="Picture 18"/>
            <wp:cNvGraphicFramePr>
              <a:graphicFrameLocks noChangeAspect="1"/>
            </wp:cNvGraphicFramePr>
            <a:graphic>
              <a:graphicData uri="http://schemas.openxmlformats.org/drawingml/2006/picture">
                <pic:pic>
                  <pic:nvPicPr>
                    <pic:cNvPr id="0" name="matlab_good_rotor_stats_rgb.jpg"/>
                    <pic:cNvPicPr/>
                  </pic:nvPicPr>
                  <pic:blipFill>
                    <a:blip r:embed="rId26"/>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histogram.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0" name="Picture 20"/>
            <wp:cNvGraphicFramePr>
              <a:graphicFrameLocks noChangeAspect="1"/>
            </wp:cNvGraphicFramePr>
            <a:graphic>
              <a:graphicData uri="http://schemas.openxmlformats.org/drawingml/2006/picture">
                <pic:pic>
                  <pic:nvPicPr>
                    <pic:cNvPr id="0" name="matlab_good_row_mean.jpg"/>
                    <pic:cNvPicPr/>
                  </pic:nvPicPr>
                  <pic:blipFill>
                    <a:blip r:embed="rId28"/>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1" name="Picture 21"/>
            <wp:cNvGraphicFramePr>
              <a:graphicFrameLocks noChangeAspect="1"/>
            </wp:cNvGraphicFramePr>
            <a:graphic>
              <a:graphicData uri="http://schemas.openxmlformats.org/drawingml/2006/picture">
                <pic:pic>
                  <pic:nvPicPr>
                    <pic:cNvPr id="0" name="matlab_good_col_mean.jpg"/>
                    <pic:cNvPicPr/>
                  </pic:nvPicPr>
                  <pic:blipFill>
                    <a:blip r:embed="rId29"/>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2" name="Picture 22"/>
            <wp:cNvGraphicFramePr>
              <a:graphicFrameLocks noChangeAspect="1"/>
            </wp:cNvGraphicFramePr>
            <a:graphic>
              <a:graphicData uri="http://schemas.openxmlformats.org/drawingml/2006/picture">
                <pic:pic>
                  <pic:nvPicPr>
                    <pic:cNvPr id="0" name="matlab_good_row_std.jpg"/>
                    <pic:cNvPicPr/>
                  </pic:nvPicPr>
                  <pic:blipFill>
                    <a:blip r:embed="rId30"/>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3" name="Picture 23"/>
            <wp:cNvGraphicFramePr>
              <a:graphicFrameLocks noChangeAspect="1"/>
            </wp:cNvGraphicFramePr>
            <a:graphic>
              <a:graphicData uri="http://schemas.openxmlformats.org/drawingml/2006/picture">
                <pic:pic>
                  <pic:nvPicPr>
                    <pic:cNvPr id="0" name="matlab_good_col_std.jpg"/>
                    <pic:cNvPicPr/>
                  </pic:nvPicPr>
                  <pic:blipFill>
                    <a:blip r:embed="rId31"/>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4" name="Picture 24"/>
            <wp:cNvGraphicFramePr>
              <a:graphicFrameLocks noChangeAspect="1"/>
            </wp:cNvGraphicFramePr>
            <a:graphic>
              <a:graphicData uri="http://schemas.openxmlformats.org/drawingml/2006/picture">
                <pic:pic>
                  <pic:nvPicPr>
                    <pic:cNvPr id="0" name="fig_decision_tree.png"/>
                    <pic:cNvPicPr/>
                  </pic:nvPicPr>
                  <pic:blipFill>
                    <a:blip r:embed="rId32"/>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5" name="Picture 25"/>
            <wp:cNvGraphicFramePr>
              <a:graphicFrameLocks noChangeAspect="1"/>
            </wp:cNvGraphicFramePr>
            <a:graphic>
              <a:graphicData uri="http://schemas.openxmlformats.org/drawingml/2006/picture">
                <pic:pic>
                  <pic:nvPicPr>
                    <pic:cNvPr id="0" name="fig_confusion_matrix.png"/>
                    <pic:cNvPicPr/>
                  </pic:nvPicPr>
                  <pic:blipFill>
                    <a:blip r:embed="rId33"/>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