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Unsupervised 2D PCA confirms cluster separation, with PC1 and PC2 explaining 74.2% of cumulative variance.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ISO 9001:2015 audit compliance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 and insights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 (MobileNetV3)</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&amp; image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script implementations and statistical profiling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feature extraction and PCA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decision logic and automated quality reporting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Laboratory experimental setup and optical rotor inspection test bench</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2D Principal Component Analysis (PCA) cluster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PCA feature loading vectors biplot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formulation of the 15 extracted visual feature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Computed MATLAB statistical moments and spatial signal distribution metrics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experimental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Comprehensive subsystem test record (Parts 1 &amp; 2)</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2D Principal Component Analysis (PCA).</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and benchmark a Random Forest ensemble and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exploratory dimensionality reduction,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1"/>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2"/>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rotor weld defect inspection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AI Defect Detection - The system extracts 15 physical descriptors (intensity, contour shape, and GLCM surface texture) and feeds them to an explainable Decision Tree, Random Forest ensemble, and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3"/>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4"/>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5"/>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2D PCA, Decision Tree, and Random Forest ensemble.</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6"/>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Tri-model classification consensus between Decision Tree, Random Forest,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7"/>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8"/>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desk reflections and tooth slots. For defective specimens (Specimen D-01) with irregular weld sags, the algorithm automatically adjusts boundary limits, ensuring that all anomaly structures are retained. This adaptive bounding capability provides scale-normalized image tensors for downstream feature extraction.</w:t>
      </w:r>
    </w:p>
    <w:p>
      <w:r>
        <w:br w:type="page"/>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19"/>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along the radial axis).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 to characterize the physical soundness of the rotor weld joint. Table 4.4 details the mathematical formulation and physical inspection significance of each extracted feature.</w:t>
      </w:r>
    </w:p>
    <w:p>
      <w:pPr>
        <w:spacing w:before="80" w:after="80" w:line="276" w:lineRule="auto"/>
      </w:pPr>
      <w:r>
        <w:rPr>
          <w:rFonts w:ascii="Times New Roman" w:hAnsi="Times New Roman"/>
          <w:b/>
          <w:color w:val="000000"/>
          <w:sz w:val="22"/>
        </w:rPr>
        <w:t>Table 4.4 Mathematical formulation and physical significance of the 15 extracted visual feature descriptors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DESCRIPTOR &amp; SYMBOL</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MATHEMATICAL FORMULATION</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1: Statistical Intensity &amp; Density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 Mean Luminance (mu)</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 = (1/N) Sum I_i</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Baseline surface reflectance &amp; copper shine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f2: Standard Deviation (sigma)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sigma = sqrt[ (1/N) Sum (I_i - mu)^2 ]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&amp; local intensity variations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f3: Intensity Skewness (gamma_1)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gamma_1 = (1/N sigma^3) Sum (I_i - mu)^3</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asymmetry (shadows vs. bright glints)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f4: Intensity Kurtosis (beta_2)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beta_2 = (1/N sigma^4) Sum (I_i - mu)^4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Sharp spatter peaks &amp; steep porosity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f5: Edge Pixel Density (rho)</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rho = N_edge / N_total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Boundary sharpness &amp; edge discontinuity ratio</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2: Morphological &amp; Geometric Contour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f6: Contour Area (A)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 = Sum 1 for (x, y) in Contour</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Total enclosed physical area of weld fusion zone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f7: Contour Perimeter (P)</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 = Sum ds along boundary</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Circumferential boundary length of weld seam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f8: Compactness (Circularity)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 = 4*pi*A / P^2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Circular symmetry &amp; uniform circular bead shape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f9: Solidity (S)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 = A(Contour) / A(Convex Hull)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Detects protruding molten droops &amp; severe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f10: Eccentricity (e)</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 = sqrt[ 1 - (b^2 / a^2)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Oblong deformation &amp; elliptical weld distortion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3: GLCM Haralick Texture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f11: GLCM Contrast</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 - j|^2 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micro-roughness &amp; bead ripple ridges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f12: GLCM Energy (ASM)</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Textural uniformity across fusion boundary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f13: GLCM Entropy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 Sum P(i, j) log2(P(i,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Chaotic disorder, roughness &amp; micro-porosity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f14: GLCM Homogeneity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 / (1 + |i -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Closeness of distribution to diagonal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f15: GLCM Correlation</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(i-mu_i)(j-mu_j)P(i,j) / (sigma_i sigma_j)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Linear structural pattern along weld seam axis</w:t>
            </w:r>
          </w:p>
        </w:tc>
      </w:tr>
    </w:tbl>
    <w:p>
      <w:pPr>
        <w:spacing w:before="0" w:after="100" w:line="276" w:lineRule="auto"/>
        <w:jc w:val="both"/>
      </w:pPr>
      <w:r>
        <w:rPr>
          <w:rFonts w:ascii="Times New Roman" w:hAnsi="Times New Roman"/>
          <w:b w:val="0"/>
          <w:i w:val="0"/>
          <w:color w:val="000000"/>
          <w:sz w:val="24"/>
        </w:rPr>
        <w:t>These 15 numerical features serve as the standardized input vector for Principal Component Analysis (PCA) and subsequent machine learning classification models.</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tbl>
      <w:tblPr>
        <w:tblW w:type="auto" w:w="0"/>
        <w:tblLook w:firstColumn="1" w:firstRow="1" w:lastColumn="0" w:lastRow="0" w:noHBand="0" w:noVBand="1" w:val="04A0"/>
      </w:tblPr>
      <w:tblGrid>
        <w:gridCol w:w="9749"/>
      </w:tblGrid>
      <w:tr>
        <w:tc>
          <w:tcPr>
            <w:tcW w:type="dxa" w:w="9749"/>
            <w:shd w:fill="F6F8FA"/>
            <w:tcBorders>
              <w:top w:val="single" w:sz="4" w:space="0" w:color="D0D7DE"/>
              <w:left w:val="single" w:sz="24" w:space="0" w:color="1F4E79"/>
              <w:bottom w:val="single" w:sz="4" w:space="0" w:color="D0D7DE"/>
              <w:right w:val="single" w:sz="4" w:space="0" w:color="D0D7DE"/>
            </w:tcBorders>
          </w:tcPr>
          <w:p>
            <w:pPr>
              <w:spacing w:before="0" w:after="30" w:line="276" w:lineRule="auto"/>
            </w:pPr>
            <w:r>
              <w:rPr>
                <w:rFonts w:ascii="Consolas" w:hAnsi="Consolas"/>
                <w:b w:val="0"/>
                <w:i/>
                <w:color w:val="6A737D"/>
                <w:sz w:val="19"/>
              </w:rPr>
              <w:t>// Embedded Decision Tree Classification Logic</w:t>
            </w:r>
          </w:p>
          <w:p>
            <w:pPr>
              <w:spacing w:before="0" w:after="30" w:line="276" w:lineRule="auto"/>
            </w:pPr>
            <w:r>
              <w:rPr>
                <w:rFonts w:ascii="Consolas" w:hAnsi="Consolas"/>
                <w:b/>
                <w:i w:val="0"/>
                <w:color w:val="D73A49"/>
                <w:sz w:val="19"/>
              </w:rPr>
              <w:t>if</w:t>
            </w:r>
            <w:r>
              <w:rPr>
                <w:rFonts w:ascii="Consolas" w:hAnsi="Consolas"/>
                <w:b w:val="0"/>
                <w:i w:val="0"/>
                <w:color w:val="24292E"/>
                <w:sz w:val="19"/>
              </w:rPr>
              <w:t xml:space="preserve"> (</w:t>
            </w:r>
            <w:r>
              <w:rPr>
                <w:rFonts w:ascii="Consolas" w:hAnsi="Consolas"/>
                <w:b w:val="0"/>
                <w:i w:val="0"/>
                <w:color w:val="005CC5"/>
                <w:sz w:val="19"/>
              </w:rPr>
              <w:t>solidity</w:t>
            </w:r>
            <w:r>
              <w:rPr>
                <w:rFonts w:ascii="Consolas" w:hAnsi="Consolas"/>
                <w:b w:val="0"/>
                <w:i w:val="0"/>
                <w:color w:val="D73A49"/>
                <w:sz w:val="19"/>
              </w:rPr>
              <w:t xml:space="preserve"> &lt;= </w:t>
            </w:r>
            <w:r>
              <w:rPr>
                <w:rFonts w:ascii="Consolas" w:hAnsi="Consolas"/>
                <w:b/>
                <w:i w:val="0"/>
                <w:color w:val="005FB8"/>
                <w:sz w:val="19"/>
              </w:rPr>
              <w:t>0.842</w:t>
            </w:r>
            <w:r>
              <w:rPr>
                <w:rFonts w:ascii="Consolas" w:hAnsi="Consolas"/>
                <w:b w:val="0"/>
                <w:i w:val="0"/>
                <w:color w:val="24292E"/>
                <w:sz w:val="19"/>
              </w:rPr>
              <w:t>)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glcm_entropy</w:t>
            </w:r>
            <w:r>
              <w:rPr>
                <w:rFonts w:ascii="Consolas" w:hAnsi="Consolas"/>
                <w:b w:val="0"/>
                <w:i w:val="0"/>
                <w:color w:val="D73A49"/>
                <w:sz w:val="19"/>
              </w:rPr>
              <w:t xml:space="preserve"> &gt; </w:t>
            </w:r>
            <w:r>
              <w:rPr>
                <w:rFonts w:ascii="Consolas" w:hAnsi="Consolas"/>
                <w:b/>
                <w:i w:val="0"/>
                <w:color w:val="005FB8"/>
                <w:sz w:val="19"/>
              </w:rPr>
              <w:t>4.621</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B71C1C"/>
                <w:sz w:val="19"/>
              </w:rPr>
              <w:t>"DEFECTIVE (Molten Drip / Porosity)"</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B71C1C"/>
                <w:sz w:val="19"/>
              </w:rPr>
              <w:t>TIER_3_SCRAP</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(Cold Joint / Incomplete Fusion)"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 xml:space="preserve">}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mean_intensity</w:t>
            </w:r>
            <w:r>
              <w:rPr>
                <w:rFonts w:ascii="Consolas" w:hAnsi="Consolas"/>
                <w:b w:val="0"/>
                <w:i w:val="0"/>
                <w:color w:val="D73A49"/>
                <w:sz w:val="19"/>
              </w:rPr>
              <w:t xml:space="preserve"> &gt;= </w:t>
            </w:r>
            <w:r>
              <w:rPr>
                <w:rFonts w:ascii="Consolas" w:hAnsi="Consolas"/>
                <w:b/>
                <w:i w:val="0"/>
                <w:color w:val="005FB8"/>
                <w:sz w:val="19"/>
              </w:rPr>
              <w:t>118.4</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1B5E20"/>
                <w:sz w:val="19"/>
              </w:rPr>
              <w:t>"GOOD (Uniform Fusion Seam)"</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1B5E20"/>
                <w:sz w:val="19"/>
              </w:rPr>
              <w:t>TIER_1_ACCEPT</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(Oxidized Discoloration)"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w:t>
            </w:r>
          </w:p>
        </w:tc>
      </w:tr>
    </w:tbl>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In modern electrified powertrain manufacturing, a simplistic binary pass/fail decision is commercially unacceptable. Discarding a precision-machined rotor core assembly due to a minor, easily fixable surface irregularity leads to severe material wastage and inflated production costs. Conversely, permitting a structurally flawed weld joint to enter the motor assembly line risks disastrous high-speed mechanical failure, severe centrifugal unbalance, and costly field recalls.</w:t>
      </w:r>
    </w:p>
    <w:p>
      <w:pPr>
        <w:spacing w:before="0" w:after="100" w:line="276" w:lineRule="auto"/>
        <w:jc w:val="both"/>
      </w:pPr>
      <w:r>
        <w:rPr>
          <w:rFonts w:ascii="Times New Roman" w:hAnsi="Times New Roman"/>
          <w:b w:val="0"/>
          <w:i w:val="0"/>
          <w:color w:val="000000"/>
          <w:sz w:val="24"/>
        </w:rPr>
        <w:t>To satisfy industrial lean manufacturing principles, the automated inspection engine maps the visual feature descriptors and classification decisions into three actionable operational tiers (Table 4.6):</w:t>
      </w:r>
    </w:p>
    <w:tbl>
      <w:tblPr>
        <w:tblW w:type="auto" w:w="0"/>
        <w:jc w:val="center"/>
        <w:tblLook w:firstColumn="1" w:firstRow="1" w:lastColumn="0" w:lastRow="0" w:noHBand="0" w:noVBand="1" w:val="04A0"/>
      </w:tblPr>
      <w:tblGrid>
        <w:gridCol w:w="3250"/>
        <w:gridCol w:w="3250"/>
        <w:gridCol w:w="3250"/>
      </w:tblGrid>
      <w:tr>
        <w:tc>
          <w:tcPr>
            <w:tcW w:type="dxa" w:w="34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CRITERIA</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TIER</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SHOP-FLOOR ACTION &amp; SIGNAL</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&gt;= 0.84, uniform intensity (mu &gt;= 118.4), low GLCM entropy (&lt;= 4.62)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1:</w:t>
              <w:br/>
              <w:t>ACCEPT</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without restriction. Direct pass to dynamic rotor balancing line and motor assembly. Continuous Green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moderate entropy (&lt;= 4.62), localized surface oxidation, cold lap</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2:</w:t>
              <w:br/>
              <w:t>REWORK</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Reworkable surface flaw. Pneumatic gate diverts rotor to manual TIG touch-up bay (saves ~60% unit cost). Amber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high entropy (&gt; 4.62), severe molten droop, deep porosity, crack</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3:</w:t>
              <w:br/>
              <w:t>SCRAP</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Fatal structural defect. Eject immediately via drop chute to metal recovery and recycling bin. Red tower beacon &amp; siren alert.</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confidence scores, ambiguous boundary or tri-model conflict</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w:t>
              <w:br/>
              <w:t>REVIEW</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Quality hold. Indexing table pauses part for QA supervisor physical audit and microscopic verification. Pulsing alert buzzer.</w:t>
            </w:r>
          </w:p>
        </w:tc>
      </w:tr>
    </w:tbl>
    <w:p>
      <w:pPr>
        <w:spacing w:before="80" w:after="80"/>
        <w:jc w:val="center"/>
      </w:pPr>
      <w:r>
        <w:drawing>
          <wp:inline xmlns:a="http://schemas.openxmlformats.org/drawingml/2006/main" xmlns:pic="http://schemas.openxmlformats.org/drawingml/2006/picture">
            <wp:extent cx="5852160" cy="3195860"/>
            <wp:docPr id="12" name="Picture 12"/>
            <wp:cNvGraphicFramePr>
              <a:graphicFrameLocks noChangeAspect="1"/>
            </wp:cNvGraphicFramePr>
            <a:graphic>
              <a:graphicData uri="http://schemas.openxmlformats.org/drawingml/2006/picture">
                <pic:pic>
                  <pic:nvPicPr>
                    <pic:cNvPr id="0" name="fig_sorting_and_reporting_pipeline.png"/>
                    <pic:cNvPicPr/>
                  </pic:nvPicPr>
                  <pic:blipFill>
                    <a:blip r:embed="rId20"/>
                    <a:stretch>
                      <a:fillRect/>
                    </a:stretch>
                  </pic:blipFill>
                  <pic:spPr>
                    <a:xfrm>
                      <a:off x="0" y="0"/>
                      <a:ext cx="5852160" cy="3195860"/>
                    </a:xfrm>
                    <a:prstGeom prst="rect"/>
                  </pic:spPr>
                </pic:pic>
              </a:graphicData>
            </a:graphic>
          </wp:inline>
        </w:drawing>
      </w:r>
    </w:p>
    <w:p>
      <w:pPr>
        <w:spacing w:before="60" w:after="120"/>
        <w:jc w:val="center"/>
      </w:pPr>
      <w:r>
        <w:rPr>
          <w:rFonts w:ascii="Times New Roman" w:hAnsi="Times New Roman"/>
          <w:b/>
          <w:i/>
          <w:sz w:val="22"/>
        </w:rPr>
        <w:t>Fig. 4.4 Industrial 3-tier sorting decision logic and automated quality reporting pipeline</w:t>
      </w:r>
    </w:p>
    <w:p>
      <w:r>
        <w:br w:type="page"/>
      </w:r>
    </w:p>
    <w:p>
      <w:pPr>
        <w:spacing w:before="0" w:after="80" w:line="276" w:lineRule="auto"/>
      </w:pPr>
      <w:r>
        <w:rPr>
          <w:rFonts w:ascii="Times New Roman" w:hAnsi="Times New Roman"/>
          <w:b/>
          <w:color w:val="000000"/>
          <w:sz w:val="26"/>
        </w:rPr>
        <w:t>4.7 OUTPUT INDICATION AND ISO 9001:2015 AUDIT COMPLIANCE</w:t>
      </w:r>
    </w:p>
    <w:p>
      <w:pPr>
        <w:spacing w:before="0" w:after="100" w:line="276" w:lineRule="auto"/>
        <w:jc w:val="both"/>
      </w:pPr>
      <w:r>
        <w:rPr>
          <w:rFonts w:ascii="Times New Roman" w:hAnsi="Times New Roman"/>
          <w:b w:val="0"/>
          <w:i w:val="0"/>
          <w:color w:val="000000"/>
          <w:sz w:val="24"/>
        </w:rPr>
        <w:t>Upon completing tier classification, the cyber-physical station executes dual real-time output actions (Fig. 4.4): (1) Visual feedback via an interactive HTML5 web canvas with color-coded bounding boxes (Green for Accept, Amber for Rework, Red for Scrap) and digital I/O trigger signals driving shop-floor sorting gates, and (2) Automated generation of immutable ISO 9001:2015 inspection certificates in PDF format. Each batch report logs timestamps, specimen serial ID, operator credentials, and extracted feature telemetry. A 256-bit cryptographic digest (SHA-256) is mathematically embedded in the report header, ensuring that any subsequent manual alteration immediately invalidates the hash, guaranteeing 100% tamper-proof traceability for regulatory quality audits.</w:t>
      </w:r>
    </w:p>
    <w:p>
      <w:pPr>
        <w:spacing w:before="8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3.11/3.14 utilizing an asynchronous Flask web server designed for low-latency edge deployment on standard industrial PCs without external cloud dependencies. The integrated pipeline links: (i) Mobile/optical camera image ingest, (ii) Saliency-guided Sobel edge detection and adaptive annular cropping, (iii) Fast mathematical extraction of 15 visual features, (iv) Decision Tree classification and tier mapping within 48.2 ms, (v) Real-time web canvas telemetry rendering, and (vi) Automated PDF certificate generation with SHA-256 cryptographic signing.</w:t>
      </w:r>
    </w:p>
    <w:p>
      <w:pPr>
        <w:spacing w:before="80" w:after="80" w:line="276" w:lineRule="auto"/>
      </w:pPr>
      <w:r>
        <w:rPr>
          <w:rFonts w:ascii="Times New Roman" w:hAnsi="Times New Roman"/>
          <w:b/>
          <w:color w:val="000000"/>
          <w:sz w:val="26"/>
        </w:rPr>
        <w:t>4.9 IMPORTANT TECHNICAL OBSERVATIONS AND ENGINEERING INSIGHTS</w:t>
      </w:r>
    </w:p>
    <w:p>
      <w:pPr>
        <w:pStyle w:val="ListBullet"/>
        <w:spacing w:before="0" w:after="60" w:line="276" w:lineRule="auto"/>
        <w:jc w:val="both"/>
      </w:pPr>
      <w:r>
        <w:rPr>
          <w:rFonts w:ascii="Times New Roman" w:hAnsi="Times New Roman"/>
          <w:color w:val="000000"/>
          <w:sz w:val="24"/>
        </w:rPr>
        <w:t>Bounding Box Expansion (+15% H, +25% V): Mandatory requirement. Unpadded bounding boxes clipped 42% of severe molten droplet anomalies protruding beyond the nominal seam. Clipping artificially raised solidity from 0.72 to 0.88, causing defective specimens to be misclassified as sound welds.</w:t>
      </w:r>
    </w:p>
    <w:p>
      <w:pPr>
        <w:pStyle w:val="ListBullet"/>
        <w:spacing w:before="0" w:after="60" w:line="276" w:lineRule="auto"/>
        <w:jc w:val="both"/>
      </w:pPr>
      <w:r>
        <w:rPr>
          <w:rFonts w:ascii="Times New Roman" w:hAnsi="Times New Roman"/>
          <w:color w:val="000000"/>
          <w:sz w:val="24"/>
        </w:rPr>
        <w:t>GLCM Energy and Entropy Collinearity: Haralick Energy (uniformity) and Entropy (surface chaos) exhibited strong negative Pearson correlation (r = -0.94). This provides robust self-checking validation: sound welds exhibit high energy and low entropy, whereas defective seams exhibit low energy and high entropy.</w:t>
      </w:r>
    </w:p>
    <w:p>
      <w:pPr>
        <w:pStyle w:val="ListBullet"/>
        <w:spacing w:before="0" w:after="60" w:line="276" w:lineRule="auto"/>
        <w:jc w:val="both"/>
      </w:pPr>
      <w:r>
        <w:rPr>
          <w:rFonts w:ascii="Times New Roman" w:hAnsi="Times New Roman"/>
          <w:color w:val="000000"/>
          <w:sz w:val="24"/>
        </w:rPr>
        <w:t>Impact of Saliency Cropping on Deep Learning: MobileNetV3-Small transfer learning achieved a +16.1% classification accuracy gain when trained on saliency-cropped weld seams over raw uncropped frames, proving that eliminating background clutter is essential for neural feature learning.</w:t>
      </w:r>
    </w:p>
    <w:p>
      <w:pPr>
        <w:spacing w:before="80" w:after="80" w:line="276" w:lineRule="auto"/>
      </w:pPr>
      <w:r>
        <w:rPr>
          <w:rFonts w:ascii="Times New Roman" w:hAnsi="Times New Roman"/>
          <w:b/>
          <w:color w:val="000000"/>
          <w:sz w:val="26"/>
        </w:rPr>
        <w:t>4.10 DEEP CONVOLUTIONAL VALIDATION (MOBILENETV3)</w:t>
      </w:r>
    </w:p>
    <w:p>
      <w:pPr>
        <w:spacing w:before="0" w:after="100" w:line="276" w:lineRule="auto"/>
        <w:jc w:val="both"/>
      </w:pPr>
      <w:r>
        <w:rPr>
          <w:rFonts w:ascii="Times New Roman" w:hAnsi="Times New Roman"/>
          <w:b w:val="0"/>
          <w:i w:val="0"/>
          <w:color w:val="000000"/>
          <w:sz w:val="24"/>
        </w:rPr>
        <w:t>While hand-crafted mathematical descriptors (Section 4.4) provide rapid, explainable decision rules, they are constrained by fixed geometric formulas. To establish multi-tiered verification, a lightweight deep convolutional neural network (MobileNetV3-Small) was fine-tuned on the annotated rotor seam dataset. Operating directly on raw normalized pixel matrices, MobileNetV3 extracts hierarchical spatial representations through depthwise separable convolutions. Acting as an independent 'second opinion' validator, when both the Decision Tree and MobileNetV3 concur, classification confidence exceeds 99.2%, virtually eliminating false acceptances.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Before deploying machine learning classifiers or training neural networks, it is essential to understand the raw optical signal characteristics of the rotor specimen. In this foundational phase, exploratory signal and image processing routines were executed in MATLAB Online (matlab.mathworks.com) to examine luminance distributions, boundary gradients, and spatial intensity profiles. The 2D camera image is treated as a discrete optical intensity matrix I(r, c), where r denotes the radial row coordinate and c denotes the tangential column coordinate.</w:t>
      </w:r>
    </w:p>
    <w:p>
      <w:pPr>
        <w:spacing w:before="0" w:after="100" w:line="276" w:lineRule="auto"/>
        <w:jc w:val="both"/>
      </w:pPr>
      <w:r>
        <w:rPr>
          <w:rFonts w:ascii="Times New Roman" w:hAnsi="Times New Roman"/>
          <w:b w:val="0"/>
          <w:i w:val="0"/>
          <w:color w:val="000000"/>
          <w:sz w:val="24"/>
        </w:rPr>
        <w:t>To establish empirical segmentation thresholds between the dark background fixture and the highly reflective metallic weld seam, the 2D image matrix is decomposed into 1D directional signal waveforms:</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Table 4.11 summarizes the global statistical moments computed in MATLAB Online for representative sound (G-01) and defective (D-01) rotor specimens, providing empirical validation for feature thresholds:</w:t>
      </w:r>
    </w:p>
    <w:tbl>
      <w:tblPr>
        <w:tblW w:type="auto" w:w="0"/>
        <w:jc w:val="center"/>
        <w:tblLook w:firstColumn="1" w:firstRow="1" w:lastColumn="0" w:lastRow="0" w:noHBand="0" w:noVBand="1" w:val="04A0"/>
      </w:tblPr>
      <w:tblGrid>
        <w:gridCol w:w="1950"/>
        <w:gridCol w:w="1950"/>
        <w:gridCol w:w="1950"/>
        <w:gridCol w:w="1950"/>
        <w:gridCol w:w="19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CALL</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(G-01)</w:t>
            </w:r>
          </w:p>
        </w:tc>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(D-01)</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INTERPRETATION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Intensity (mu)</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118.4210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Higher overall luminance in defective seam due to irregular spatter reflection.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104.0000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Central tendency shifts significantly toward higher values in anomalous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std(I(:))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72.1542</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Elevated variation reflects intense contrast between voids and spatter peaks.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Variance (sigma^2)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var(I(:))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5206.23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Wide spread in optical energy confirming severe surface irregularities.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Range (Delta I)</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 - min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8-bit dynamic quantization span utilized across camera acquisitions.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(Most Frequent)</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mode(I(:))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24.0000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Corresponds to the dark background fixture surface enclosing the rotor.</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Skewness (S)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skewness(I(:))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+0.3412</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Positive asymmetry: large dark mass with long right tail of weld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Kurtosis (K)</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kurtosis(I(:))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1.8495</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Platykurtic (K &lt; 3) distribution confirms bimodal fixture and weld zones.</w:t>
            </w:r>
          </w:p>
        </w:tc>
      </w:tr>
    </w:tbl>
    <w:p>
      <w:r>
        <w:br w:type="page"/>
      </w:r>
    </w:p>
    <w:p>
      <w:pPr>
        <w:spacing w:before="0" w:after="80" w:line="276" w:lineRule="auto"/>
      </w:pPr>
      <w:r>
        <w:rPr>
          <w:rFonts w:ascii="Times New Roman" w:hAnsi="Times New Roman"/>
          <w:b/>
          <w:color w:val="000000"/>
          <w:sz w:val="26"/>
        </w:rPr>
        <w:t>4.11.1 MATLAB SCRIPT IMPLEMENTATIONS AND AUTOMATED STATISTICAL EXTRACTION</w:t>
      </w:r>
    </w:p>
    <w:p>
      <w:pPr>
        <w:spacing w:before="0" w:after="100" w:line="276" w:lineRule="auto"/>
        <w:jc w:val="both"/>
      </w:pPr>
      <w:r>
        <w:rPr>
          <w:rFonts w:ascii="Times New Roman" w:hAnsi="Times New Roman"/>
          <w:b w:val="0"/>
          <w:i w:val="0"/>
          <w:color w:val="000000"/>
          <w:sz w:val="24"/>
        </w:rPr>
        <w:t>A structured, 14-step automated exploratory script (Statisticalanalysis_goodrotor.m) was authored in MATLAB to ingest raw optical captures, execute mathematical transformations, compute 1D signal vectors, generate diagnostic figures, and export telemetry into a multi-sheet Excel workbook (goodrotor_statistical_analysis.xlsx).</w:t>
      </w:r>
    </w:p>
    <w:tbl>
      <w:tblPr>
        <w:tblW w:type="auto" w:w="0"/>
        <w:jc w:val="center"/>
        <w:tblLook w:firstColumn="1" w:firstRow="1" w:lastColumn="0" w:lastRow="0" w:noHBand="0" w:noVBand="1" w:val="04A0"/>
      </w:tblPr>
      <w:tblGrid>
        <w:gridCol w:w="9749"/>
      </w:tblGrid>
      <w:tr>
        <w:tc>
          <w:tcPr>
            <w:tcW w:type="dxa" w:w="9648"/>
            <w:shd w:val="clear" w:color="auto" w:fill="F8F9FA"/>
            <w:tcBorders>
              <w:top w:val="single" w:sz="6" w:space="0" w:color="D0D7DE"/>
              <w:left w:val="single" w:sz="24" w:space="0" w:color="E65100"/>
              <w:bottom w:val="single" w:sz="6" w:space="0" w:color="D0D7DE"/>
              <w:right w:val="single" w:sz="6" w:space="0" w:color="D0D7DE"/>
            </w:tcBorders>
          </w:tcPr>
          <w:p>
            <w:pPr>
              <w:spacing w:before="60" w:after="60" w:line="252" w:lineRule="auto"/>
            </w:pPr>
            <w:r>
              <w:rPr>
                <w:rFonts w:ascii="Consolas" w:hAnsi="Consolas"/>
                <w:b w:val="0"/>
                <w:i/>
                <w:color w:val="22863A"/>
                <w:sz w:val="15"/>
              </w:rPr>
              <w:t>% =========================================================================</w:t>
            </w:r>
          </w:p>
          <w:p>
            <w:pPr>
              <w:spacing w:before="0" w:after="0" w:line="252" w:lineRule="auto"/>
            </w:pPr>
            <w:r>
              <w:rPr>
                <w:rFonts w:ascii="Consolas" w:hAnsi="Consolas"/>
                <w:b w:val="0"/>
                <w:i/>
                <w:color w:val="22863A"/>
                <w:sz w:val="15"/>
              </w:rPr>
              <w:t>% Statisticalanalysis_goodrotor.m - Automated Signal Analysis Pipeline</w:t>
            </w:r>
          </w:p>
          <w:p>
            <w:pPr>
              <w:spacing w:before="0" w:after="0" w:line="252" w:lineRule="auto"/>
            </w:pPr>
            <w:r>
              <w:rPr>
                <w:rFonts w:ascii="Consolas" w:hAnsi="Consolas"/>
                <w:b w:val="0"/>
                <w:i/>
                <w:color w:val="22863A"/>
                <w:sz w:val="15"/>
              </w:rPr>
              <w:t>% =========================================================================</w:t>
            </w:r>
          </w:p>
          <w:p>
            <w:pPr>
              <w:spacing w:before="0" w:after="0" w:line="252" w:lineRule="auto"/>
            </w:pPr>
            <w:r>
              <w:rPr>
                <w:rFonts w:ascii="Consolas" w:hAnsi="Consolas"/>
                <w:b/>
                <w:i w:val="0"/>
                <w:color w:val="005CC5"/>
                <w:sz w:val="15"/>
              </w:rPr>
              <w:t>clc</w:t>
            </w:r>
            <w:r>
              <w:rPr>
                <w:rFonts w:ascii="Consolas" w:hAnsi="Consolas"/>
                <w:b w:val="0"/>
                <w:i w:val="0"/>
                <w:color w:val="24292E"/>
                <w:sz w:val="15"/>
              </w:rPr>
              <w:t xml:space="preserve">; </w:t>
            </w:r>
            <w:r>
              <w:rPr>
                <w:rFonts w:ascii="Consolas" w:hAnsi="Consolas"/>
                <w:b/>
                <w:i w:val="0"/>
                <w:color w:val="005CC5"/>
                <w:sz w:val="15"/>
              </w:rPr>
              <w:t>clear</w:t>
            </w:r>
            <w:r>
              <w:rPr>
                <w:rFonts w:ascii="Consolas" w:hAnsi="Consolas"/>
                <w:b w:val="0"/>
                <w:i w:val="0"/>
                <w:color w:val="24292E"/>
                <w:sz w:val="15"/>
              </w:rPr>
              <w:t xml:space="preserve">; </w:t>
            </w:r>
            <w:r>
              <w:rPr>
                <w:rFonts w:ascii="Consolas" w:hAnsi="Consolas"/>
                <w:b/>
                <w:i w:val="0"/>
                <w:color w:val="005CC5"/>
                <w:sz w:val="15"/>
              </w:rPr>
              <w:t>close all</w:t>
            </w:r>
            <w:r>
              <w:rPr>
                <w:rFonts w:ascii="Consolas" w:hAnsi="Consolas"/>
                <w:b w:val="0"/>
                <w:i w:val="0"/>
                <w:color w:val="24292E"/>
                <w:sz w:val="15"/>
              </w:rPr>
              <w:t>;</w:t>
            </w:r>
          </w:p>
          <w:p>
            <w:pPr>
              <w:spacing w:before="0" w:after="0" w:line="252" w:lineRule="auto"/>
            </w:pPr>
            <w:r>
              <w:rPr>
                <w:rFonts w:ascii="Consolas" w:hAnsi="Consolas"/>
                <w:b w:val="0"/>
                <w:i/>
                <w:color w:val="22863A"/>
                <w:sz w:val="15"/>
              </w:rPr>
              <w:t>% STEP 1 &amp; 2: Ingest Image, Validate Channels, and Convert to Grayscale Double</w:t>
            </w:r>
          </w:p>
          <w:p>
            <w:pPr>
              <w:spacing w:before="0" w:after="0" w:line="252" w:lineRule="auto"/>
            </w:pPr>
            <w:r>
              <w:rPr>
                <w:rFonts w:ascii="Consolas" w:hAnsi="Consolas"/>
                <w:b w:val="0"/>
                <w:i w:val="0"/>
                <w:color w:val="005CC5"/>
                <w:sz w:val="15"/>
              </w:rPr>
              <w:t>img</w:t>
            </w:r>
            <w:r>
              <w:rPr>
                <w:rFonts w:ascii="Consolas" w:hAnsi="Consolas"/>
                <w:b w:val="0"/>
                <w:i w:val="0"/>
                <w:color w:val="24292E"/>
                <w:sz w:val="15"/>
              </w:rPr>
              <w:t xml:space="preserve"> = </w:t>
            </w:r>
            <w:r>
              <w:rPr>
                <w:rFonts w:ascii="Consolas" w:hAnsi="Consolas"/>
                <w:b w:val="0"/>
                <w:i w:val="0"/>
                <w:color w:val="6F42C1"/>
                <w:sz w:val="15"/>
              </w:rPr>
              <w:t>imread</w:t>
            </w:r>
            <w:r>
              <w:rPr>
                <w:rFonts w:ascii="Consolas" w:hAnsi="Consolas"/>
                <w:b w:val="0"/>
                <w:i w:val="0"/>
                <w:color w:val="A31515"/>
                <w:sz w:val="15"/>
              </w:rPr>
              <w:t>('goodrotor.jpeg');</w:t>
            </w:r>
          </w:p>
          <w:p>
            <w:pPr>
              <w:spacing w:before="0" w:after="0" w:line="252" w:lineRule="auto"/>
            </w:pPr>
            <w:r>
              <w:rPr>
                <w:rFonts w:ascii="Consolas" w:hAnsi="Consolas"/>
                <w:b/>
                <w:i w:val="0"/>
                <w:color w:val="D73A49"/>
                <w:sz w:val="15"/>
              </w:rPr>
              <w:t>if</w:t>
            </w:r>
            <w:r>
              <w:rPr>
                <w:rFonts w:ascii="Consolas" w:hAnsi="Consolas"/>
                <w:b w:val="0"/>
                <w:i w:val="0"/>
                <w:color w:val="24292E"/>
                <w:sz w:val="15"/>
              </w:rPr>
              <w:t xml:space="preserve"> size(img, 3) == 3; imgGray = rgb2gray(img); </w:t>
            </w:r>
            <w:r>
              <w:rPr>
                <w:rFonts w:ascii="Consolas" w:hAnsi="Consolas"/>
                <w:b/>
                <w:i w:val="0"/>
                <w:color w:val="D73A49"/>
                <w:sz w:val="15"/>
              </w:rPr>
              <w:t>else</w:t>
            </w:r>
            <w:r>
              <w:rPr>
                <w:rFonts w:ascii="Consolas" w:hAnsi="Consolas"/>
                <w:b w:val="0"/>
                <w:i w:val="0"/>
                <w:color w:val="24292E"/>
                <w:sz w:val="15"/>
              </w:rPr>
              <w:t xml:space="preserve">; imgGray = img; </w:t>
            </w:r>
            <w:r>
              <w:rPr>
                <w:rFonts w:ascii="Consolas" w:hAnsi="Consolas"/>
                <w:b/>
                <w:i w:val="0"/>
                <w:color w:val="D73A49"/>
                <w:sz w:val="15"/>
              </w:rPr>
              <w:t>end</w:t>
            </w:r>
          </w:p>
          <w:p>
            <w:pPr>
              <w:spacing w:before="0" w:after="0" w:line="252" w:lineRule="auto"/>
            </w:pPr>
            <w:r>
              <w:rPr>
                <w:rFonts w:ascii="Consolas" w:hAnsi="Consolas"/>
                <w:b w:val="0"/>
                <w:i w:val="0"/>
                <w:color w:val="005CC5"/>
                <w:sz w:val="15"/>
              </w:rPr>
              <w:t>imgDouble</w:t>
            </w:r>
            <w:r>
              <w:rPr>
                <w:rFonts w:ascii="Consolas" w:hAnsi="Consolas"/>
                <w:b w:val="0"/>
                <w:i w:val="0"/>
                <w:color w:val="24292E"/>
                <w:sz w:val="15"/>
              </w:rPr>
              <w:t xml:space="preserve"> = </w:t>
            </w:r>
            <w:r>
              <w:rPr>
                <w:rFonts w:ascii="Consolas" w:hAnsi="Consolas"/>
                <w:b w:val="0"/>
                <w:i w:val="0"/>
                <w:color w:val="6F42C1"/>
                <w:sz w:val="15"/>
              </w:rPr>
              <w:t>double</w:t>
            </w:r>
            <w:r>
              <w:rPr>
                <w:rFonts w:ascii="Consolas" w:hAnsi="Consolas"/>
                <w:b w:val="0"/>
                <w:i/>
                <w:color w:val="22863A"/>
                <w:sz w:val="15"/>
              </w:rPr>
              <w:t>(imgGray); % Convert to IEEE 64-bit float precision</w:t>
            </w:r>
          </w:p>
          <w:p>
            <w:pPr>
              <w:spacing w:before="0" w:after="0" w:line="252" w:lineRule="auto"/>
            </w:pPr>
            <w:r>
              <w:rPr>
                <w:rFonts w:ascii="Consolas" w:hAnsi="Consolas"/>
                <w:b w:val="0"/>
                <w:i/>
                <w:color w:val="22863A"/>
                <w:sz w:val="15"/>
              </w:rPr>
              <w:t>% STEP 4 &amp; 5: Compute Statistical Moments and Output to Command Window</w:t>
            </w:r>
          </w:p>
          <w:p>
            <w:pPr>
              <w:spacing w:before="0" w:after="0" w:line="252" w:lineRule="auto"/>
            </w:pPr>
            <w:r>
              <w:rPr>
                <w:rFonts w:ascii="Consolas" w:hAnsi="Consolas"/>
                <w:b w:val="0"/>
                <w:i w:val="0"/>
                <w:color w:val="005CC5"/>
                <w:sz w:val="15"/>
              </w:rPr>
              <w:t>MeanValue</w:t>
            </w:r>
            <w:r>
              <w:rPr>
                <w:rFonts w:ascii="Consolas" w:hAnsi="Consolas"/>
                <w:b w:val="0"/>
                <w:i w:val="0"/>
                <w:color w:val="24292E"/>
                <w:sz w:val="15"/>
              </w:rPr>
              <w:t xml:space="preserve">     = </w:t>
            </w:r>
            <w:r>
              <w:rPr>
                <w:rFonts w:ascii="Consolas" w:hAnsi="Consolas"/>
                <w:b w:val="0"/>
                <w:i w:val="0"/>
                <w:color w:val="6F42C1"/>
                <w:sz w:val="15"/>
              </w:rPr>
              <w:t>mean</w:t>
            </w:r>
            <w:r>
              <w:rPr>
                <w:rFonts w:ascii="Consolas" w:hAnsi="Consolas"/>
                <w:b w:val="0"/>
                <w:i/>
                <w:color w:val="22863A"/>
                <w:sz w:val="15"/>
              </w:rPr>
              <w:t>(imgDouble(:));      % 74.8271 (Global Mean Intensity)</w:t>
            </w:r>
          </w:p>
          <w:p>
            <w:pPr>
              <w:spacing w:before="0" w:after="0" w:line="252" w:lineRule="auto"/>
            </w:pPr>
            <w:r>
              <w:rPr>
                <w:rFonts w:ascii="Consolas" w:hAnsi="Consolas"/>
                <w:b w:val="0"/>
                <w:i w:val="0"/>
                <w:color w:val="005CC5"/>
                <w:sz w:val="15"/>
              </w:rPr>
              <w:t>MedianValue</w:t>
            </w:r>
            <w:r>
              <w:rPr>
                <w:rFonts w:ascii="Consolas" w:hAnsi="Consolas"/>
                <w:b w:val="0"/>
                <w:i w:val="0"/>
                <w:color w:val="24292E"/>
                <w:sz w:val="15"/>
              </w:rPr>
              <w:t xml:space="preserve">   = </w:t>
            </w:r>
            <w:r>
              <w:rPr>
                <w:rFonts w:ascii="Consolas" w:hAnsi="Consolas"/>
                <w:b w:val="0"/>
                <w:i w:val="0"/>
                <w:color w:val="6F42C1"/>
                <w:sz w:val="15"/>
              </w:rPr>
              <w:t>median</w:t>
            </w:r>
            <w:r>
              <w:rPr>
                <w:rFonts w:ascii="Consolas" w:hAnsi="Consolas"/>
                <w:b w:val="0"/>
                <w:i/>
                <w:color w:val="22863A"/>
                <w:sz w:val="15"/>
              </w:rPr>
              <w:t>(imgDouble(:));    % 68.0000 (Median Intensity)</w:t>
            </w:r>
          </w:p>
          <w:p>
            <w:pPr>
              <w:spacing w:before="0" w:after="0" w:line="252" w:lineRule="auto"/>
            </w:pPr>
            <w:r>
              <w:rPr>
                <w:rFonts w:ascii="Consolas" w:hAnsi="Consolas"/>
                <w:b w:val="0"/>
                <w:i w:val="0"/>
                <w:color w:val="005CC5"/>
                <w:sz w:val="15"/>
              </w:rPr>
              <w:t>StdDeviation</w:t>
            </w:r>
            <w:r>
              <w:rPr>
                <w:rFonts w:ascii="Consolas" w:hAnsi="Consolas"/>
                <w:b w:val="0"/>
                <w:i w:val="0"/>
                <w:color w:val="24292E"/>
                <w:sz w:val="15"/>
              </w:rPr>
              <w:t xml:space="preserve">  = </w:t>
            </w:r>
            <w:r>
              <w:rPr>
                <w:rFonts w:ascii="Consolas" w:hAnsi="Consolas"/>
                <w:b w:val="0"/>
                <w:i w:val="0"/>
                <w:color w:val="6F42C1"/>
                <w:sz w:val="15"/>
              </w:rPr>
              <w:t>std</w:t>
            </w:r>
            <w:r>
              <w:rPr>
                <w:rFonts w:ascii="Consolas" w:hAnsi="Consolas"/>
                <w:b w:val="0"/>
                <w:i/>
                <w:color w:val="22863A"/>
                <w:sz w:val="15"/>
              </w:rPr>
              <w:t>(imgDouble(:));       % 60.6848 (Standard Deviation)</w:t>
            </w:r>
          </w:p>
          <w:p>
            <w:pPr>
              <w:spacing w:before="0" w:after="0" w:line="252" w:lineRule="auto"/>
            </w:pPr>
            <w:r>
              <w:rPr>
                <w:rFonts w:ascii="Consolas" w:hAnsi="Consolas"/>
                <w:b w:val="0"/>
                <w:i w:val="0"/>
                <w:color w:val="005CC5"/>
                <w:sz w:val="15"/>
              </w:rPr>
              <w:t>VarianceValue</w:t>
            </w:r>
            <w:r>
              <w:rPr>
                <w:rFonts w:ascii="Consolas" w:hAnsi="Consolas"/>
                <w:b w:val="0"/>
                <w:i w:val="0"/>
                <w:color w:val="24292E"/>
                <w:sz w:val="15"/>
              </w:rPr>
              <w:t xml:space="preserve"> = </w:t>
            </w:r>
            <w:r>
              <w:rPr>
                <w:rFonts w:ascii="Consolas" w:hAnsi="Consolas"/>
                <w:b w:val="0"/>
                <w:i w:val="0"/>
                <w:color w:val="6F42C1"/>
                <w:sz w:val="15"/>
              </w:rPr>
              <w:t>var</w:t>
            </w:r>
            <w:r>
              <w:rPr>
                <w:rFonts w:ascii="Consolas" w:hAnsi="Consolas"/>
                <w:b w:val="0"/>
                <w:i/>
                <w:color w:val="22863A"/>
                <w:sz w:val="15"/>
              </w:rPr>
              <w:t>(imgDouble(:));       % 3682.6405 (Intensity Variance)</w:t>
            </w:r>
          </w:p>
          <w:p>
            <w:pPr>
              <w:spacing w:before="0" w:after="0" w:line="252" w:lineRule="auto"/>
            </w:pPr>
            <w:r>
              <w:rPr>
                <w:rFonts w:ascii="Consolas" w:hAnsi="Consolas"/>
                <w:b w:val="0"/>
                <w:i w:val="0"/>
                <w:color w:val="005CC5"/>
                <w:sz w:val="15"/>
              </w:rPr>
              <w:t>RangeValue</w:t>
            </w:r>
            <w:r>
              <w:rPr>
                <w:rFonts w:ascii="Consolas" w:hAnsi="Consolas"/>
                <w:b w:val="0"/>
                <w:i w:val="0"/>
                <w:color w:val="24292E"/>
                <w:sz w:val="15"/>
              </w:rPr>
              <w:t xml:space="preserve">    = </w:t>
            </w:r>
            <w:r>
              <w:rPr>
                <w:rFonts w:ascii="Consolas" w:hAnsi="Consolas"/>
                <w:b w:val="0"/>
                <w:i/>
                <w:color w:val="22863A"/>
                <w:sz w:val="15"/>
              </w:rPr>
              <w:t>max(imgDouble(:)) - min(imgDouble(:)); % 255.0000 (Dynamic Range)</w:t>
            </w:r>
          </w:p>
          <w:p>
            <w:pPr>
              <w:spacing w:before="0" w:after="0" w:line="252" w:lineRule="auto"/>
            </w:pPr>
            <w:r>
              <w:rPr>
                <w:rFonts w:ascii="Consolas" w:hAnsi="Consolas"/>
                <w:b w:val="0"/>
                <w:i w:val="0"/>
                <w:color w:val="005CC5"/>
                <w:sz w:val="15"/>
              </w:rPr>
              <w:t>ModeValue</w:t>
            </w:r>
            <w:r>
              <w:rPr>
                <w:rFonts w:ascii="Consolas" w:hAnsi="Consolas"/>
                <w:b w:val="0"/>
                <w:i w:val="0"/>
                <w:color w:val="24292E"/>
                <w:sz w:val="15"/>
              </w:rPr>
              <w:t xml:space="preserve">     = </w:t>
            </w:r>
            <w:r>
              <w:rPr>
                <w:rFonts w:ascii="Consolas" w:hAnsi="Consolas"/>
                <w:b w:val="0"/>
                <w:i w:val="0"/>
                <w:color w:val="6F42C1"/>
                <w:sz w:val="15"/>
              </w:rPr>
              <w:t>mode</w:t>
            </w:r>
            <w:r>
              <w:rPr>
                <w:rFonts w:ascii="Consolas" w:hAnsi="Consolas"/>
                <w:b w:val="0"/>
                <w:i/>
                <w:color w:val="22863A"/>
                <w:sz w:val="15"/>
              </w:rPr>
              <w:t>(imgDouble(:));      % 20.0000 (Background Peak)</w:t>
            </w:r>
          </w:p>
          <w:p>
            <w:pPr>
              <w:spacing w:before="0" w:after="0" w:line="252" w:lineRule="auto"/>
            </w:pPr>
            <w:r>
              <w:rPr>
                <w:rFonts w:ascii="Consolas" w:hAnsi="Consolas"/>
                <w:b w:val="0"/>
                <w:i w:val="0"/>
                <w:color w:val="005CC5"/>
                <w:sz w:val="15"/>
              </w:rPr>
              <w:t>SkewnessValue</w:t>
            </w:r>
            <w:r>
              <w:rPr>
                <w:rFonts w:ascii="Consolas" w:hAnsi="Consolas"/>
                <w:b w:val="0"/>
                <w:i w:val="0"/>
                <w:color w:val="24292E"/>
                <w:sz w:val="15"/>
              </w:rPr>
              <w:t xml:space="preserve"> = </w:t>
            </w:r>
            <w:r>
              <w:rPr>
                <w:rFonts w:ascii="Consolas" w:hAnsi="Consolas"/>
                <w:b w:val="0"/>
                <w:i w:val="0"/>
                <w:color w:val="6F42C1"/>
                <w:sz w:val="15"/>
              </w:rPr>
              <w:t>skewness</w:t>
            </w:r>
            <w:r>
              <w:rPr>
                <w:rFonts w:ascii="Consolas" w:hAnsi="Consolas"/>
                <w:b w:val="0"/>
                <w:i/>
                <w:color w:val="22863A"/>
                <w:sz w:val="15"/>
              </w:rPr>
              <w:t>(imgDouble(:));  % 0.7761 (Positive Skewness)</w:t>
            </w:r>
          </w:p>
          <w:p>
            <w:pPr>
              <w:spacing w:before="0" w:after="0" w:line="252" w:lineRule="auto"/>
            </w:pPr>
            <w:r>
              <w:rPr>
                <w:rFonts w:ascii="Consolas" w:hAnsi="Consolas"/>
                <w:b w:val="0"/>
                <w:i w:val="0"/>
                <w:color w:val="005CC5"/>
                <w:sz w:val="15"/>
              </w:rPr>
              <w:t>KurtosisValue</w:t>
            </w:r>
            <w:r>
              <w:rPr>
                <w:rFonts w:ascii="Consolas" w:hAnsi="Consolas"/>
                <w:b w:val="0"/>
                <w:i w:val="0"/>
                <w:color w:val="24292E"/>
                <w:sz w:val="15"/>
              </w:rPr>
              <w:t xml:space="preserve"> = </w:t>
            </w:r>
            <w:r>
              <w:rPr>
                <w:rFonts w:ascii="Consolas" w:hAnsi="Consolas"/>
                <w:b w:val="0"/>
                <w:i w:val="0"/>
                <w:color w:val="6F42C1"/>
                <w:sz w:val="15"/>
              </w:rPr>
              <w:t>kurtosis</w:t>
            </w:r>
            <w:r>
              <w:rPr>
                <w:rFonts w:ascii="Consolas" w:hAnsi="Consolas"/>
                <w:b w:val="0"/>
                <w:i/>
                <w:color w:val="22863A"/>
                <w:sz w:val="15"/>
              </w:rPr>
              <w:t>(imgDouble(:));  % 2.6271 (Platykurtic Curve)</w:t>
            </w:r>
          </w:p>
          <w:p>
            <w:pPr>
              <w:spacing w:before="0" w:after="0" w:line="252" w:lineRule="auto"/>
            </w:pPr>
            <w:r>
              <w:rPr>
                <w:rFonts w:ascii="Consolas" w:hAnsi="Consolas"/>
                <w:b w:val="0"/>
                <w:i/>
                <w:color w:val="22863A"/>
                <w:sz w:val="15"/>
              </w:rPr>
              <w:t>% STEP 6 &amp; 7: 1D Spatial Profiling (Horizontal Rows &amp; Vertical Columns)</w:t>
            </w:r>
          </w:p>
          <w:p>
            <w:pPr>
              <w:spacing w:before="0" w:after="0" w:line="252" w:lineRule="auto"/>
            </w:pPr>
            <w:r>
              <w:rPr>
                <w:rFonts w:ascii="Consolas" w:hAnsi="Consolas"/>
                <w:b w:val="0"/>
                <w:i w:val="0"/>
                <w:color w:val="005CC5"/>
                <w:sz w:val="15"/>
              </w:rPr>
              <w:t>RowMean</w:t>
            </w:r>
            <w:r>
              <w:rPr>
                <w:rFonts w:ascii="Consolas" w:hAnsi="Consolas"/>
                <w:b w:val="0"/>
                <w:i w:val="0"/>
                <w:color w:val="24292E"/>
                <w:sz w:val="15"/>
              </w:rPr>
              <w:t xml:space="preserve"> = mean(imgDouble, 2); </w:t>
            </w:r>
            <w:r>
              <w:rPr>
                <w:rFonts w:ascii="Consolas" w:hAnsi="Consolas"/>
                <w:b w:val="0"/>
                <w:i w:val="0"/>
                <w:color w:val="005CC5"/>
                <w:sz w:val="15"/>
              </w:rPr>
              <w:t>RowStd</w:t>
            </w:r>
            <w:r>
              <w:rPr>
                <w:rFonts w:ascii="Consolas" w:hAnsi="Consolas"/>
                <w:b w:val="0"/>
                <w:i w:val="0"/>
                <w:color w:val="24292E"/>
                <w:sz w:val="15"/>
              </w:rPr>
              <w:t xml:space="preserve"> = std(imgDouble, 0, 2);</w:t>
            </w:r>
          </w:p>
          <w:p>
            <w:pPr>
              <w:spacing w:before="0" w:after="0" w:line="252" w:lineRule="auto"/>
            </w:pPr>
            <w:r>
              <w:rPr>
                <w:rFonts w:ascii="Consolas" w:hAnsi="Consolas"/>
                <w:b w:val="0"/>
                <w:i w:val="0"/>
                <w:color w:val="005CC5"/>
                <w:sz w:val="15"/>
              </w:rPr>
              <w:t>ColumnMean</w:t>
            </w:r>
            <w:r>
              <w:rPr>
                <w:rFonts w:ascii="Consolas" w:hAnsi="Consolas"/>
                <w:b w:val="0"/>
                <w:i w:val="0"/>
                <w:color w:val="24292E"/>
                <w:sz w:val="15"/>
              </w:rPr>
              <w:t xml:space="preserve"> = mean(imgDouble, 1)'; </w:t>
            </w:r>
            <w:r>
              <w:rPr>
                <w:rFonts w:ascii="Consolas" w:hAnsi="Consolas"/>
                <w:b w:val="0"/>
                <w:i w:val="0"/>
                <w:color w:val="005CC5"/>
                <w:sz w:val="15"/>
              </w:rPr>
              <w:t>ColumnStd</w:t>
            </w:r>
            <w:r>
              <w:rPr>
                <w:rFonts w:ascii="Consolas" w:hAnsi="Consolas"/>
                <w:b w:val="0"/>
                <w:i w:val="0"/>
                <w:color w:val="24292E"/>
                <w:sz w:val="15"/>
              </w:rPr>
              <w:t xml:space="preserve"> = std(imgDouble, 0, 1)';</w:t>
            </w:r>
          </w:p>
          <w:p>
            <w:pPr>
              <w:spacing w:before="0" w:after="0" w:line="252" w:lineRule="auto"/>
            </w:pPr>
            <w:r>
              <w:rPr>
                <w:rFonts w:ascii="Consolas" w:hAnsi="Consolas"/>
                <w:b w:val="0"/>
                <w:i/>
                <w:color w:val="22863A"/>
                <w:sz w:val="15"/>
              </w:rPr>
              <w:t>% STEP 8 &amp; 9: Create Structured MATLAB Tables &amp; Export to 3-Sheet Excel</w:t>
            </w:r>
          </w:p>
          <w:p>
            <w:pPr>
              <w:spacing w:before="0" w:after="0" w:line="252" w:lineRule="auto"/>
            </w:pPr>
            <w:r>
              <w:rPr>
                <w:rFonts w:ascii="Consolas" w:hAnsi="Consolas"/>
                <w:b w:val="0"/>
                <w:i w:val="0"/>
                <w:color w:val="A31515"/>
                <w:sz w:val="15"/>
              </w:rPr>
              <w:t>filename = 'goodrotor_statistical_analysis.xlsx';</w:t>
            </w:r>
          </w:p>
          <w:p>
            <w:pPr>
              <w:spacing w:before="0" w:after="0" w:line="252" w:lineRule="auto"/>
            </w:pPr>
            <w:r>
              <w:rPr>
                <w:rFonts w:ascii="Consolas" w:hAnsi="Consolas"/>
                <w:b w:val="0"/>
                <w:i w:val="0"/>
                <w:color w:val="24292E"/>
                <w:sz w:val="15"/>
              </w:rPr>
              <w:t>writetable(ImageStatistics, filename, 'Sheet', 'Overall Statistics');</w:t>
            </w:r>
          </w:p>
          <w:p>
            <w:pPr>
              <w:spacing w:before="0" w:after="0" w:line="252" w:lineRule="auto"/>
            </w:pPr>
            <w:r>
              <w:rPr>
                <w:rFonts w:ascii="Consolas" w:hAnsi="Consolas"/>
                <w:b w:val="0"/>
                <w:i w:val="0"/>
                <w:color w:val="24292E"/>
                <w:sz w:val="15"/>
              </w:rPr>
              <w:t>writetable(RowStatistics,   filename, 'Sheet', 'Row Statistics');</w:t>
            </w:r>
          </w:p>
          <w:p>
            <w:pPr>
              <w:spacing w:before="0" w:after="0" w:line="252" w:lineRule="auto"/>
            </w:pPr>
            <w:r>
              <w:rPr>
                <w:rFonts w:ascii="Consolas" w:hAnsi="Consolas"/>
                <w:b w:val="0"/>
                <w:i w:val="0"/>
                <w:color w:val="24292E"/>
                <w:sz w:val="15"/>
              </w:rPr>
              <w:t>writetable(ColumnStatistics,filename, 'Sheet', 'Column Statistics');</w:t>
            </w:r>
          </w:p>
          <w:p>
            <w:pPr>
              <w:spacing w:before="0" w:after="0" w:line="252" w:lineRule="auto"/>
            </w:pPr>
            <w:r>
              <w:rPr>
                <w:rFonts w:ascii="Consolas" w:hAnsi="Consolas"/>
                <w:b w:val="0"/>
                <w:i/>
                <w:color w:val="22863A"/>
                <w:sz w:val="15"/>
              </w:rPr>
              <w:t>% STEP 10-14: Generate Diagnostic Figures (Histogram &amp; 1D Profiles)</w:t>
            </w:r>
          </w:p>
          <w:p>
            <w:pPr>
              <w:spacing w:before="0" w:after="0" w:line="252" w:lineRule="auto"/>
            </w:pPr>
            <w:r>
              <w:rPr>
                <w:rFonts w:ascii="Consolas" w:hAnsi="Consolas"/>
                <w:b w:val="0"/>
                <w:i w:val="0"/>
                <w:color w:val="24292E"/>
                <w:sz w:val="15"/>
              </w:rPr>
              <w:t>figure; histogram(imgDouble(:), 256); title('Histogram of Rotor Image'); grid on;</w:t>
            </w:r>
          </w:p>
          <w:p>
            <w:pPr>
              <w:spacing w:before="0" w:after="0" w:line="252" w:lineRule="auto"/>
            </w:pPr>
            <w:r>
              <w:rPr>
                <w:rFonts w:ascii="Consolas" w:hAnsi="Consolas"/>
                <w:b w:val="0"/>
                <w:i w:val="0"/>
                <w:color w:val="24292E"/>
                <w:sz w:val="15"/>
              </w:rPr>
              <w:t>figure; plot(RowMean); title('Row-wise Mean Pixel Intensity'); grid on;</w:t>
            </w:r>
          </w:p>
          <w:p>
            <w:pPr>
              <w:spacing w:before="0" w:after="0" w:line="252" w:lineRule="auto"/>
            </w:pPr>
            <w:r>
              <w:rPr>
                <w:rFonts w:ascii="Consolas" w:hAnsi="Consolas"/>
                <w:b w:val="0"/>
                <w:i w:val="0"/>
                <w:color w:val="24292E"/>
                <w:sz w:val="15"/>
              </w:rPr>
              <w:t>figure; plot(ColumnMean); title('Column-wise Mean Pixel Intensity'); grid on;</w:t>
            </w:r>
          </w:p>
          <w:p>
            <w:pPr>
              <w:spacing w:before="0" w:after="0" w:line="252" w:lineRule="auto"/>
            </w:pPr>
            <w:r>
              <w:rPr>
                <w:rFonts w:ascii="Consolas" w:hAnsi="Consolas"/>
                <w:b w:val="0"/>
                <w:i w:val="0"/>
                <w:color w:val="24292E"/>
                <w:sz w:val="15"/>
              </w:rPr>
              <w:t>figure; plot(RowStd); title('Row-wise Pixel Variation'); grid on;</w:t>
            </w:r>
          </w:p>
          <w:p>
            <w:pPr>
              <w:spacing w:before="0" w:after="0" w:line="252" w:lineRule="auto"/>
            </w:pPr>
            <w:r>
              <w:rPr>
                <w:rFonts w:ascii="Consolas" w:hAnsi="Consolas"/>
                <w:b w:val="0"/>
                <w:i w:val="0"/>
                <w:color w:val="24292E"/>
                <w:sz w:val="15"/>
              </w:rPr>
              <w:t>figure; plot(ColumnStd); title('Column-wise Pixel Variation'); grid on;</w:t>
            </w:r>
          </w:p>
        </w:tc>
      </w:tr>
    </w:tbl>
    <w:p>
      <w:pPr>
        <w:spacing w:before="0" w:after="100" w:line="276" w:lineRule="auto"/>
        <w:jc w:val="both"/>
      </w:pPr>
      <w:r>
        <w:rPr>
          <w:rFonts w:ascii="Times New Roman" w:hAnsi="Times New Roman"/>
          <w:b w:val="0"/>
          <w:i w:val="0"/>
          <w:color w:val="000000"/>
          <w:sz w:val="24"/>
        </w:rPr>
        <w:t>The generated 3-sheet Excel spreadsheet (goodrotor_statistical_analysis.xlsx) and graphical profile waveforms provide baseline statistical bounds for the Python computer vision cropper and feature extractor. The corresponding experimental plots are presented and evaluated in Section 5.8.</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80" w:after="80"/>
        <w:jc w:val="center"/>
      </w:pPr>
      <w:r>
        <w:drawing>
          <wp:inline xmlns:a="http://schemas.openxmlformats.org/drawingml/2006/main" xmlns:pic="http://schemas.openxmlformats.org/drawingml/2006/picture">
            <wp:extent cx="5303520" cy="2403754"/>
            <wp:docPr id="13" name="Picture 13"/>
            <wp:cNvGraphicFramePr>
              <a:graphicFrameLocks noChangeAspect="1"/>
            </wp:cNvGraphicFramePr>
            <a:graphic>
              <a:graphicData uri="http://schemas.openxmlformats.org/drawingml/2006/picture">
                <pic:pic>
                  <pic:nvPicPr>
                    <pic:cNvPr id="0" name="fig_experimental_setup.png"/>
                    <pic:cNvPicPr/>
                  </pic:nvPicPr>
                  <pic:blipFill>
                    <a:blip r:embed="rId21"/>
                    <a:stretch>
                      <a:fillRect/>
                    </a:stretch>
                  </pic:blipFill>
                  <pic:spPr>
                    <a:xfrm>
                      <a:off x="0" y="0"/>
                      <a:ext cx="5303520" cy="2403754"/>
                    </a:xfrm>
                    <a:prstGeom prst="rect"/>
                  </pic:spPr>
                </pic:pic>
              </a:graphicData>
            </a:graphic>
          </wp:inline>
        </w:drawing>
      </w:r>
    </w:p>
    <w:p>
      <w:pPr>
        <w:spacing w:before="60" w:after="120"/>
        <w:jc w:val="center"/>
      </w:pPr>
      <w:r>
        <w:rPr>
          <w:rFonts w:ascii="Times New Roman" w:hAnsi="Times New Roman"/>
          <w:b/>
          <w:i/>
          <w:sz w:val="22"/>
        </w:rPr>
        <w:t>Fig. 5.1 Laboratory experimental setup and optical rotor inspection test bench arrangement: (a) Hardware schematic layout, (b) Physical rotor specimen on inspection stand</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model classification predictions (Decision Tree, Random Forest,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0" w:after="80" w:line="276" w:lineRule="auto"/>
      </w:pPr>
      <w:r>
        <w:rPr>
          <w:rFonts w:ascii="Times New Roman" w:hAnsi="Times New Roman"/>
          <w:b/>
          <w:color w:val="000000"/>
          <w:sz w:val="24"/>
        </w:rPr>
        <w:t>5.3 PARAMETERS USED DURING TESTING (TABLE 5.3)</w:t>
      </w:r>
    </w:p>
    <w:p>
      <w:pPr>
        <w:spacing w:before="0" w:after="100" w:line="276" w:lineRule="auto"/>
        <w:jc w:val="both"/>
      </w:pPr>
      <w:r>
        <w:rPr>
          <w:rFonts w:ascii="Times New Roman" w:hAnsi="Times New Roman"/>
          <w:b w:val="0"/>
          <w:i w:val="0"/>
          <w:color w:val="000000"/>
          <w:sz w:val="24"/>
        </w:rPr>
        <w:t>The following parameters were configured and maintained throughout experimental evaluation: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Camera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(RGB, 24-bit)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Illumination Intensity</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(Diffuse Ring LED)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Aperture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Otsu Binarization Threshold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(dynamically calculated per image)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Quantization Levels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Distances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Total Dataset Specimens Tested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physical rotor welds (54 Good, 27 Defective)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Training Epochs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 epochs (early stopping patience = 8)</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Inference Execution Timeout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w:t>
            </w:r>
          </w:p>
        </w:tc>
      </w:tr>
    </w:tbl>
    <w:p>
      <w:r>
        <w:br w:type="page"/>
      </w:r>
    </w:p>
    <w:p>
      <w:pPr>
        <w:spacing w:before="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During experimental trials across all 81 specimens, the saliency Sobel cropper demonstrated superior robustness compared to fixed coordinate cropping. Specifically, on specimens exhibiting massive molten droop anomalies (e.g., bad_1.jpg), the adaptive bounding box dynamically expanded, preserving 100% of the defect area.</w:t>
      </w:r>
    </w:p>
    <w:p>
      <w:pPr>
        <w:spacing w:before="120" w:after="80" w:line="276" w:lineRule="auto"/>
      </w:pPr>
      <w:r>
        <w:rPr>
          <w:rFonts w:ascii="Times New Roman" w:hAnsi="Times New Roman"/>
          <w:b/>
          <w:color w:val="000000"/>
          <w:sz w:val="24"/>
        </w:rPr>
        <w:t>5.5 TEST RECORD (TABLE 5.5 - PART 1)</w:t>
      </w:r>
    </w:p>
    <w:p>
      <w:pPr>
        <w:spacing w:before="0" w:after="100" w:line="276" w:lineRule="auto"/>
        <w:jc w:val="both"/>
      </w:pPr>
      <w:r>
        <w:rPr>
          <w:rFonts w:ascii="Times New Roman" w:hAnsi="Times New Roman"/>
          <w:b w:val="0"/>
          <w:i w:val="0"/>
          <w:color w:val="000000"/>
          <w:sz w:val="24"/>
        </w:rPr>
        <w:t>The following test record documents empirical observations across system modules:</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Images loaded successfully at 4032 x 3024 with full dynamic range. Polarizer eliminated 94% of metallic glare.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Sobel gradient successfully emphasized weld fusion boundaries while suppressing ambient rotor teeth.</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accurately centered in 100% of trials; padding margin prevented clipping of protruding molten droplets.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On severe defect specimens, bounding box expanded downwards by 48 pixels, preserving complete droplet morphology.</w:t>
            </w:r>
          </w:p>
        </w:tc>
      </w:tr>
    </w:tbl>
    <w:p>
      <w:r>
        <w:br w:type="page"/>
      </w:r>
    </w:p>
    <w:p>
      <w:pPr>
        <w:spacing w:before="0" w:after="80" w:line="276" w:lineRule="auto"/>
      </w:pPr>
      <w:r>
        <w:rPr>
          <w:rFonts w:ascii="Times New Roman" w:hAnsi="Times New Roman"/>
          <w:b/>
          <w:color w:val="000000"/>
          <w:sz w:val="24"/>
        </w:rPr>
        <w:t>5.5 TEST RECORD (CONTINUED - TABLE 5.5 PART 2)</w:t>
      </w:r>
    </w:p>
    <w:tbl>
      <w:tblPr>
        <w:tblW w:type="auto" w:w="0"/>
        <w:jc w:val="center"/>
        <w:tblLook w:firstColumn="1" w:firstRow="1" w:lastColumn="0" w:lastRow="0" w:noHBand="0" w:noVBand="1" w:val="04A0"/>
      </w:tblPr>
      <w:tblGrid>
        <w:gridCol w:w="3250"/>
        <w:gridCol w:w="3250"/>
        <w:gridCol w:w="3250"/>
      </w:tblGrid>
      <w:tr>
        <w:tc>
          <w:tcPr>
            <w:tcW w:type="dxa" w:w="100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WHAT TO CHECK</w:t>
            </w:r>
          </w:p>
        </w:tc>
        <w:tc>
          <w:tcPr>
            <w:tcW w:type="dxa" w:w="54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ACTUAL OBSERVATION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All 15 descriptors calculated in 18.4 ms per image. Zero NaN or division-by-zero errors encountered.</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tree achieved 80.2% accuracy. Solidity correctly routed 100% of severe droop anomalies to Defective.</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on 5-fold cross-validation.</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categorized parts into Accept (Tier 1), Rework (Tier 2), and Scrap (Tier 3) with zero fatal escapes.</w:t>
            </w:r>
          </w:p>
        </w:tc>
      </w:tr>
      <w:tr>
        <w:tc>
          <w:tcPr>
            <w:tcW w:type="dxa" w:w="100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54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HTML5 canvas rendering verified. SHA-256 hashed ISO certificates successfully generated and downloaded.</w:t>
            </w:r>
          </w:p>
        </w:tc>
      </w:tr>
    </w:tbl>
    <w:p>
      <w:r>
        <w:br w:type="page"/>
      </w:r>
    </w:p>
    <w:p>
      <w:pPr>
        <w:spacing w:before="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Experimental validation was conducted across the standardized 81-sample rotor weld dataset under controlled laboratory lighting. The performance metrics reported reflect rigorous 5-fold cross-validation to prevent optimistic data leakage. The system was verified for real-time responsiveness, achieving a complete per-specimen execution time under 85 ms.</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rigorously analyze the underlying data distribution and validate feature separability, diagnostic visual projections were generated using Python in a Jupyter environment. The procedure includes:</w:t>
      </w:r>
    </w:p>
    <w:p>
      <w:pPr>
        <w:pStyle w:val="ListBullet"/>
        <w:spacing w:before="0" w:after="60" w:line="276" w:lineRule="auto"/>
        <w:jc w:val="both"/>
      </w:pPr>
      <w:r>
        <w:rPr>
          <w:rFonts w:ascii="Times New Roman" w:hAnsi="Times New Roman"/>
          <w:color w:val="000000"/>
          <w:sz w:val="24"/>
        </w:rPr>
        <w:t>1. Extracting 15-dimensional feature vectors across all 81 rotor weld specimens.</w:t>
      </w:r>
    </w:p>
    <w:p>
      <w:pPr>
        <w:pStyle w:val="ListBullet"/>
        <w:spacing w:before="0" w:after="60" w:line="276" w:lineRule="auto"/>
        <w:jc w:val="both"/>
      </w:pPr>
      <w:r>
        <w:rPr>
          <w:rFonts w:ascii="Times New Roman" w:hAnsi="Times New Roman"/>
          <w:color w:val="000000"/>
          <w:sz w:val="24"/>
        </w:rPr>
        <w:t>2. Computing comparative boxplots to contrast raw full-frame distributions against saliency-cropped distributions.</w:t>
      </w:r>
    </w:p>
    <w:p>
      <w:pPr>
        <w:pStyle w:val="ListBullet"/>
        <w:spacing w:before="0" w:after="60" w:line="276" w:lineRule="auto"/>
        <w:jc w:val="both"/>
      </w:pPr>
      <w:r>
        <w:rPr>
          <w:rFonts w:ascii="Times New Roman" w:hAnsi="Times New Roman"/>
          <w:color w:val="000000"/>
          <w:sz w:val="24"/>
        </w:rPr>
        <w:t>3. Applying 2D Principal Component Analysis (PCA) to project high-dimensional feature spaces onto orthogonal eigenvectors.</w:t>
      </w:r>
    </w:p>
    <w:p>
      <w:pPr>
        <w:pStyle w:val="ListBullet"/>
        <w:spacing w:before="0" w:after="60" w:line="276" w:lineRule="auto"/>
        <w:jc w:val="both"/>
      </w:pPr>
      <w:r>
        <w:rPr>
          <w:rFonts w:ascii="Times New Roman" w:hAnsi="Times New Roman"/>
          <w:color w:val="000000"/>
          <w:sz w:val="24"/>
        </w:rPr>
        <w:t>4. Plotting PCA feature loading vectors to determine the directional contribution of each mathematical descriptor.</w:t>
      </w:r>
    </w:p>
    <w:p>
      <w:pPr>
        <w:pStyle w:val="ListBullet"/>
        <w:spacing w:before="0" w:after="60" w:line="276" w:lineRule="auto"/>
        <w:jc w:val="both"/>
      </w:pPr>
      <w:r>
        <w:rPr>
          <w:rFonts w:ascii="Times New Roman" w:hAnsi="Times New Roman"/>
          <w:color w:val="000000"/>
          <w:sz w:val="24"/>
        </w:rPr>
        <w:t>5. Calculating a 15 x 15 Pearson correlation matrix to quantify collinearity and inter-descriptor coupling.</w:t>
      </w:r>
    </w:p>
    <w:p>
      <w:r>
        <w:br w:type="page"/>
      </w:r>
    </w:p>
    <w:p>
      <w:pPr>
        <w:spacing w:before="80" w:after="80"/>
        <w:jc w:val="center"/>
      </w:pPr>
      <w:r>
        <w:drawing>
          <wp:inline xmlns:a="http://schemas.openxmlformats.org/drawingml/2006/main" xmlns:pic="http://schemas.openxmlformats.org/drawingml/2006/picture">
            <wp:extent cx="4937760" cy="2962656"/>
            <wp:docPr id="14" name="Picture 14"/>
            <wp:cNvGraphicFramePr>
              <a:graphicFrameLocks noChangeAspect="1"/>
            </wp:cNvGraphicFramePr>
            <a:graphic>
              <a:graphicData uri="http://schemas.openxmlformats.org/drawingml/2006/picture">
                <pic:pic>
                  <pic:nvPicPr>
                    <pic:cNvPr id="0" name="fig_feature_distribution.png"/>
                    <pic:cNvPicPr/>
                  </pic:nvPicPr>
                  <pic:blipFill>
                    <a:blip r:embed="rId22"/>
                    <a:stretch>
                      <a:fillRect/>
                    </a:stretch>
                  </pic:blipFill>
                  <pic:spPr>
                    <a:xfrm>
                      <a:off x="0" y="0"/>
                      <a:ext cx="4937760" cy="2962656"/>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w:t>
      </w:r>
    </w:p>
    <w:p>
      <w:pPr>
        <w:spacing w:before="80" w:after="80"/>
        <w:jc w:val="center"/>
      </w:pPr>
      <w:r>
        <w:drawing>
          <wp:inline xmlns:a="http://schemas.openxmlformats.org/drawingml/2006/main" xmlns:pic="http://schemas.openxmlformats.org/drawingml/2006/picture">
            <wp:extent cx="4754880" cy="3674225"/>
            <wp:docPr id="15" name="Picture 15"/>
            <wp:cNvGraphicFramePr>
              <a:graphicFrameLocks noChangeAspect="1"/>
            </wp:cNvGraphicFramePr>
            <a:graphic>
              <a:graphicData uri="http://schemas.openxmlformats.org/drawingml/2006/picture">
                <pic:pic>
                  <pic:nvPicPr>
                    <pic:cNvPr id="0" name="fig_pca_clusters.png"/>
                    <pic:cNvPicPr/>
                  </pic:nvPicPr>
                  <pic:blipFill>
                    <a:blip r:embed="rId23"/>
                    <a:stretch>
                      <a:fillRect/>
                    </a:stretch>
                  </pic:blipFill>
                  <pic:spPr>
                    <a:xfrm>
                      <a:off x="0" y="0"/>
                      <a:ext cx="4754880" cy="3674225"/>
                    </a:xfrm>
                    <a:prstGeom prst="rect"/>
                  </pic:spPr>
                </pic:pic>
              </a:graphicData>
            </a:graphic>
          </wp:inline>
        </w:drawing>
      </w:r>
    </w:p>
    <w:p>
      <w:pPr>
        <w:spacing w:before="60" w:after="120"/>
        <w:jc w:val="center"/>
      </w:pPr>
      <w:r>
        <w:rPr>
          <w:rFonts w:ascii="Times New Roman" w:hAnsi="Times New Roman"/>
          <w:b/>
          <w:i/>
          <w:sz w:val="22"/>
        </w:rPr>
        <w:t>Fig. 5.3 2D Principal Component Analysis (PCA) cluster separation</w:t>
      </w:r>
    </w:p>
    <w:p>
      <w:pPr>
        <w:spacing w:before="80" w:after="80"/>
        <w:jc w:val="center"/>
      </w:pPr>
      <w:r>
        <w:drawing>
          <wp:inline xmlns:a="http://schemas.openxmlformats.org/drawingml/2006/main" xmlns:pic="http://schemas.openxmlformats.org/drawingml/2006/picture">
            <wp:extent cx="4754880" cy="1901952"/>
            <wp:docPr id="16" name="Picture 16"/>
            <wp:cNvGraphicFramePr>
              <a:graphicFrameLocks noChangeAspect="1"/>
            </wp:cNvGraphicFramePr>
            <a:graphic>
              <a:graphicData uri="http://schemas.openxmlformats.org/drawingml/2006/picture">
                <pic:pic>
                  <pic:nvPicPr>
                    <pic:cNvPr id="0" name="fig_pca_loadings.png"/>
                    <pic:cNvPicPr/>
                  </pic:nvPicPr>
                  <pic:blipFill>
                    <a:blip r:embed="rId24"/>
                    <a:stretch>
                      <a:fillRect/>
                    </a:stretch>
                  </pic:blipFill>
                  <pic:spPr>
                    <a:xfrm>
                      <a:off x="0" y="0"/>
                      <a:ext cx="4754880" cy="1901952"/>
                    </a:xfrm>
                    <a:prstGeom prst="rect"/>
                  </pic:spPr>
                </pic:pic>
              </a:graphicData>
            </a:graphic>
          </wp:inline>
        </w:drawing>
      </w:r>
    </w:p>
    <w:p>
      <w:pPr>
        <w:spacing w:before="60" w:after="120"/>
        <w:jc w:val="center"/>
      </w:pPr>
      <w:r>
        <w:rPr>
          <w:rFonts w:ascii="Times New Roman" w:hAnsi="Times New Roman"/>
          <w:b/>
          <w:i/>
          <w:sz w:val="22"/>
        </w:rPr>
        <w:t>Fig. 5.4 PCA feature loading vectors biplot</w:t>
      </w:r>
    </w:p>
    <w:p>
      <w:r>
        <w:br w:type="page"/>
      </w:r>
    </w:p>
    <w:p>
      <w:pPr>
        <w:spacing w:before="80" w:after="80"/>
        <w:jc w:val="center"/>
      </w:pPr>
      <w:r>
        <w:drawing>
          <wp:inline xmlns:a="http://schemas.openxmlformats.org/drawingml/2006/main" xmlns:pic="http://schemas.openxmlformats.org/drawingml/2006/picture">
            <wp:extent cx="4937760" cy="4232366"/>
            <wp:docPr id="17" name="Picture 17"/>
            <wp:cNvGraphicFramePr>
              <a:graphicFrameLocks noChangeAspect="1"/>
            </wp:cNvGraphicFramePr>
            <a:graphic>
              <a:graphicData uri="http://schemas.openxmlformats.org/drawingml/2006/picture">
                <pic:pic>
                  <pic:nvPicPr>
                    <pic:cNvPr id="0" name="fig_correlation_matrix.png"/>
                    <pic:cNvPicPr/>
                  </pic:nvPicPr>
                  <pic:blipFill>
                    <a:blip r:embed="rId25"/>
                    <a:stretch>
                      <a:fillRect/>
                    </a:stretch>
                  </pic:blipFill>
                  <pic:spPr>
                    <a:xfrm>
                      <a:off x="0" y="0"/>
                      <a:ext cx="4937760" cy="4232366"/>
                    </a:xfrm>
                    <a:prstGeom prst="rect"/>
                  </pic:spPr>
                </pic:pic>
              </a:graphicData>
            </a:graphic>
          </wp:inline>
        </w:drawing>
      </w:r>
    </w:p>
    <w:p>
      <w:pPr>
        <w:spacing w:before="60" w:after="120"/>
        <w:jc w:val="center"/>
      </w:pPr>
      <w:r>
        <w:rPr>
          <w:rFonts w:ascii="Times New Roman" w:hAnsi="Times New Roman"/>
          <w:b/>
          <w:i/>
          <w:sz w:val="22"/>
        </w:rPr>
        <w:t>Fig. 5.5 Pearson correlation heatmap matrix</w:t>
      </w:r>
    </w:p>
    <w:p>
      <w:pPr>
        <w:spacing w:before="0" w:after="100" w:line="276" w:lineRule="auto"/>
        <w:jc w:val="both"/>
      </w:pPr>
      <w:r>
        <w:rPr>
          <w:rFonts w:ascii="Times New Roman" w:hAnsi="Times New Roman"/>
          <w:b w:val="0"/>
          <w:i w:val="0"/>
          <w:color w:val="000000"/>
          <w:sz w:val="24"/>
        </w:rPr>
        <w:t>The Pearson correlation heatmap reveals that GLCM Energy and Entropy exhibit near-perfect negative collinearity (r = -0.94). Solidity demonstrates strong negative correlation with contour perimeter and aspect ratio, confirming its potency as a primary discriminator for molten droop defects.</w:t>
      </w:r>
    </w:p>
    <w:p>
      <w:r>
        <w:br w:type="page"/>
      </w:r>
    </w:p>
    <w:p>
      <w:pPr>
        <w:spacing w:before="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preliminary empirical baselines, the rotor specimens were analyzed in MATLAB Online. Figure 5.6 illustrates defective rotor image ingestion and row-wise mean computation (badrotorimagemean.m), yielding an overall image mean of 147.65.</w:t>
      </w:r>
    </w:p>
    <w:p>
      <w:pPr>
        <w:spacing w:before="80" w:after="80"/>
        <w:jc w:val="center"/>
      </w:pPr>
      <w:r>
        <w:drawing>
          <wp:inline xmlns:a="http://schemas.openxmlformats.org/drawingml/2006/main" xmlns:pic="http://schemas.openxmlformats.org/drawingml/2006/picture">
            <wp:extent cx="5029200" cy="2907506"/>
            <wp:docPr id="18" name="Picture 18"/>
            <wp:cNvGraphicFramePr>
              <a:graphicFrameLocks noChangeAspect="1"/>
            </wp:cNvGraphicFramePr>
            <a:graphic>
              <a:graphicData uri="http://schemas.openxmlformats.org/drawingml/2006/picture">
                <pic:pic>
                  <pic:nvPicPr>
                    <pic:cNvPr id="0" name="matlab_bad_rotor_mean.jpg"/>
                    <pic:cNvPicPr/>
                  </pic:nvPicPr>
                  <pic:blipFill>
                    <a:blip r:embed="rId26"/>
                    <a:stretch>
                      <a:fillRect/>
                    </a:stretch>
                  </pic:blipFill>
                  <pic:spPr>
                    <a:xfrm>
                      <a:off x="0" y="0"/>
                      <a:ext cx="5029200" cy="2907506"/>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80" w:after="80"/>
        <w:jc w:val="center"/>
      </w:pPr>
      <w:r>
        <w:drawing>
          <wp:inline xmlns:a="http://schemas.openxmlformats.org/drawingml/2006/main" xmlns:pic="http://schemas.openxmlformats.org/drawingml/2006/picture">
            <wp:extent cx="5029200" cy="2897684"/>
            <wp:docPr id="19" name="Picture 19"/>
            <wp:cNvGraphicFramePr>
              <a:graphicFrameLocks noChangeAspect="1"/>
            </wp:cNvGraphicFramePr>
            <a:graphic>
              <a:graphicData uri="http://schemas.openxmlformats.org/drawingml/2006/picture">
                <pic:pic>
                  <pic:nvPicPr>
                    <pic:cNvPr id="0" name="matlab_good_rotor_stats_rgb.jpg"/>
                    <pic:cNvPicPr/>
                  </pic:nvPicPr>
                  <pic:blipFill>
                    <a:blip r:embed="rId27"/>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in command window</w:t>
      </w:r>
    </w:p>
    <w:p>
      <w:r>
        <w:br w:type="page"/>
      </w:r>
    </w:p>
    <w:p>
      <w:pPr>
        <w:spacing w:before="80" w:after="80"/>
        <w:jc w:val="center"/>
      </w:pPr>
      <w:r>
        <w:drawing>
          <wp:inline xmlns:a="http://schemas.openxmlformats.org/drawingml/2006/main" xmlns:pic="http://schemas.openxmlformats.org/drawingml/2006/picture">
            <wp:extent cx="5029200" cy="2897684"/>
            <wp:docPr id="20" name="Picture 20"/>
            <wp:cNvGraphicFramePr>
              <a:graphicFrameLocks noChangeAspect="1"/>
            </wp:cNvGraphicFramePr>
            <a:graphic>
              <a:graphicData uri="http://schemas.openxmlformats.org/drawingml/2006/picture">
                <pic:pic>
                  <pic:nvPicPr>
                    <pic:cNvPr id="0" name="matlab_good_rotor_histogram.jpg"/>
                    <pic:cNvPicPr/>
                  </pic:nvPicPr>
                  <pic:blipFill>
                    <a:blip r:embed="rId28"/>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80" w:after="80"/>
        <w:jc w:val="center"/>
      </w:pPr>
      <w:r>
        <w:drawing>
          <wp:inline xmlns:a="http://schemas.openxmlformats.org/drawingml/2006/main" xmlns:pic="http://schemas.openxmlformats.org/drawingml/2006/picture">
            <wp:extent cx="5029200" cy="2892772"/>
            <wp:docPr id="21" name="Picture 21"/>
            <wp:cNvGraphicFramePr>
              <a:graphicFrameLocks noChangeAspect="1"/>
            </wp:cNvGraphicFramePr>
            <a:graphic>
              <a:graphicData uri="http://schemas.openxmlformats.org/drawingml/2006/picture">
                <pic:pic>
                  <pic:nvPicPr>
                    <pic:cNvPr id="0" name="matlab_good_row_mean.jpg"/>
                    <pic:cNvPicPr/>
                  </pic:nvPicPr>
                  <pic:blipFill>
                    <a:blip r:embed="rId29"/>
                    <a:stretch>
                      <a:fillRect/>
                    </a:stretch>
                  </pic:blipFill>
                  <pic:spPr>
                    <a:xfrm>
                      <a:off x="0" y="0"/>
                      <a:ext cx="5029200" cy="2892772"/>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r>
        <w:br w:type="page"/>
      </w:r>
    </w:p>
    <w:p>
      <w:pPr>
        <w:spacing w:before="80" w:after="80"/>
        <w:jc w:val="center"/>
      </w:pPr>
      <w:r>
        <w:drawing>
          <wp:inline xmlns:a="http://schemas.openxmlformats.org/drawingml/2006/main" xmlns:pic="http://schemas.openxmlformats.org/drawingml/2006/picture">
            <wp:extent cx="5029200" cy="2897684"/>
            <wp:docPr id="22" name="Picture 22"/>
            <wp:cNvGraphicFramePr>
              <a:graphicFrameLocks noChangeAspect="1"/>
            </wp:cNvGraphicFramePr>
            <a:graphic>
              <a:graphicData uri="http://schemas.openxmlformats.org/drawingml/2006/picture">
                <pic:pic>
                  <pic:nvPicPr>
                    <pic:cNvPr id="0" name="matlab_good_col_mean.jpg"/>
                    <pic:cNvPicPr/>
                  </pic:nvPicPr>
                  <pic:blipFill>
                    <a:blip r:embed="rId30"/>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80" w:after="80"/>
        <w:jc w:val="center"/>
      </w:pPr>
      <w:r>
        <w:drawing>
          <wp:inline xmlns:a="http://schemas.openxmlformats.org/drawingml/2006/main" xmlns:pic="http://schemas.openxmlformats.org/drawingml/2006/picture">
            <wp:extent cx="5029200" cy="2902595"/>
            <wp:docPr id="23" name="Picture 23"/>
            <wp:cNvGraphicFramePr>
              <a:graphicFrameLocks noChangeAspect="1"/>
            </wp:cNvGraphicFramePr>
            <a:graphic>
              <a:graphicData uri="http://schemas.openxmlformats.org/drawingml/2006/picture">
                <pic:pic>
                  <pic:nvPicPr>
                    <pic:cNvPr id="0" name="matlab_good_row_std.jpg"/>
                    <pic:cNvPicPr/>
                  </pic:nvPicPr>
                  <pic:blipFill>
                    <a:blip r:embed="rId31"/>
                    <a:stretch>
                      <a:fillRect/>
                    </a:stretch>
                  </pic:blipFill>
                  <pic:spPr>
                    <a:xfrm>
                      <a:off x="0" y="0"/>
                      <a:ext cx="5029200" cy="2902595"/>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r>
        <w:br w:type="page"/>
      </w:r>
    </w:p>
    <w:p>
      <w:pPr>
        <w:spacing w:before="80" w:after="80"/>
        <w:jc w:val="center"/>
      </w:pPr>
      <w:r>
        <w:drawing>
          <wp:inline xmlns:a="http://schemas.openxmlformats.org/drawingml/2006/main" xmlns:pic="http://schemas.openxmlformats.org/drawingml/2006/picture">
            <wp:extent cx="5029200" cy="2897684"/>
            <wp:docPr id="24" name="Picture 24"/>
            <wp:cNvGraphicFramePr>
              <a:graphicFrameLocks noChangeAspect="1"/>
            </wp:cNvGraphicFramePr>
            <a:graphic>
              <a:graphicData uri="http://schemas.openxmlformats.org/drawingml/2006/picture">
                <pic:pic>
                  <pic:nvPicPr>
                    <pic:cNvPr id="0" name="matlab_good_col_std.jpg"/>
                    <pic:cNvPicPr/>
                  </pic:nvPicPr>
                  <pic:blipFill>
                    <a:blip r:embed="rId32"/>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Physical Insights on Spatial Profiling:</w:t>
        <w:br/>
        <w:t>1. Mode Intensity Isolation: The fixture background produces a dominant peak at intensity 20 in the histogram, confirming that background subtraction can be performed reliably with thresholding.</w:t>
        <w:br/>
        <w:t>2. Active Seam Signature: The row-wise mean profile reveals that the active weld seam exhibits high luminance (140-160) across rows 350-750, whereas non-bead regions decay rapidly toward baseline values.</w:t>
        <w:br/>
        <w:t>3. Edge Sharpness Validation: The column standard deviation profile exhibits sharp spikes at the boundary of the weld crown, validating that gradient edge operators (Sobel) can accurately isolate the seam boundaries.</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Gini-split white-box classifier</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Ensemble of 100 bagging decision trees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74.1%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80" w:line="276" w:lineRule="auto"/>
      </w:pPr>
      <w:r>
        <w:rPr>
          <w:rFonts w:ascii="Times New Roman" w:hAnsi="Times New Roman"/>
          <w:b/>
          <w:color w:val="000000"/>
          <w:sz w:val="26"/>
        </w:rPr>
        <w:t>6.4 ANALYSIS OF FEATURE EXTRACTION AND PCA DIMENSIONALITY</w:t>
      </w:r>
    </w:p>
    <w:p>
      <w:pPr>
        <w:spacing w:before="0" w:after="100" w:line="276" w:lineRule="auto"/>
        <w:jc w:val="both"/>
      </w:pPr>
      <w:r>
        <w:rPr>
          <w:rFonts w:ascii="Times New Roman" w:hAnsi="Times New Roman"/>
          <w:b w:val="0"/>
          <w:i w:val="0"/>
          <w:color w:val="000000"/>
          <w:sz w:val="24"/>
        </w:rPr>
        <w:t>Principal Component Analysis demonstrates that the first two principal components capture 74.2% of total cumulative variance (PC1 = 52.6%, PC2 = 21.6%). In the 2D projection space, Good and Defective specimens form distinct, non-overlapping clusters.</w:t>
      </w:r>
    </w:p>
    <w:p>
      <w:pPr>
        <w:spacing w:before="120" w:after="80" w:line="276" w:lineRule="auto"/>
      </w:pPr>
      <w:r>
        <w:rPr>
          <w:rFonts w:ascii="Times New Roman" w:hAnsi="Times New Roman"/>
          <w:b/>
          <w:color w:val="000000"/>
          <w:sz w:val="26"/>
        </w:rPr>
        <w:t>6.5 ANALYSIS OF CLASSIFICATION OUTPUT AND MODEL BENCHMARKING</w:t>
      </w:r>
    </w:p>
    <w:p>
      <w:pPr>
        <w:spacing w:before="0" w:after="100" w:line="276" w:lineRule="auto"/>
        <w:jc w:val="both"/>
      </w:pPr>
      <w:r>
        <w:rPr>
          <w:rFonts w:ascii="Times New Roman" w:hAnsi="Times New Roman"/>
          <w:b w:val="0"/>
          <w:i w:val="0"/>
          <w:color w:val="000000"/>
          <w:sz w:val="24"/>
        </w:rPr>
        <w:t>The white-box Decision Tree achieves 80.2% accuracy with an inference latency of just 2.1 ms. Its initial split on Solidity (threshold = 0.842) cleanly isolates all severe molten droop anomalies.</w:t>
      </w:r>
    </w:p>
    <w:p>
      <w:pPr>
        <w:spacing w:before="80" w:after="80"/>
        <w:jc w:val="center"/>
      </w:pPr>
      <w:r>
        <w:drawing>
          <wp:inline xmlns:a="http://schemas.openxmlformats.org/drawingml/2006/main" xmlns:pic="http://schemas.openxmlformats.org/drawingml/2006/picture">
            <wp:extent cx="5303520" cy="2651760"/>
            <wp:docPr id="25" name="Picture 25"/>
            <wp:cNvGraphicFramePr>
              <a:graphicFrameLocks noChangeAspect="1"/>
            </wp:cNvGraphicFramePr>
            <a:graphic>
              <a:graphicData uri="http://schemas.openxmlformats.org/drawingml/2006/picture">
                <pic:pic>
                  <pic:nvPicPr>
                    <pic:cNvPr id="0" name="fig_decision_tree.png"/>
                    <pic:cNvPicPr/>
                  </pic:nvPicPr>
                  <pic:blipFill>
                    <a:blip r:embed="rId33"/>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6" name="Picture 26"/>
            <wp:cNvGraphicFramePr>
              <a:graphicFrameLocks noChangeAspect="1"/>
            </wp:cNvGraphicFramePr>
            <a:graphic>
              <a:graphicData uri="http://schemas.openxmlformats.org/drawingml/2006/picture">
                <pic:pic>
                  <pic:nvPicPr>
                    <pic:cNvPr id="0" name="fig_confusion_matrix.png"/>
                    <pic:cNvPicPr/>
                  </pic:nvPicPr>
                  <pic:blipFill>
                    <a:blip r:embed="rId34"/>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(100 Trees)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74.1%</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8.6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descriptors whose separability was confirmed through 2D PCA (74.2% variance explained).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