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2"/>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2"/>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2"/>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Overview of the proposed 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Experimental hardware and rotor inspection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Isolated weld seam ROI macro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Smart weld ROI cropper multi-specimen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Full molten droop anomaly boundary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w:t>
            </w:r>
          </w:p>
        </w:tc>
      </w:tr>
    </w:tbl>
    <w:p>
      <w:r>
        <w:br w:type="page"/>
      </w:r>
    </w:p>
    <w:p>
      <w:pPr>
        <w:spacing w:before="0" w:after="40" w:line="276" w:lineRule="auto"/>
        <w:jc w:val="center"/>
      </w:pPr>
      <w:r>
        <w:rPr>
          <w:rFonts w:ascii="Times New Roman" w:hAnsi="Times New Roman"/>
          <w:b/>
          <w:color w:val="000000"/>
          <w:sz w:val="32"/>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2"/>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2"/>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2"/>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4"/>
        </w:rPr>
        <w:t>1.1 AIM</w:t>
      </w:r>
    </w:p>
    <w:p>
      <w:pPr>
        <w:spacing w:before="0" w:after="100" w:line="276" w:lineRule="auto"/>
        <w:jc w:val="both"/>
      </w:pPr>
      <w:r>
        <w:rPr>
          <w:rFonts w:ascii="Times New Roman" w:hAnsi="Times New Roman"/>
          <w:b w:val="0"/>
          <w:i w:val="0"/>
          <w:color w:val="000000"/>
          <w:sz w:val="22"/>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4"/>
        </w:rPr>
        <w:t>1.2 OBJECTIVES</w:t>
      </w:r>
    </w:p>
    <w:p>
      <w:pPr>
        <w:pStyle w:val="ListBullet"/>
        <w:spacing w:before="0" w:after="60" w:line="276" w:lineRule="auto"/>
        <w:jc w:val="both"/>
      </w:pPr>
      <w:r>
        <w:rPr>
          <w:rFonts w:ascii="Times New Roman" w:hAnsi="Times New Roman"/>
          <w:color w:val="000000"/>
          <w:sz w:val="22"/>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2"/>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2"/>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2"/>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2"/>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2"/>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2"/>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2"/>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2"/>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2"/>
        </w:rPr>
        <w:t>10. Validate the complete cyber-physical inspection chain against ISO 9001:2015 quality criteria.</w:t>
      </w:r>
    </w:p>
    <w:p>
      <w:pPr>
        <w:spacing w:before="120" w:after="80" w:line="276" w:lineRule="auto"/>
      </w:pPr>
      <w:r>
        <w:rPr>
          <w:rFonts w:ascii="Times New Roman" w:hAnsi="Times New Roman"/>
          <w:b/>
          <w:color w:val="000000"/>
          <w:sz w:val="24"/>
        </w:rPr>
        <w:t>1.3 SCOPE OF THE PROJECT</w:t>
      </w:r>
    </w:p>
    <w:p>
      <w:pPr>
        <w:spacing w:before="0" w:after="100" w:line="276" w:lineRule="auto"/>
        <w:jc w:val="both"/>
      </w:pPr>
      <w:r>
        <w:rPr>
          <w:rFonts w:ascii="Times New Roman" w:hAnsi="Times New Roman"/>
          <w:b w:val="0"/>
          <w:i w:val="0"/>
          <w:color w:val="000000"/>
          <w:sz w:val="22"/>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4"/>
        </w:rPr>
        <w:t>1.4 APPLICATIONS</w:t>
      </w:r>
    </w:p>
    <w:p>
      <w:pPr>
        <w:spacing w:before="0" w:after="100" w:line="276" w:lineRule="auto"/>
        <w:jc w:val="both"/>
      </w:pPr>
      <w:r>
        <w:rPr>
          <w:rFonts w:ascii="Times New Roman" w:hAnsi="Times New Roman"/>
          <w:b w:val="0"/>
          <w:i w:val="0"/>
          <w:color w:val="000000"/>
          <w:sz w:val="22"/>
        </w:rPr>
        <w:t>Potential industrial application areas include:</w:t>
      </w:r>
    </w:p>
    <w:p>
      <w:pPr>
        <w:pStyle w:val="ListBullet"/>
        <w:spacing w:before="0" w:after="60" w:line="276" w:lineRule="auto"/>
        <w:jc w:val="both"/>
      </w:pPr>
      <w:r>
        <w:rPr>
          <w:rFonts w:ascii="Times New Roman" w:hAnsi="Times New Roman"/>
          <w:color w:val="000000"/>
          <w:sz w:val="22"/>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2"/>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2"/>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2"/>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2"/>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2"/>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669280" cy="2227217"/>
            <wp:docPr id="3" name="Picture 3"/>
            <wp:cNvGraphicFramePr>
              <a:graphicFrameLocks noChangeAspect="1"/>
            </wp:cNvGraphicFramePr>
            <a:graphic>
              <a:graphicData uri="http://schemas.openxmlformats.org/drawingml/2006/picture">
                <pic:pic>
                  <pic:nvPicPr>
                    <pic:cNvPr id="0" name="fig_pipeline_arch.png"/>
                    <pic:cNvPicPr/>
                  </pic:nvPicPr>
                  <pic:blipFill>
                    <a:blip r:embed="rId11"/>
                    <a:stretch>
                      <a:fillRect/>
                    </a:stretch>
                  </pic:blipFill>
                  <pic:spPr>
                    <a:xfrm>
                      <a:off x="0" y="0"/>
                      <a:ext cx="5669280" cy="2227217"/>
                    </a:xfrm>
                    <a:prstGeom prst="rect"/>
                  </pic:spPr>
                </pic:pic>
              </a:graphicData>
            </a:graphic>
          </wp:inline>
        </w:drawing>
      </w:r>
    </w:p>
    <w:p>
      <w:pPr>
        <w:spacing w:before="60" w:after="120"/>
        <w:jc w:val="center"/>
      </w:pPr>
      <w:r>
        <w:rPr>
          <w:rFonts w:ascii="Times New Roman" w:hAnsi="Times New Roman"/>
          <w:b/>
          <w:i/>
          <w:sz w:val="21"/>
        </w:rPr>
        <w:t>Fig. 1.1 Overview of the proposed system architecture</w:t>
      </w:r>
    </w:p>
    <w:p>
      <w:r>
        <w:br w:type="page"/>
      </w:r>
    </w:p>
    <w:p>
      <w:pPr>
        <w:spacing w:before="0" w:after="40" w:line="276" w:lineRule="auto"/>
        <w:jc w:val="center"/>
      </w:pPr>
      <w:r>
        <w:rPr>
          <w:rFonts w:ascii="Times New Roman" w:hAnsi="Times New Roman"/>
          <w:b/>
          <w:color w:val="000000"/>
          <w:sz w:val="32"/>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4"/>
        </w:rPr>
        <w:t>2.1 OVERVIEW OF INDUSTRIAL WELD DEFECT INSPECTION</w:t>
      </w:r>
    </w:p>
    <w:p>
      <w:pPr>
        <w:spacing w:before="0" w:after="100" w:line="276" w:lineRule="auto"/>
        <w:jc w:val="both"/>
      </w:pPr>
      <w:r>
        <w:rPr>
          <w:rFonts w:ascii="Times New Roman" w:hAnsi="Times New Roman"/>
          <w:b w:val="0"/>
          <w:i w:val="0"/>
          <w:color w:val="000000"/>
          <w:sz w:val="22"/>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4"/>
        </w:rPr>
        <w:t>2.2 OPTICAL ACQUISITION AND LIGHTING GEOMETRY</w:t>
      </w:r>
    </w:p>
    <w:p>
      <w:pPr>
        <w:spacing w:before="0" w:after="100" w:line="276" w:lineRule="auto"/>
        <w:jc w:val="both"/>
      </w:pPr>
      <w:r>
        <w:rPr>
          <w:rFonts w:ascii="Times New Roman" w:hAnsi="Times New Roman"/>
          <w:b w:val="0"/>
          <w:i w:val="0"/>
          <w:color w:val="000000"/>
          <w:sz w:val="22"/>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4"/>
        </w:rPr>
        <w:t>2.3 SPATIAL AND MORPHOLOGICAL FEATURE DESCRIPTORS</w:t>
      </w:r>
    </w:p>
    <w:p>
      <w:pPr>
        <w:spacing w:before="0" w:after="100" w:line="276" w:lineRule="auto"/>
        <w:jc w:val="both"/>
      </w:pPr>
      <w:r>
        <w:rPr>
          <w:rFonts w:ascii="Times New Roman" w:hAnsi="Times New Roman"/>
          <w:b w:val="0"/>
          <w:i w:val="0"/>
          <w:color w:val="000000"/>
          <w:sz w:val="22"/>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2"/>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4"/>
        </w:rPr>
        <w:t>2.5 SALIENCY AND GRADIENT-BASED EDGE CROPPING METHODS</w:t>
      </w:r>
    </w:p>
    <w:p>
      <w:pPr>
        <w:spacing w:before="0" w:after="100" w:line="276" w:lineRule="auto"/>
        <w:jc w:val="both"/>
      </w:pPr>
      <w:r>
        <w:rPr>
          <w:rFonts w:ascii="Times New Roman" w:hAnsi="Times New Roman"/>
          <w:b w:val="0"/>
          <w:i w:val="0"/>
          <w:color w:val="000000"/>
          <w:sz w:val="22"/>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4"/>
        </w:rPr>
        <w:t>2.6 MACHINE LEARNING AND DEEP CONVOLUTIONAL CLASSIFIERS</w:t>
      </w:r>
    </w:p>
    <w:p>
      <w:pPr>
        <w:spacing w:before="0" w:after="100" w:line="276" w:lineRule="auto"/>
        <w:jc w:val="both"/>
      </w:pPr>
      <w:r>
        <w:rPr>
          <w:rFonts w:ascii="Times New Roman" w:hAnsi="Times New Roman"/>
          <w:b w:val="0"/>
          <w:i w:val="0"/>
          <w:color w:val="000000"/>
          <w:sz w:val="22"/>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4"/>
        </w:rPr>
        <w:t>2.7 RESEARCH GAP AND PROJECT MOTIVATION</w:t>
      </w:r>
    </w:p>
    <w:p>
      <w:pPr>
        <w:spacing w:before="0" w:after="100" w:line="276" w:lineRule="auto"/>
        <w:jc w:val="both"/>
      </w:pPr>
      <w:r>
        <w:rPr>
          <w:rFonts w:ascii="Times New Roman" w:hAnsi="Times New Roman"/>
          <w:b w:val="0"/>
          <w:i w:val="0"/>
          <w:color w:val="000000"/>
          <w:sz w:val="22"/>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2"/>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160" w:after="80" w:line="276" w:lineRule="auto"/>
      </w:pPr>
      <w:r>
        <w:rPr>
          <w:rFonts w:ascii="Times New Roman" w:hAnsi="Times New Roman"/>
          <w:b/>
          <w:color w:val="000000"/>
          <w:sz w:val="24"/>
        </w:rPr>
        <w:t>2.8 SUMMARY</w:t>
      </w:r>
    </w:p>
    <w:p>
      <w:pPr>
        <w:spacing w:before="0" w:after="100" w:line="276" w:lineRule="auto"/>
        <w:jc w:val="both"/>
      </w:pPr>
      <w:r>
        <w:rPr>
          <w:rFonts w:ascii="Times New Roman" w:hAnsi="Times New Roman"/>
          <w:b w:val="0"/>
          <w:i w:val="0"/>
          <w:color w:val="000000"/>
          <w:sz w:val="22"/>
        </w:rPr>
        <w:t>The literature survey establishes the technical foundation for selecting polarized optical macro imaging, Sobel-based saliency cropping, 15 mathematical feature descriptors, and a dual-tier classification pipeline combining explainable tree models with deep vision networks.</w:t>
      </w:r>
    </w:p>
    <w:p>
      <w:r>
        <w:br w:type="page"/>
      </w:r>
    </w:p>
    <w:p>
      <w:pPr>
        <w:spacing w:before="0" w:after="40" w:line="276" w:lineRule="auto"/>
        <w:jc w:val="center"/>
      </w:pPr>
      <w:r>
        <w:rPr>
          <w:rFonts w:ascii="Times New Roman" w:hAnsi="Times New Roman"/>
          <w:b/>
          <w:color w:val="000000"/>
          <w:sz w:val="32"/>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4"/>
        </w:rPr>
        <w:t>3.1 SYSTEM ARCHITECTURE</w:t>
      </w:r>
    </w:p>
    <w:p>
      <w:pPr>
        <w:spacing w:before="0" w:after="100" w:line="276" w:lineRule="auto"/>
        <w:jc w:val="both"/>
      </w:pPr>
      <w:r>
        <w:rPr>
          <w:rFonts w:ascii="Times New Roman" w:hAnsi="Times New Roman"/>
          <w:b w:val="0"/>
          <w:i w:val="0"/>
          <w:color w:val="000000"/>
          <w:sz w:val="22"/>
        </w:rPr>
        <w:t>The proposed cyber-physical inspection system is structured into four tightly integrated sequential stages:</w:t>
      </w:r>
    </w:p>
    <w:p>
      <w:pPr>
        <w:pStyle w:val="ListBullet"/>
        <w:spacing w:before="0" w:after="60" w:line="276" w:lineRule="auto"/>
        <w:jc w:val="both"/>
      </w:pPr>
      <w:r>
        <w:rPr>
          <w:rFonts w:ascii="Times New Roman" w:hAnsi="Times New Roman"/>
          <w:color w:val="000000"/>
          <w:sz w:val="22"/>
        </w:rPr>
        <w:t>Stage 1: Optical Acquisition &amp; Exploratory Signal Analysis - Industrial macro imaging sensor paired with diffuse polarized LED illumination, complemented by MATLAB Online for statistical moment decomposition and spatial intensity profiling.</w:t>
      </w:r>
    </w:p>
    <w:p>
      <w:pPr>
        <w:pStyle w:val="ListBullet"/>
        <w:spacing w:before="0" w:after="60" w:line="276" w:lineRule="auto"/>
        <w:jc w:val="both"/>
      </w:pPr>
      <w:r>
        <w:rPr>
          <w:rFonts w:ascii="Times New Roman" w:hAnsi="Times New Roman"/>
          <w:color w:val="000000"/>
          <w:sz w:val="22"/>
        </w:rPr>
        <w:t>Stage 2: Saliency-Guided Preprocessing and Adaptive ROI Cropping - Automatic conversion to gray, HSV, and LAB spaces, Sobel gradient edge filtering, morphological closure, and bounding box expansion to isolate the fusion bead while retaining full droplet protrusions.</w:t>
      </w:r>
    </w:p>
    <w:p>
      <w:pPr>
        <w:pStyle w:val="ListBullet"/>
        <w:spacing w:before="0" w:after="60" w:line="276" w:lineRule="auto"/>
        <w:jc w:val="both"/>
      </w:pPr>
      <w:r>
        <w:rPr>
          <w:rFonts w:ascii="Times New Roman" w:hAnsi="Times New Roman"/>
          <w:color w:val="000000"/>
          <w:sz w:val="22"/>
        </w:rPr>
        <w:t>Stage 3: Multi-Domain Feature Extraction and Tri-Model Inference Engine - Extraction of 15 intensity, morphological, and GLCM texture descriptors, fed to an explainable Decision Tree, Random Forest ensemble, and MobileNetV3 deep vision network.</w:t>
      </w:r>
    </w:p>
    <w:p>
      <w:pPr>
        <w:pStyle w:val="ListBullet"/>
        <w:spacing w:before="0" w:after="60" w:line="276" w:lineRule="auto"/>
        <w:jc w:val="both"/>
      </w:pPr>
      <w:r>
        <w:rPr>
          <w:rFonts w:ascii="Times New Roman" w:hAnsi="Times New Roman"/>
          <w:color w:val="000000"/>
          <w:sz w:val="22"/>
        </w:rPr>
        <w:t>Stage 4: Industrial 3-Tier Sorting and ISO Compliance Web Dashboard - Automated routing into Accept, Rework, or Scrap categories, complete with real-time canvas visualization and tamper-proof SHA-256 ISO 9001:2015 inspection certificates.</w:t>
      </w:r>
    </w:p>
    <w:p>
      <w:r>
        <w:br w:type="page"/>
      </w:r>
    </w:p>
    <w:p>
      <w:pPr>
        <w:spacing w:before="80" w:after="80"/>
        <w:jc w:val="center"/>
      </w:pPr>
      <w:r>
        <w:drawing>
          <wp:inline xmlns:a="http://schemas.openxmlformats.org/drawingml/2006/main" xmlns:pic="http://schemas.openxmlformats.org/drawingml/2006/picture">
            <wp:extent cx="4389120" cy="5852160"/>
            <wp:docPr id="4" name="Picture 4"/>
            <wp:cNvGraphicFramePr>
              <a:graphicFrameLocks noChangeAspect="1"/>
            </wp:cNvGraphicFramePr>
            <a:graphic>
              <a:graphicData uri="http://schemas.openxmlformats.org/drawingml/2006/picture">
                <pic:pic>
                  <pic:nvPicPr>
                    <pic:cNvPr id="0" name="fig_rotor_specimen_raw.jpg"/>
                    <pic:cNvPicPr/>
                  </pic:nvPicPr>
                  <pic:blipFill>
                    <a:blip r:embed="rId12"/>
                    <a:stretch>
                      <a:fillRect/>
                    </a:stretch>
                  </pic:blipFill>
                  <pic:spPr>
                    <a:xfrm>
                      <a:off x="0" y="0"/>
                      <a:ext cx="4389120" cy="5852160"/>
                    </a:xfrm>
                    <a:prstGeom prst="rect"/>
                  </pic:spPr>
                </pic:pic>
              </a:graphicData>
            </a:graphic>
          </wp:inline>
        </w:drawing>
      </w:r>
    </w:p>
    <w:p>
      <w:pPr>
        <w:spacing w:before="60" w:after="120"/>
        <w:jc w:val="center"/>
      </w:pPr>
      <w:r>
        <w:rPr>
          <w:rFonts w:ascii="Times New Roman" w:hAnsi="Times New Roman"/>
          <w:b/>
          <w:i/>
          <w:sz w:val="21"/>
        </w:rPr>
        <w:t>Fig. 3.1 Experimental hardware and rotor inspection setup</w:t>
      </w:r>
    </w:p>
    <w:p>
      <w:pPr>
        <w:spacing w:before="80" w:after="80"/>
        <w:jc w:val="center"/>
      </w:pPr>
      <w:r>
        <w:drawing>
          <wp:inline xmlns:a="http://schemas.openxmlformats.org/drawingml/2006/main" xmlns:pic="http://schemas.openxmlformats.org/drawingml/2006/picture">
            <wp:extent cx="4389120" cy="4486656"/>
            <wp:docPr id="5" name="Picture 5"/>
            <wp:cNvGraphicFramePr>
              <a:graphicFrameLocks noChangeAspect="1"/>
            </wp:cNvGraphicFramePr>
            <a:graphic>
              <a:graphicData uri="http://schemas.openxmlformats.org/drawingml/2006/picture">
                <pic:pic>
                  <pic:nvPicPr>
                    <pic:cNvPr id="0" name="fig_weld_seam_crop.jpg"/>
                    <pic:cNvPicPr/>
                  </pic:nvPicPr>
                  <pic:blipFill>
                    <a:blip r:embed="rId13"/>
                    <a:stretch>
                      <a:fillRect/>
                    </a:stretch>
                  </pic:blipFill>
                  <pic:spPr>
                    <a:xfrm>
                      <a:off x="0" y="0"/>
                      <a:ext cx="4389120" cy="4486656"/>
                    </a:xfrm>
                    <a:prstGeom prst="rect"/>
                  </pic:spPr>
                </pic:pic>
              </a:graphicData>
            </a:graphic>
          </wp:inline>
        </w:drawing>
      </w:r>
    </w:p>
    <w:p>
      <w:pPr>
        <w:spacing w:before="60" w:after="120"/>
        <w:jc w:val="center"/>
      </w:pPr>
      <w:r>
        <w:rPr>
          <w:rFonts w:ascii="Times New Roman" w:hAnsi="Times New Roman"/>
          <w:b/>
          <w:i/>
          <w:sz w:val="21"/>
        </w:rPr>
        <w:t>Fig. 3.2 Isolated weld seam ROI macro specimen</w:t>
      </w:r>
    </w:p>
    <w:p>
      <w:r>
        <w:br w:type="page"/>
      </w:r>
    </w:p>
    <w:p>
      <w:pPr>
        <w:spacing w:before="0" w:after="80" w:line="276" w:lineRule="auto"/>
      </w:pPr>
      <w:r>
        <w:rPr>
          <w:rFonts w:ascii="Times New Roman" w:hAnsi="Times New Roman"/>
          <w:b/>
          <w:color w:val="000000"/>
          <w:sz w:val="24"/>
        </w:rPr>
        <w:t>3.2 HARDWARE COMPONENTS</w:t>
      </w:r>
    </w:p>
    <w:p>
      <w:pPr>
        <w:spacing w:before="0" w:after="100" w:line="276" w:lineRule="auto"/>
        <w:jc w:val="both"/>
      </w:pPr>
      <w:r>
        <w:rPr>
          <w:rFonts w:ascii="Times New Roman" w:hAnsi="Times New Roman"/>
          <w:b w:val="0"/>
          <w:i w:val="0"/>
          <w:color w:val="000000"/>
          <w:sz w:val="22"/>
        </w:rPr>
        <w:t>3.2.1 High-Resolution Optical Camera: 12 MP industrial CMOS image sensor with 25 mm macro lens, capturing 4032 x 3024 raw images under controlled optical geometry.</w:t>
      </w:r>
    </w:p>
    <w:p>
      <w:pPr>
        <w:spacing w:before="0" w:after="100" w:line="276" w:lineRule="auto"/>
        <w:jc w:val="both"/>
      </w:pPr>
      <w:r>
        <w:rPr>
          <w:rFonts w:ascii="Times New Roman" w:hAnsi="Times New Roman"/>
          <w:b w:val="0"/>
          <w:i w:val="0"/>
          <w:color w:val="000000"/>
          <w:sz w:val="22"/>
        </w:rPr>
        <w:t>3.2.2 Processing Workstation and Edge Inference Engine: Intel Core multi-threaded host workstation with edge accelerator support (Raspberry Pi 5 / NVIDIA Jetson compatible) for sub-100ms inference.</w:t>
      </w:r>
    </w:p>
    <w:p>
      <w:pPr>
        <w:spacing w:before="0" w:after="100" w:line="276" w:lineRule="auto"/>
        <w:jc w:val="both"/>
      </w:pPr>
      <w:r>
        <w:rPr>
          <w:rFonts w:ascii="Times New Roman" w:hAnsi="Times New Roman"/>
          <w:b w:val="0"/>
          <w:i w:val="0"/>
          <w:color w:val="000000"/>
          <w:sz w:val="22"/>
        </w:rPr>
        <w:t>3.2.3 Industrial Lighting and Fixture Rig: Continuous diffuse ring LED illuminator with cross-polarizing filters mounted on a precision rotary indexing fixture for consistent rotor presentation.</w:t>
      </w:r>
    </w:p>
    <w:p>
      <w:pPr>
        <w:spacing w:before="0" w:after="100" w:line="276" w:lineRule="auto"/>
        <w:jc w:val="both"/>
      </w:pPr>
      <w:r>
        <w:rPr>
          <w:rFonts w:ascii="Times New Roman" w:hAnsi="Times New Roman"/>
          <w:b w:val="0"/>
          <w:i w:val="0"/>
          <w:color w:val="000000"/>
          <w:sz w:val="22"/>
        </w:rPr>
        <w:t>3.2.4 Web-Based Inspection Dashboard: Lightweight browser interface rendering client-side HTML5 canvas inspection overlays and asynchronous REST communication.</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HOST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CMOS Camera Sensor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USB 3.0 / GigE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High-resolution raw frame ingestion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LED Illuminator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24V DC / PWM GPIO</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Polarized specular glare elimination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Rotary Indexer</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RS-485 / Modbus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Automated angular rotor positioning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Pneumatic Sorting Gate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Opto-Isolated Relay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3-Tier physical reject actuation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Host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TCP/IP Ethernet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REST API and ISO certificate server</w:t>
            </w:r>
          </w:p>
        </w:tc>
      </w:tr>
    </w:tbl>
    <w:p>
      <w:r>
        <w:br w:type="page"/>
      </w:r>
    </w:p>
    <w:p>
      <w:pPr>
        <w:spacing w:before="0" w:after="80" w:line="276" w:lineRule="auto"/>
      </w:pPr>
      <w:r>
        <w:rPr>
          <w:rFonts w:ascii="Times New Roman" w:hAnsi="Times New Roman"/>
          <w:b/>
          <w:color w:val="000000"/>
          <w:sz w:val="24"/>
        </w:rPr>
        <w:t>3.4 SOFTWARE REQUIREMENTS AND DUAL ENVIRONMENT</w:t>
      </w:r>
    </w:p>
    <w:p>
      <w:pPr>
        <w:spacing w:before="0" w:after="100" w:line="276" w:lineRule="auto"/>
        <w:jc w:val="both"/>
      </w:pPr>
      <w:r>
        <w:rPr>
          <w:rFonts w:ascii="Times New Roman" w:hAnsi="Times New Roman"/>
          <w:b w:val="0"/>
          <w:i w:val="0"/>
          <w:color w:val="000000"/>
          <w:sz w:val="22"/>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2"/>
        </w:rPr>
        <w:t>MATLAB Online (R2024b): Used for rapid signal analysis, row/column intensity profiling, statistical moments calculation (mean, std, var, skewness, kurtosis), histogram plotting, and Excel data export (badrotor_pixel_data.xlsx, goodrotor_statistical_analysis.xlsx).</w:t>
      </w:r>
    </w:p>
    <w:p>
      <w:pPr>
        <w:pStyle w:val="ListBullet"/>
        <w:spacing w:before="0" w:after="60" w:line="276" w:lineRule="auto"/>
        <w:jc w:val="both"/>
      </w:pPr>
      <w:r>
        <w:rPr>
          <w:rFonts w:ascii="Times New Roman" w:hAnsi="Times New Roman"/>
          <w:color w:val="000000"/>
          <w:sz w:val="22"/>
        </w:rPr>
        <w:t>OpenCV (cv2 4.10): Production image conversions, Sobel gradient edge maps, Otsu adaptive binarization, and morphological closure.</w:t>
      </w:r>
    </w:p>
    <w:p>
      <w:pPr>
        <w:pStyle w:val="ListBullet"/>
        <w:spacing w:before="0" w:after="60" w:line="276" w:lineRule="auto"/>
        <w:jc w:val="both"/>
      </w:pPr>
      <w:r>
        <w:rPr>
          <w:rFonts w:ascii="Times New Roman" w:hAnsi="Times New Roman"/>
          <w:color w:val="000000"/>
          <w:sz w:val="22"/>
        </w:rPr>
        <w:t>PyTorch (2.4.1): Transfer learning, convolutional tensor inference, and forward pass evaluation of the MobileNetV3 deep vision classifier.</w:t>
      </w:r>
    </w:p>
    <w:p>
      <w:pPr>
        <w:pStyle w:val="ListBullet"/>
        <w:spacing w:before="0" w:after="60" w:line="276" w:lineRule="auto"/>
        <w:jc w:val="both"/>
      </w:pPr>
      <w:r>
        <w:rPr>
          <w:rFonts w:ascii="Times New Roman" w:hAnsi="Times New Roman"/>
          <w:color w:val="000000"/>
          <w:sz w:val="22"/>
        </w:rPr>
        <w:t>Scikit-Learn (1.5.2): Extraction of 15 mathematical descriptors, 2D Principal Component Analysis (PCA), Decision Tree classification, and Random Forest ensemble.</w:t>
      </w:r>
    </w:p>
    <w:p>
      <w:pPr>
        <w:pStyle w:val="ListBullet"/>
        <w:spacing w:before="0" w:after="60" w:line="276" w:lineRule="auto"/>
        <w:jc w:val="both"/>
      </w:pPr>
      <w:r>
        <w:rPr>
          <w:rFonts w:ascii="Times New Roman" w:hAnsi="Times New Roman"/>
          <w:color w:val="000000"/>
          <w:sz w:val="22"/>
        </w:rPr>
        <w:t>Scikit-Image (0.24): Computation of Gray-Level Co-occurrence Matrix (GLCM) and Haralick second-order texture moments.</w:t>
      </w:r>
    </w:p>
    <w:p>
      <w:pPr>
        <w:pStyle w:val="ListBullet"/>
        <w:spacing w:before="0" w:after="60" w:line="276" w:lineRule="auto"/>
        <w:jc w:val="both"/>
      </w:pPr>
      <w:r>
        <w:rPr>
          <w:rFonts w:ascii="Times New Roman" w:hAnsi="Times New Roman"/>
          <w:color w:val="000000"/>
          <w:sz w:val="22"/>
        </w:rPr>
        <w:t>ReportLab &amp; python-docx: Automated generation of publication-grade ISO 9001:2015 PDF certificates and academic monograph reports in Word/PDF formats.</w:t>
      </w:r>
    </w:p>
    <w:p>
      <w:pPr>
        <w:pStyle w:val="ListBullet"/>
        <w:spacing w:before="0" w:after="60" w:line="276" w:lineRule="auto"/>
        <w:jc w:val="both"/>
      </w:pPr>
      <w:r>
        <w:rPr>
          <w:rFonts w:ascii="Times New Roman" w:hAnsi="Times New Roman"/>
          <w:color w:val="000000"/>
          <w:sz w:val="22"/>
        </w:rPr>
        <w:t>HTML5 / JavaScript Web Client: Responsive browser UI with interactive canvas ROI selection and dual download endpoints.</w:t>
      </w:r>
    </w:p>
    <w:p>
      <w:pPr>
        <w:spacing w:before="0" w:after="100" w:line="276" w:lineRule="auto"/>
        <w:jc w:val="both"/>
      </w:pPr>
      <w:r>
        <w:rPr>
          <w:rFonts w:ascii="Times New Roman" w:hAnsi="Times New Roman"/>
          <w:b w:val="0"/>
          <w:i w:val="0"/>
          <w:color w:val="000000"/>
          <w:sz w:val="22"/>
        </w:rPr>
        <w:t>The software stack operates fully asynchronously, ensuring non-blocking camera frame ingestion, sub-100ms inference latency, and high operational throughput on the factory floor.</w:t>
      </w:r>
    </w:p>
    <w:p>
      <w:r>
        <w:br w:type="page"/>
      </w:r>
    </w:p>
    <w:p>
      <w:pPr>
        <w:spacing w:before="0" w:after="40" w:line="276" w:lineRule="auto"/>
        <w:jc w:val="center"/>
      </w:pPr>
      <w:r>
        <w:rPr>
          <w:rFonts w:ascii="Times New Roman" w:hAnsi="Times New Roman"/>
          <w:b/>
          <w:color w:val="000000"/>
          <w:sz w:val="32"/>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4"/>
        </w:rPr>
        <w:t>4.1 OVERALL METHODOLOGY</w:t>
      </w:r>
    </w:p>
    <w:p>
      <w:pPr>
        <w:spacing w:before="0" w:after="100" w:line="276" w:lineRule="auto"/>
        <w:jc w:val="both"/>
      </w:pPr>
      <w:r>
        <w:rPr>
          <w:rFonts w:ascii="Times New Roman" w:hAnsi="Times New Roman"/>
          <w:b w:val="0"/>
          <w:i w:val="0"/>
          <w:color w:val="000000"/>
          <w:sz w:val="22"/>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2"/>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2"/>
        </w:rPr>
        <w:t>2. Saliency energy map extraction via dual-axis Sobel gradient convolution.</w:t>
      </w:r>
    </w:p>
    <w:p>
      <w:pPr>
        <w:pStyle w:val="ListBullet"/>
        <w:spacing w:before="0" w:after="60" w:line="276" w:lineRule="auto"/>
        <w:jc w:val="both"/>
      </w:pPr>
      <w:r>
        <w:rPr>
          <w:rFonts w:ascii="Times New Roman" w:hAnsi="Times New Roman"/>
          <w:color w:val="000000"/>
          <w:sz w:val="22"/>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2"/>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2"/>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2"/>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2"/>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Adam (lr = 1e-4, weight_decay = 1e-5)</w:t>
            </w:r>
          </w:p>
        </w:tc>
      </w:tr>
    </w:tbl>
    <w:p>
      <w:r>
        <w:br w:type="page"/>
      </w:r>
    </w:p>
    <w:p>
      <w:pPr>
        <w:spacing w:before="0" w:after="80" w:line="276" w:lineRule="auto"/>
      </w:pPr>
      <w:r>
        <w:rPr>
          <w:rFonts w:ascii="Times New Roman" w:hAnsi="Times New Roman"/>
          <w:b/>
          <w:color w:val="000000"/>
          <w:sz w:val="24"/>
        </w:rPr>
        <w:t>4.3 SALIENCY-GUIDED WELD ROI CROPPING ALGORITHM</w:t>
      </w:r>
    </w:p>
    <w:p>
      <w:pPr>
        <w:spacing w:before="0" w:after="100" w:line="276" w:lineRule="auto"/>
        <w:jc w:val="both"/>
      </w:pPr>
      <w:r>
        <w:rPr>
          <w:rFonts w:ascii="Times New Roman" w:hAnsi="Times New Roman"/>
          <w:b w:val="0"/>
          <w:i w:val="0"/>
          <w:color w:val="000000"/>
          <w:sz w:val="22"/>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2"/>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2"/>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6" name="Picture 6"/>
            <wp:cNvGraphicFramePr>
              <a:graphicFrameLocks noChangeAspect="1"/>
            </wp:cNvGraphicFramePr>
            <a:graphic>
              <a:graphicData uri="http://schemas.openxmlformats.org/drawingml/2006/picture">
                <pic:pic>
                  <pic:nvPicPr>
                    <pic:cNvPr id="0" name="fig_sobel_edge_map.png"/>
                    <pic:cNvPicPr/>
                  </pic:nvPicPr>
                  <pic:blipFill>
                    <a:blip r:embed="rId14"/>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1"/>
        </w:rPr>
        <w:t>Fig. 4.1 Saliency Sobel filter edge detection map</w:t>
      </w:r>
    </w:p>
    <w:p>
      <w:r>
        <w:br w:type="page"/>
      </w:r>
    </w:p>
    <w:p>
      <w:pPr>
        <w:spacing w:before="0" w:after="80" w:line="276" w:lineRule="auto"/>
      </w:pPr>
      <w:r>
        <w:rPr>
          <w:rFonts w:ascii="Times New Roman" w:hAnsi="Times New Roman"/>
          <w:b/>
          <w:color w:val="000000"/>
          <w:sz w:val="24"/>
        </w:rPr>
        <w:t>SALIENCY CROPPER MULTI-SPECIMEN ANALYSIS</w:t>
      </w:r>
    </w:p>
    <w:p>
      <w:pPr>
        <w:spacing w:before="0" w:after="100" w:line="276" w:lineRule="auto"/>
        <w:jc w:val="both"/>
      </w:pPr>
      <w:r>
        <w:rPr>
          <w:rFonts w:ascii="Times New Roman" w:hAnsi="Times New Roman"/>
          <w:b w:val="0"/>
          <w:i w:val="0"/>
          <w:color w:val="000000"/>
          <w:sz w:val="22"/>
        </w:rPr>
        <w:t>Figure 4.2 illustrates the multi-specimen performance of the saliency-guided adaptive cropper across both sound and defective rotors. Unlike rigid bounding boxes, the adaptive cropper evaluates local gradient density to center the fusion zone accurately.</w:t>
      </w:r>
    </w:p>
    <w:p>
      <w:pPr>
        <w:spacing w:before="80" w:after="80"/>
        <w:jc w:val="center"/>
      </w:pPr>
      <w:r>
        <w:drawing>
          <wp:inline xmlns:a="http://schemas.openxmlformats.org/drawingml/2006/main" xmlns:pic="http://schemas.openxmlformats.org/drawingml/2006/picture">
            <wp:extent cx="5486400" cy="8778240"/>
            <wp:docPr id="7" name="Picture 7"/>
            <wp:cNvGraphicFramePr>
              <a:graphicFrameLocks noChangeAspect="1"/>
            </wp:cNvGraphicFramePr>
            <a:graphic>
              <a:graphicData uri="http://schemas.openxmlformats.org/drawingml/2006/picture">
                <pic:pic>
                  <pic:nvPicPr>
                    <pic:cNvPr id="0" name="fig_smart_crop_preview.png"/>
                    <pic:cNvPicPr/>
                  </pic:nvPicPr>
                  <pic:blipFill>
                    <a:blip r:embed="rId15"/>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1"/>
        </w:rPr>
        <w:t>Fig. 4.2 Smart weld ROI cropper multi-specimen comparison</w:t>
      </w:r>
    </w:p>
    <w:p>
      <w:r>
        <w:br w:type="page"/>
      </w:r>
    </w:p>
    <w:p>
      <w:pPr>
        <w:spacing w:before="0" w:after="80" w:line="276" w:lineRule="auto"/>
      </w:pPr>
      <w:r>
        <w:rPr>
          <w:rFonts w:ascii="Times New Roman" w:hAnsi="Times New Roman"/>
          <w:b/>
          <w:color w:val="000000"/>
          <w:sz w:val="24"/>
        </w:rPr>
        <w:t>FULL MOLTEN DROOP ANOMALY BOUNDARY RETENTION</w:t>
      </w:r>
    </w:p>
    <w:p>
      <w:pPr>
        <w:spacing w:before="0" w:after="100" w:line="276" w:lineRule="auto"/>
        <w:jc w:val="both"/>
      </w:pPr>
      <w:r>
        <w:rPr>
          <w:rFonts w:ascii="Times New Roman" w:hAnsi="Times New Roman"/>
          <w:b w:val="0"/>
          <w:i w:val="0"/>
          <w:color w:val="000000"/>
          <w:sz w:val="22"/>
        </w:rPr>
        <w:t>Figure 4.3 demonstrates the critical importance of bounding box inflation. Conventional cropping severs protruding molten dripping defects, falsely inflating solidity metrics. Our adaptive padding margin (+15% horizontal, +25% vertical) guarantees complete droop capture without truncation.</w:t>
      </w:r>
    </w:p>
    <w:p>
      <w:pPr>
        <w:spacing w:before="80" w:after="80"/>
        <w:jc w:val="center"/>
      </w:pPr>
      <w:r>
        <w:drawing>
          <wp:inline xmlns:a="http://schemas.openxmlformats.org/drawingml/2006/main" xmlns:pic="http://schemas.openxmlformats.org/drawingml/2006/picture">
            <wp:extent cx="5303520" cy="2581566"/>
            <wp:docPr id="8" name="Picture 8"/>
            <wp:cNvGraphicFramePr>
              <a:graphicFrameLocks noChangeAspect="1"/>
            </wp:cNvGraphicFramePr>
            <a:graphic>
              <a:graphicData uri="http://schemas.openxmlformats.org/drawingml/2006/picture">
                <pic:pic>
                  <pic:nvPicPr>
                    <pic:cNvPr id="0" name="fig_drip_preservation.jpg"/>
                    <pic:cNvPicPr/>
                  </pic:nvPicPr>
                  <pic:blipFill>
                    <a:blip r:embed="rId16"/>
                    <a:stretch>
                      <a:fillRect/>
                    </a:stretch>
                  </pic:blipFill>
                  <pic:spPr>
                    <a:xfrm>
                      <a:off x="0" y="0"/>
                      <a:ext cx="5303520" cy="2581566"/>
                    </a:xfrm>
                    <a:prstGeom prst="rect"/>
                  </pic:spPr>
                </pic:pic>
              </a:graphicData>
            </a:graphic>
          </wp:inline>
        </w:drawing>
      </w:r>
    </w:p>
    <w:p>
      <w:pPr>
        <w:spacing w:before="60" w:after="120"/>
        <w:jc w:val="center"/>
      </w:pPr>
      <w:r>
        <w:rPr>
          <w:rFonts w:ascii="Times New Roman" w:hAnsi="Times New Roman"/>
          <w:b/>
          <w:i/>
          <w:sz w:val="21"/>
        </w:rPr>
        <w:t>Fig. 4.3 Full molten droop anomaly boundary preservation without clipping</w:t>
      </w:r>
    </w:p>
    <w:p>
      <w:r>
        <w:br w:type="page"/>
      </w:r>
    </w:p>
    <w:p>
      <w:pPr>
        <w:spacing w:before="0" w:after="80" w:line="276" w:lineRule="auto"/>
      </w:pPr>
      <w:r>
        <w:rPr>
          <w:rFonts w:ascii="Times New Roman" w:hAnsi="Times New Roman"/>
          <w:b/>
          <w:color w:val="000000"/>
          <w:sz w:val="24"/>
        </w:rPr>
        <w:t>4.4 MATHEMATICAL FEATURE EXTRACTION FORMULATION</w:t>
      </w:r>
    </w:p>
    <w:p>
      <w:pPr>
        <w:spacing w:before="0" w:after="100" w:line="276" w:lineRule="auto"/>
        <w:jc w:val="both"/>
      </w:pPr>
      <w:r>
        <w:rPr>
          <w:rFonts w:ascii="Times New Roman" w:hAnsi="Times New Roman"/>
          <w:b w:val="0"/>
          <w:i w:val="0"/>
          <w:color w:val="000000"/>
          <w:sz w:val="22"/>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2"/>
        </w:rPr>
        <w:t>4.4.1 Intensity and Density Descriptors:</w:t>
        <w:br/>
        <w:t>- Mean Luminance: mu = (1/N) Sum I_i</w:t>
        <w:br/>
        <w:t>- Standard Deviation: sigma = sqrt[ (1/N) Sum (I_i - mu)^2 ]</w:t>
        <w:br/>
        <w:t>- Intensity Skewness: gamma_1 = (1/N sigma^3) Sum (I_i - mu)^3</w:t>
        <w:br/>
        <w:t>- Intensity Kurtosis: beta_2 = (1/N sigma^4) Sum (I_i - mu)^4</w:t>
        <w:br/>
        <w:t>- Edge Pixel Density: rho = (Count of edge pixels) / (Total ROI Area)</w:t>
      </w:r>
    </w:p>
    <w:p>
      <w:pPr>
        <w:spacing w:before="0" w:after="100" w:line="276" w:lineRule="auto"/>
        <w:jc w:val="both"/>
      </w:pPr>
      <w:r>
        <w:rPr>
          <w:rFonts w:ascii="Times New Roman" w:hAnsi="Times New Roman"/>
          <w:b w:val="0"/>
          <w:i w:val="0"/>
          <w:color w:val="000000"/>
          <w:sz w:val="22"/>
        </w:rPr>
        <w:t>4.4.2 Morphological and Geometric Contours:</w:t>
        <w:br/>
        <w:t>- Contour Area (A) and Perimeter (P)</w:t>
        <w:br/>
        <w:t>- Compactness (Circularity): C = 4*pi*A / P^2</w:t>
        <w:br/>
        <w:t>- Solidity: S = A(Contour) / A(Convex Hull)</w:t>
        <w:br/>
        <w:t>- Aspect Ratio: AR = Width / Height</w:t>
        <w:br/>
        <w:t>- Eccentricity: e = sqrt(1 - b^2 / a^2)</w:t>
      </w:r>
    </w:p>
    <w:p>
      <w:pPr>
        <w:spacing w:before="0" w:after="100" w:line="276" w:lineRule="auto"/>
        <w:jc w:val="both"/>
      </w:pPr>
      <w:r>
        <w:rPr>
          <w:rFonts w:ascii="Times New Roman" w:hAnsi="Times New Roman"/>
          <w:b w:val="0"/>
          <w:i w:val="0"/>
          <w:color w:val="000000"/>
          <w:sz w:val="22"/>
        </w:rPr>
        <w:t>4.4.3 GLCM Haralick Texture Descriptors:</w:t>
        <w:br/>
        <w:t>- Contrast: Sum |i - j|^2 P(i, j)</w:t>
        <w:br/>
        <w:t>- Energy (Angular Second Moment): Sum P(i, j)^2</w:t>
        <w:br/>
        <w:t>- Entropy: -Sum P(i, j) log2(P(i, j))</w:t>
        <w:br/>
        <w:t>- Homogeneity: Sum P(i, j) / (1 + |i - j|)</w:t>
        <w:br/>
        <w:t>- Correlation: Sum (i - mu_i)(j - mu_j) P(i, j) / (sigma_i sigma_j)</w:t>
      </w:r>
    </w:p>
    <w:p>
      <w:r>
        <w:br w:type="page"/>
      </w:r>
    </w:p>
    <w:p>
      <w:pPr>
        <w:spacing w:before="0" w:after="80" w:line="276" w:lineRule="auto"/>
      </w:pPr>
      <w:r>
        <w:rPr>
          <w:rFonts w:ascii="Times New Roman" w:hAnsi="Times New Roman"/>
          <w:b/>
          <w:color w:val="000000"/>
          <w:sz w:val="24"/>
        </w:rPr>
        <w:t>4.5 MACHINE LEARNING CLASSIFICATION LOGIC</w:t>
      </w:r>
    </w:p>
    <w:p>
      <w:pPr>
        <w:spacing w:before="0" w:after="100" w:line="276" w:lineRule="auto"/>
        <w:jc w:val="both"/>
      </w:pPr>
      <w:r>
        <w:rPr>
          <w:rFonts w:ascii="Times New Roman" w:hAnsi="Times New Roman"/>
          <w:b w:val="0"/>
          <w:i w:val="0"/>
          <w:color w:val="000000"/>
          <w:sz w:val="22"/>
        </w:rPr>
        <w:t>The white-box Decision Tree evaluates the extracted mathematical descriptors using trained hierarchical splitting conditions. The decision logic is expressed directly in code:</w:t>
      </w:r>
    </w:p>
    <w:p>
      <w:pPr>
        <w:spacing w:before="80" w:after="120"/>
        <w:ind w:left="576"/>
      </w:pPr>
      <w:r>
        <w:rPr>
          <w:rFonts w:ascii="Courier New" w:hAnsi="Courier New"/>
          <w:sz w:val="18"/>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2"/>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2"/>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Hold part on indexing table for QA supervisor physical audit. Flashing buzzer.</w:t>
            </w:r>
          </w:p>
        </w:tc>
      </w:tr>
    </w:tbl>
    <w:p>
      <w:pPr>
        <w:spacing w:before="160" w:after="80" w:line="276" w:lineRule="auto"/>
      </w:pPr>
      <w:r>
        <w:rPr>
          <w:rFonts w:ascii="Times New Roman" w:hAnsi="Times New Roman"/>
          <w:b/>
          <w:color w:val="000000"/>
          <w:sz w:val="24"/>
        </w:rPr>
        <w:t>4.7 OUTPUT INDICATION AND REPORT GENERATION</w:t>
      </w:r>
    </w:p>
    <w:p>
      <w:pPr>
        <w:spacing w:before="0" w:after="100" w:line="276" w:lineRule="auto"/>
        <w:jc w:val="both"/>
      </w:pPr>
      <w:r>
        <w:rPr>
          <w:rFonts w:ascii="Times New Roman" w:hAnsi="Times New Roman"/>
          <w:b w:val="0"/>
          <w:i w:val="0"/>
          <w:color w:val="000000"/>
          <w:sz w:val="22"/>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4"/>
        </w:rPr>
        <w:t>4.8 SOFTWARE IMPLEMENTATION SUMMARY</w:t>
      </w:r>
    </w:p>
    <w:p>
      <w:pPr>
        <w:spacing w:before="0" w:after="100" w:line="276" w:lineRule="auto"/>
        <w:jc w:val="both"/>
      </w:pPr>
      <w:r>
        <w:rPr>
          <w:rFonts w:ascii="Times New Roman" w:hAnsi="Times New Roman"/>
          <w:b w:val="0"/>
          <w:i w:val="0"/>
          <w:color w:val="000000"/>
          <w:sz w:val="22"/>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4"/>
        </w:rPr>
        <w:t>4.9 IMPORTANT TECHNICAL OBSERVATIONS</w:t>
      </w:r>
    </w:p>
    <w:p>
      <w:pPr>
        <w:pStyle w:val="ListBullet"/>
        <w:spacing w:before="0" w:after="60" w:line="276" w:lineRule="auto"/>
        <w:jc w:val="both"/>
      </w:pPr>
      <w:r>
        <w:rPr>
          <w:rFonts w:ascii="Times New Roman" w:hAnsi="Times New Roman"/>
          <w:color w:val="000000"/>
          <w:sz w:val="22"/>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2"/>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2"/>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4"/>
        </w:rPr>
        <w:t>4.10 DEEP CONVOLUTIONAL VALIDATION</w:t>
      </w:r>
    </w:p>
    <w:p>
      <w:pPr>
        <w:spacing w:before="0" w:after="100" w:line="276" w:lineRule="auto"/>
        <w:jc w:val="both"/>
      </w:pPr>
      <w:r>
        <w:rPr>
          <w:rFonts w:ascii="Times New Roman" w:hAnsi="Times New Roman"/>
          <w:b w:val="0"/>
          <w:i w:val="0"/>
          <w:color w:val="000000"/>
          <w:sz w:val="22"/>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4"/>
        </w:rPr>
        <w:t>4.11 MATLAB EXPLORATORY SIGNAL &amp; IMAGE PROCESSING PIPELINE</w:t>
      </w:r>
    </w:p>
    <w:p>
      <w:pPr>
        <w:spacing w:before="0" w:after="100" w:line="276" w:lineRule="auto"/>
        <w:jc w:val="both"/>
      </w:pPr>
      <w:r>
        <w:rPr>
          <w:rFonts w:ascii="Times New Roman" w:hAnsi="Times New Roman"/>
          <w:b w:val="0"/>
          <w:i w:val="0"/>
          <w:color w:val="000000"/>
          <w:sz w:val="22"/>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2"/>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2"/>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2"/>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4"/>
        </w:rPr>
        <w:t>WEB INSPECTION STUDIO AND AI DIAGNOSTIC DASHBOARD</w:t>
      </w:r>
    </w:p>
    <w:p>
      <w:pPr>
        <w:spacing w:before="0" w:after="100" w:line="276" w:lineRule="auto"/>
        <w:jc w:val="both"/>
      </w:pPr>
      <w:r>
        <w:rPr>
          <w:rFonts w:ascii="Times New Roman" w:hAnsi="Times New Roman"/>
          <w:b w:val="0"/>
          <w:i w:val="0"/>
          <w:color w:val="000000"/>
          <w:sz w:val="22"/>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9" name="Picture 9"/>
            <wp:cNvGraphicFramePr>
              <a:graphicFrameLocks noChangeAspect="1"/>
            </wp:cNvGraphicFramePr>
            <a:graphic>
              <a:graphicData uri="http://schemas.openxmlformats.org/drawingml/2006/picture">
                <pic:pic>
                  <pic:nvPicPr>
                    <pic:cNvPr id="0" name="fig_web_dashboard.png"/>
                    <pic:cNvPicPr/>
                  </pic:nvPicPr>
                  <pic:blipFill>
                    <a:blip r:embed="rId17"/>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1"/>
        </w:rPr>
        <w:t>Fig. 5.1 Web inspection studio and AI diagnostic interface</w:t>
      </w:r>
    </w:p>
    <w:p>
      <w:r>
        <w:br w:type="page"/>
      </w:r>
    </w:p>
    <w:p>
      <w:pPr>
        <w:spacing w:before="0" w:after="40" w:line="276" w:lineRule="auto"/>
        <w:jc w:val="center"/>
      </w:pPr>
      <w:r>
        <w:rPr>
          <w:rFonts w:ascii="Times New Roman" w:hAnsi="Times New Roman"/>
          <w:b/>
          <w:color w:val="000000"/>
          <w:sz w:val="32"/>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4"/>
        </w:rPr>
        <w:t>5.1 EXPERIMENTAL SETUP</w:t>
      </w:r>
    </w:p>
    <w:p>
      <w:pPr>
        <w:spacing w:before="0" w:after="100" w:line="276" w:lineRule="auto"/>
        <w:jc w:val="both"/>
      </w:pPr>
      <w:r>
        <w:rPr>
          <w:rFonts w:ascii="Times New Roman" w:hAnsi="Times New Roman"/>
          <w:b w:val="0"/>
          <w:i w:val="0"/>
          <w:color w:val="000000"/>
          <w:sz w:val="22"/>
        </w:rPr>
        <w:t>The experimental setup comprises an industrial rotor inspection testbed featuring a 12 MP CMOS optical sensor mounted orthogonally over a precision rotary chuck. Diffuse 5500K LED ring illumination with cross-polarizing filters illuminates the rotor end-ring.</w:t>
      </w:r>
    </w:p>
    <w:p>
      <w:pPr>
        <w:spacing w:before="120" w:after="80" w:line="276" w:lineRule="auto"/>
      </w:pPr>
      <w:r>
        <w:rPr>
          <w:rFonts w:ascii="Times New Roman" w:hAnsi="Times New Roman"/>
          <w:b/>
          <w:color w:val="000000"/>
          <w:sz w:val="24"/>
        </w:rPr>
        <w:t>5.2 TESTING PROCEDURE</w:t>
      </w:r>
    </w:p>
    <w:p>
      <w:pPr>
        <w:pStyle w:val="ListBullet"/>
        <w:spacing w:before="0" w:after="60" w:line="276" w:lineRule="auto"/>
        <w:jc w:val="both"/>
      </w:pPr>
      <w:r>
        <w:rPr>
          <w:rFonts w:ascii="Times New Roman" w:hAnsi="Times New Roman"/>
          <w:color w:val="000000"/>
          <w:sz w:val="22"/>
        </w:rPr>
        <w:t>1. Mount the rotor specimen onto the indexing spindle under polarized LED illumination.</w:t>
      </w:r>
    </w:p>
    <w:p>
      <w:pPr>
        <w:pStyle w:val="ListBullet"/>
        <w:spacing w:before="0" w:after="60" w:line="276" w:lineRule="auto"/>
        <w:jc w:val="both"/>
      </w:pPr>
      <w:r>
        <w:rPr>
          <w:rFonts w:ascii="Times New Roman" w:hAnsi="Times New Roman"/>
          <w:color w:val="000000"/>
          <w:sz w:val="22"/>
        </w:rPr>
        <w:t>2. Trigger optical frame capture via the web inspection studio or camera API.</w:t>
      </w:r>
    </w:p>
    <w:p>
      <w:pPr>
        <w:pStyle w:val="ListBullet"/>
        <w:spacing w:before="0" w:after="60" w:line="276" w:lineRule="auto"/>
        <w:jc w:val="both"/>
      </w:pPr>
      <w:r>
        <w:rPr>
          <w:rFonts w:ascii="Times New Roman" w:hAnsi="Times New Roman"/>
          <w:color w:val="000000"/>
          <w:sz w:val="22"/>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2"/>
        </w:rPr>
        <w:t>4. Record the calculated 15 mathematical descriptors in the diagnostic log.</w:t>
      </w:r>
    </w:p>
    <w:p>
      <w:pPr>
        <w:pStyle w:val="ListBullet"/>
        <w:spacing w:before="0" w:after="60" w:line="276" w:lineRule="auto"/>
        <w:jc w:val="both"/>
      </w:pPr>
      <w:r>
        <w:rPr>
          <w:rFonts w:ascii="Times New Roman" w:hAnsi="Times New Roman"/>
          <w:color w:val="000000"/>
          <w:sz w:val="22"/>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2"/>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2"/>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2"/>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200 milliseconds per specimen</w:t>
            </w:r>
          </w:p>
        </w:tc>
      </w:tr>
    </w:tbl>
    <w:p>
      <w:r>
        <w:br w:type="page"/>
      </w:r>
    </w:p>
    <w:p>
      <w:pPr>
        <w:spacing w:before="0" w:after="80" w:line="276" w:lineRule="auto"/>
      </w:pPr>
      <w:r>
        <w:rPr>
          <w:rFonts w:ascii="Times New Roman" w:hAnsi="Times New Roman"/>
          <w:b/>
          <w:color w:val="000000"/>
          <w:sz w:val="24"/>
        </w:rPr>
        <w:t>5.4 OBSERVATIONS DURING TESTING</w:t>
      </w:r>
    </w:p>
    <w:p>
      <w:pPr>
        <w:spacing w:before="0" w:after="100" w:line="276" w:lineRule="auto"/>
        <w:jc w:val="both"/>
      </w:pPr>
      <w:r>
        <w:rPr>
          <w:rFonts w:ascii="Times New Roman" w:hAnsi="Times New Roman"/>
          <w:b w:val="0"/>
          <w:i w:val="0"/>
          <w:color w:val="000000"/>
          <w:sz w:val="22"/>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2"/>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4"/>
        </w:rPr>
        <w:t>5.6 SCOPE OF EXPERIMENTAL VERIFICATION</w:t>
      </w:r>
    </w:p>
    <w:p>
      <w:pPr>
        <w:spacing w:before="0" w:after="100" w:line="276" w:lineRule="auto"/>
        <w:jc w:val="both"/>
      </w:pPr>
      <w:r>
        <w:rPr>
          <w:rFonts w:ascii="Times New Roman" w:hAnsi="Times New Roman"/>
          <w:b w:val="0"/>
          <w:i w:val="0"/>
          <w:color w:val="000000"/>
          <w:sz w:val="22"/>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4"/>
        </w:rPr>
        <w:t>5.7 VISUAL ANALYSIS PROCEDURE AND FEATURE PROJECTIONS</w:t>
      </w:r>
    </w:p>
    <w:p>
      <w:pPr>
        <w:spacing w:before="0" w:after="100" w:line="276" w:lineRule="auto"/>
        <w:jc w:val="both"/>
      </w:pPr>
      <w:r>
        <w:rPr>
          <w:rFonts w:ascii="Times New Roman" w:hAnsi="Times New Roman"/>
          <w:b w:val="0"/>
          <w:i w:val="0"/>
          <w:color w:val="000000"/>
          <w:sz w:val="22"/>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2"/>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2"/>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2"/>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2"/>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2"/>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0" name="Picture 10"/>
            <wp:cNvGraphicFramePr>
              <a:graphicFrameLocks noChangeAspect="1"/>
            </wp:cNvGraphicFramePr>
            <a:graphic>
              <a:graphicData uri="http://schemas.openxmlformats.org/drawingml/2006/picture">
                <pic:pic>
                  <pic:nvPicPr>
                    <pic:cNvPr id="0" name="fig_feature_distribution.png"/>
                    <pic:cNvPicPr/>
                  </pic:nvPicPr>
                  <pic:blipFill>
                    <a:blip r:embed="rId18"/>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1"/>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1" name="Picture 11"/>
            <wp:cNvGraphicFramePr>
              <a:graphicFrameLocks noChangeAspect="1"/>
            </wp:cNvGraphicFramePr>
            <a:graphic>
              <a:graphicData uri="http://schemas.openxmlformats.org/drawingml/2006/picture">
                <pic:pic>
                  <pic:nvPicPr>
                    <pic:cNvPr id="0" name="fig_pca_clusters.png"/>
                    <pic:cNvPicPr/>
                  </pic:nvPicPr>
                  <pic:blipFill>
                    <a:blip r:embed="rId19"/>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1"/>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2" name="Picture 12"/>
            <wp:cNvGraphicFramePr>
              <a:graphicFrameLocks noChangeAspect="1"/>
            </wp:cNvGraphicFramePr>
            <a:graphic>
              <a:graphicData uri="http://schemas.openxmlformats.org/drawingml/2006/picture">
                <pic:pic>
                  <pic:nvPicPr>
                    <pic:cNvPr id="0" name="fig_pca_loadings.png"/>
                    <pic:cNvPicPr/>
                  </pic:nvPicPr>
                  <pic:blipFill>
                    <a:blip r:embed="rId20"/>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1"/>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3" name="Picture 13"/>
            <wp:cNvGraphicFramePr>
              <a:graphicFrameLocks noChangeAspect="1"/>
            </wp:cNvGraphicFramePr>
            <a:graphic>
              <a:graphicData uri="http://schemas.openxmlformats.org/drawingml/2006/picture">
                <pic:pic>
                  <pic:nvPicPr>
                    <pic:cNvPr id="0" name="fig_correlation_matrix.png"/>
                    <pic:cNvPicPr/>
                  </pic:nvPicPr>
                  <pic:blipFill>
                    <a:blip r:embed="rId21"/>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1"/>
        </w:rPr>
        <w:t>Fig. 5.5 Pearson correlation heatmap matrix</w:t>
      </w:r>
    </w:p>
    <w:p>
      <w:pPr>
        <w:spacing w:before="0" w:after="100" w:line="276" w:lineRule="auto"/>
        <w:jc w:val="both"/>
      </w:pPr>
      <w:r>
        <w:rPr>
          <w:rFonts w:ascii="Times New Roman" w:hAnsi="Times New Roman"/>
          <w:b w:val="0"/>
          <w:i w:val="0"/>
          <w:color w:val="000000"/>
          <w:sz w:val="22"/>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4"/>
        </w:rPr>
        <w:t>5.8 MATLAB IMAGE INTENSITY PROFILING AND STATISTICAL EXPERIMENTS</w:t>
      </w:r>
    </w:p>
    <w:p>
      <w:pPr>
        <w:spacing w:before="0" w:after="100" w:line="276" w:lineRule="auto"/>
        <w:jc w:val="both"/>
      </w:pPr>
      <w:r>
        <w:rPr>
          <w:rFonts w:ascii="Times New Roman" w:hAnsi="Times New Roman"/>
          <w:b w:val="0"/>
          <w:i w:val="0"/>
          <w:color w:val="000000"/>
          <w:sz w:val="22"/>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4" name="Picture 14"/>
            <wp:cNvGraphicFramePr>
              <a:graphicFrameLocks noChangeAspect="1"/>
            </wp:cNvGraphicFramePr>
            <a:graphic>
              <a:graphicData uri="http://schemas.openxmlformats.org/drawingml/2006/picture">
                <pic:pic>
                  <pic:nvPicPr>
                    <pic:cNvPr id="0" name="matlab_bad_rotor_mean.jpg"/>
                    <pic:cNvPicPr/>
                  </pic:nvPicPr>
                  <pic:blipFill>
                    <a:blip r:embed="rId22"/>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1"/>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5" name="Picture 15"/>
            <wp:cNvGraphicFramePr>
              <a:graphicFrameLocks noChangeAspect="1"/>
            </wp:cNvGraphicFramePr>
            <a:graphic>
              <a:graphicData uri="http://schemas.openxmlformats.org/drawingml/2006/picture">
                <pic:pic>
                  <pic:nvPicPr>
                    <pic:cNvPr id="0" name="matlab_good_rotor_stats_rgb.jpg"/>
                    <pic:cNvPicPr/>
                  </pic:nvPicPr>
                  <pic:blipFill>
                    <a:blip r:embed="rId23"/>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1"/>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6" name="Picture 16"/>
            <wp:cNvGraphicFramePr>
              <a:graphicFrameLocks noChangeAspect="1"/>
            </wp:cNvGraphicFramePr>
            <a:graphic>
              <a:graphicData uri="http://schemas.openxmlformats.org/drawingml/2006/picture">
                <pic:pic>
                  <pic:nvPicPr>
                    <pic:cNvPr id="0" name="matlab_good_rotor_histogram.jpg"/>
                    <pic:cNvPicPr/>
                  </pic:nvPicPr>
                  <pic:blipFill>
                    <a:blip r:embed="rId24"/>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1"/>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17" name="Picture 17"/>
            <wp:cNvGraphicFramePr>
              <a:graphicFrameLocks noChangeAspect="1"/>
            </wp:cNvGraphicFramePr>
            <a:graphic>
              <a:graphicData uri="http://schemas.openxmlformats.org/drawingml/2006/picture">
                <pic:pic>
                  <pic:nvPicPr>
                    <pic:cNvPr id="0" name="matlab_good_row_mean.jpg"/>
                    <pic:cNvPicPr/>
                  </pic:nvPicPr>
                  <pic:blipFill>
                    <a:blip r:embed="rId25"/>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1"/>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col_mean.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1"/>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19" name="Picture 19"/>
            <wp:cNvGraphicFramePr>
              <a:graphicFrameLocks noChangeAspect="1"/>
            </wp:cNvGraphicFramePr>
            <a:graphic>
              <a:graphicData uri="http://schemas.openxmlformats.org/drawingml/2006/picture">
                <pic:pic>
                  <pic:nvPicPr>
                    <pic:cNvPr id="0" name="matlab_good_row_std.jpg"/>
                    <pic:cNvPicPr/>
                  </pic:nvPicPr>
                  <pic:blipFill>
                    <a:blip r:embed="rId27"/>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1"/>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0" name="Picture 20"/>
            <wp:cNvGraphicFramePr>
              <a:graphicFrameLocks noChangeAspect="1"/>
            </wp:cNvGraphicFramePr>
            <a:graphic>
              <a:graphicData uri="http://schemas.openxmlformats.org/drawingml/2006/picture">
                <pic:pic>
                  <pic:nvPicPr>
                    <pic:cNvPr id="0" name="matlab_good_col_std.jpg"/>
                    <pic:cNvPicPr/>
                  </pic:nvPicPr>
                  <pic:blipFill>
                    <a:blip r:embed="rId28"/>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1"/>
        </w:rPr>
        <w:t>Fig. 5.12 MATLAB column-wise pixel variation (standard deviation) profile</w:t>
      </w:r>
    </w:p>
    <w:p>
      <w:pPr>
        <w:spacing w:before="0" w:after="100" w:line="276" w:lineRule="auto"/>
        <w:jc w:val="both"/>
      </w:pPr>
      <w:r>
        <w:rPr>
          <w:rFonts w:ascii="Times New Roman" w:hAnsi="Times New Roman"/>
          <w:b w:val="0"/>
          <w:i w:val="0"/>
          <w:color w:val="000000"/>
          <w:sz w:val="22"/>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2"/>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4"/>
        </w:rPr>
        <w:t>6.1 IMPLEMENTATION RESULTS</w:t>
      </w:r>
    </w:p>
    <w:p>
      <w:pPr>
        <w:spacing w:before="0" w:after="100" w:line="276" w:lineRule="auto"/>
        <w:jc w:val="both"/>
      </w:pPr>
      <w:r>
        <w:rPr>
          <w:rFonts w:ascii="Times New Roman" w:hAnsi="Times New Roman"/>
          <w:b w:val="0"/>
          <w:i w:val="0"/>
          <w:color w:val="000000"/>
          <w:sz w:val="22"/>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2"/>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Verified; fully operational</w:t>
            </w:r>
          </w:p>
        </w:tc>
      </w:tr>
    </w:tbl>
    <w:p>
      <w:pPr>
        <w:spacing w:before="160" w:after="80" w:line="276" w:lineRule="auto"/>
      </w:pPr>
      <w:r>
        <w:rPr>
          <w:rFonts w:ascii="Times New Roman" w:hAnsi="Times New Roman"/>
          <w:b/>
          <w:color w:val="000000"/>
          <w:sz w:val="24"/>
        </w:rPr>
        <w:t>6.3 ANALYSIS OF SALIENCY-GUIDED PREPROCESSING</w:t>
      </w:r>
    </w:p>
    <w:p>
      <w:pPr>
        <w:spacing w:before="0" w:after="100" w:line="276" w:lineRule="auto"/>
        <w:jc w:val="both"/>
      </w:pPr>
      <w:r>
        <w:rPr>
          <w:rFonts w:ascii="Times New Roman" w:hAnsi="Times New Roman"/>
          <w:b w:val="0"/>
          <w:i w:val="0"/>
          <w:color w:val="000000"/>
          <w:sz w:val="22"/>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4"/>
        </w:rPr>
        <w:t>6.4 ANALYSIS OF FEATURE EXTRACTION AND PCA DIMENSIONALITY</w:t>
      </w:r>
    </w:p>
    <w:p>
      <w:pPr>
        <w:spacing w:before="0" w:after="100" w:line="276" w:lineRule="auto"/>
        <w:jc w:val="both"/>
      </w:pPr>
      <w:r>
        <w:rPr>
          <w:rFonts w:ascii="Times New Roman" w:hAnsi="Times New Roman"/>
          <w:b w:val="0"/>
          <w:i w:val="0"/>
          <w:color w:val="000000"/>
          <w:sz w:val="22"/>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4"/>
        </w:rPr>
        <w:t>6.5 ANALYSIS OF CLASSIFICATION OUTPUT AND MODEL BENCHMARKING</w:t>
      </w:r>
    </w:p>
    <w:p>
      <w:pPr>
        <w:spacing w:before="0" w:after="100" w:line="276" w:lineRule="auto"/>
        <w:jc w:val="both"/>
      </w:pPr>
      <w:r>
        <w:rPr>
          <w:rFonts w:ascii="Times New Roman" w:hAnsi="Times New Roman"/>
          <w:b w:val="0"/>
          <w:i w:val="0"/>
          <w:color w:val="000000"/>
          <w:sz w:val="22"/>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1" name="Picture 21"/>
            <wp:cNvGraphicFramePr>
              <a:graphicFrameLocks noChangeAspect="1"/>
            </wp:cNvGraphicFramePr>
            <a:graphic>
              <a:graphicData uri="http://schemas.openxmlformats.org/drawingml/2006/picture">
                <pic:pic>
                  <pic:nvPicPr>
                    <pic:cNvPr id="0" name="fig_decision_tree.png"/>
                    <pic:cNvPicPr/>
                  </pic:nvPicPr>
                  <pic:blipFill>
                    <a:blip r:embed="rId29"/>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1"/>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2"/>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0.0000 (Exact Match)</w:t>
            </w:r>
          </w:p>
        </w:tc>
      </w:tr>
    </w:tbl>
    <w:p>
      <w:pPr>
        <w:spacing w:before="0" w:after="100" w:line="276" w:lineRule="auto"/>
        <w:jc w:val="both"/>
      </w:pPr>
      <w:r>
        <w:rPr>
          <w:rFonts w:ascii="Times New Roman" w:hAnsi="Times New Roman"/>
          <w:b w:val="0"/>
          <w:i w:val="0"/>
          <w:color w:val="000000"/>
          <w:sz w:val="22"/>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2" name="Picture 22"/>
            <wp:cNvGraphicFramePr>
              <a:graphicFrameLocks noChangeAspect="1"/>
            </wp:cNvGraphicFramePr>
            <a:graphic>
              <a:graphicData uri="http://schemas.openxmlformats.org/drawingml/2006/picture">
                <pic:pic>
                  <pic:nvPicPr>
                    <pic:cNvPr id="0" name="fig_confusion_matrix.png"/>
                    <pic:cNvPicPr/>
                  </pic:nvPicPr>
                  <pic:blipFill>
                    <a:blip r:embed="rId30"/>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1"/>
        </w:rPr>
        <w:t>Fig. 6.2 MobileNetV3 confusion matrix and model benchmark comparison</w:t>
      </w:r>
    </w:p>
    <w:p>
      <w:pPr>
        <w:spacing w:before="120" w:after="80" w:line="276" w:lineRule="auto"/>
      </w:pPr>
      <w:r>
        <w:rPr>
          <w:rFonts w:ascii="Times New Roman" w:hAnsi="Times New Roman"/>
          <w:b/>
          <w:color w:val="000000"/>
          <w:sz w:val="24"/>
        </w:rPr>
        <w:t>6.7 LIMITATIONS IDENTIFIED</w:t>
      </w:r>
    </w:p>
    <w:p>
      <w:pPr>
        <w:spacing w:before="0" w:after="100" w:line="276" w:lineRule="auto"/>
        <w:jc w:val="both"/>
      </w:pPr>
      <w:r>
        <w:rPr>
          <w:rFonts w:ascii="Times New Roman" w:hAnsi="Times New Roman"/>
          <w:b w:val="0"/>
          <w:i w:val="0"/>
          <w:color w:val="000000"/>
          <w:sz w:val="22"/>
        </w:rPr>
        <w:t>The following limitations were identified during experimental testing:</w:t>
      </w:r>
    </w:p>
    <w:p>
      <w:pPr>
        <w:pStyle w:val="ListBullet"/>
        <w:spacing w:before="0" w:after="60" w:line="276" w:lineRule="auto"/>
        <w:jc w:val="both"/>
      </w:pPr>
      <w:r>
        <w:rPr>
          <w:rFonts w:ascii="Times New Roman" w:hAnsi="Times New Roman"/>
          <w:color w:val="000000"/>
          <w:sz w:val="22"/>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2"/>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2"/>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2"/>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2"/>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4"/>
        </w:rPr>
        <w:t>6.8 DISCUSSION</w:t>
      </w:r>
    </w:p>
    <w:p>
      <w:pPr>
        <w:spacing w:before="0" w:after="100" w:line="276" w:lineRule="auto"/>
        <w:jc w:val="both"/>
      </w:pPr>
      <w:r>
        <w:rPr>
          <w:rFonts w:ascii="Times New Roman" w:hAnsi="Times New Roman"/>
          <w:b w:val="0"/>
          <w:i w:val="0"/>
          <w:color w:val="000000"/>
          <w:sz w:val="22"/>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2"/>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19"/>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19"/>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19"/>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19"/>
              </w:rPr>
              <w:t>8.6 ms</w:t>
            </w:r>
          </w:p>
        </w:tc>
      </w:tr>
    </w:tbl>
    <w:p>
      <w:pPr>
        <w:spacing w:before="0" w:after="100" w:line="276" w:lineRule="auto"/>
        <w:jc w:val="both"/>
      </w:pPr>
      <w:r>
        <w:rPr>
          <w:rFonts w:ascii="Times New Roman" w:hAnsi="Times New Roman"/>
          <w:b w:val="0"/>
          <w:i w:val="0"/>
          <w:color w:val="000000"/>
          <w:sz w:val="22"/>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2"/>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4"/>
        </w:rPr>
        <w:t>7.1 CONCLUSION</w:t>
      </w:r>
    </w:p>
    <w:p>
      <w:pPr>
        <w:spacing w:before="0" w:after="100" w:line="276" w:lineRule="auto"/>
        <w:jc w:val="both"/>
      </w:pPr>
      <w:r>
        <w:rPr>
          <w:rFonts w:ascii="Times New Roman" w:hAnsi="Times New Roman"/>
          <w:b w:val="0"/>
          <w:i w:val="0"/>
          <w:color w:val="000000"/>
          <w:sz w:val="22"/>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4"/>
        </w:rPr>
        <w:t>7.2 FUTURE SCOPE</w:t>
      </w:r>
    </w:p>
    <w:p>
      <w:pPr>
        <w:spacing w:before="0" w:after="100" w:line="276" w:lineRule="auto"/>
        <w:jc w:val="both"/>
      </w:pPr>
      <w:r>
        <w:rPr>
          <w:rFonts w:ascii="Times New Roman" w:hAnsi="Times New Roman"/>
          <w:b w:val="0"/>
          <w:i w:val="0"/>
          <w:color w:val="000000"/>
          <w:sz w:val="22"/>
        </w:rPr>
        <w:t>The following enhancements are proposed for future development:</w:t>
      </w:r>
    </w:p>
    <w:p>
      <w:pPr>
        <w:pStyle w:val="ListBullet"/>
        <w:spacing w:before="0" w:after="60" w:line="276" w:lineRule="auto"/>
        <w:jc w:val="both"/>
      </w:pPr>
      <w:r>
        <w:rPr>
          <w:rFonts w:ascii="Times New Roman" w:hAnsi="Times New Roman"/>
          <w:color w:val="000000"/>
          <w:sz w:val="22"/>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2"/>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2"/>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2"/>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2"/>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2"/>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2"/>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4"/>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