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decision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benchmark, and deploy a dual-model framework combining an explainable white-box Decision Tree with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(such as explainable Decision Trees) offer transparent,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Dual AI Defect Detection - The system extracts 15 physical descriptors (intensity, contour shape, and GLCM surface texture) and feeds them into a synergistic dual-model architecture: an explainable white-box Decision Tree and a transfer-learned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and explainable Decision Tree classifier.</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Dual-model classification consensus between the explainable Decision Tree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dual-model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dual-model classification predictions (Decision Tree and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3"/>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4"/>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222027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3840480" cy="222027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2212777"/>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2212777"/>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2209026"/>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3840480" cy="2209026"/>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2212777"/>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2216527"/>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3840480" cy="2216527"/>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231814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4023360" cy="231814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121 -&gt; 148): Sound welds absorb and scatter light evenly across a smooth matte finish, while molten slag defects create high-reflectance mirrors that push average brightness up by +21.6%.</w:t>
        <w:br/>
        <w:t>• Surface Roughness (Variance 1779 -&gt; 3472): A healthy joint has smooth, consistent lighting. Defective welds have wild transitions between intense specular highlights and dark shadow pockets, nearly doubling overall variance (+95.1%).</w:t>
        <w:br/>
        <w:t>• Structural Anomaly Peaks (Kurtosis 2.85 -&gt; 4.13): A normal surface yields a standard bell-curve distribution (kurtosis ~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dual-model AI inference (MobileNetV3 and Decision Tree),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Gini rule classifier on 15 physical features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 (2.1 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 ROI</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 (94.4% recall)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60" w:line="276" w:lineRule="auto"/>
      </w:pPr>
      <w:r>
        <w:rPr>
          <w:rFonts w:ascii="Times New Roman" w:hAnsi="Times New Roman"/>
          <w:b/>
          <w:color w:val="000000"/>
          <w:sz w:val="24"/>
        </w:rPr>
        <w:t>6.4 ANALYSIS OF SAMPLE FEATURE EXTRACTION AND DECISION TREE LOGIC</w:t>
      </w:r>
    </w:p>
    <w:p>
      <w:pPr>
        <w:spacing w:before="0" w:after="100" w:line="276" w:lineRule="auto"/>
        <w:jc w:val="both"/>
      </w:pPr>
      <w:r>
        <w:rPr>
          <w:rFonts w:ascii="Times New Roman" w:hAnsi="Times New Roman"/>
          <w:b w:val="0"/>
          <w:i w:val="0"/>
          <w:color w:val="000000"/>
          <w:sz w:val="24"/>
        </w:rPr>
        <w:t>Direct Deployment of 15 Sample Features: Rather than projecting measurements into abstract mathematical coordinates, the inspection engine operates directly on the 15 physical descriptors extracted from the cropped weld seam. These comprise 8 morphological metrics (Void Area %, Slag Protrusion %, Convex Solidity, Circularity, Aspect Ratio, Extent, Edge Density), 4 Haralick texture metrics (GLCM Contrast, Homogeneity, Energy, Entropy), and 3 color/intensity moments (Mean Saturation, Saturation Std Dev, Mean Hue). Operating directly on physical features guarantees 100% engineering explainability directly auditable by manufacturing quality engineers.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pPr>
        <w:spacing w:before="0" w:after="100" w:line="276" w:lineRule="auto"/>
        <w:jc w:val="both"/>
      </w:pPr>
      <w:r>
        <w:rPr>
          <w:rFonts w:ascii="Times New Roman" w:hAnsi="Times New Roman"/>
          <w:b w:val="0"/>
          <w:i w:val="0"/>
          <w:color w:val="000000"/>
          <w:sz w:val="24"/>
        </w:rPr>
        <w:t>Automated Rule Induction Logic (Figure 6.1): The trained Decision Tree induces human-readable physical threshold rules directly tied to defect mechanisms:</w:t>
        <w:br/>
        <w:t>• Root Decision Node (Void Area Pct &lt;= 11.27%): Severe cavity voids exceeding 11.27% indicate critical gas entrapment, immediately isolating 24 defective specimens at the initial split.</w:t>
        <w:br/>
        <w:t>• Secondary Texture Split (GLCM Homogeneity &lt;= 0.915): Samples with high surface irregularity (homogeneity &lt;= 0.915) isolate 21 defective specimens with 100% purity (Gini = 0.000).</w:t>
        <w:br/>
        <w:t>• Color &amp; Contrast Split (Mean Saturation &lt;= 35.75 &amp; Contrast Std &lt;= 63.01): Separates sound, uniformly reflective copper joints from oxidized, overheated weld beads.</w:t>
      </w:r>
    </w:p>
    <w:p>
      <w:pPr>
        <w:spacing w:before="80" w:after="60" w:line="276" w:lineRule="auto"/>
      </w:pPr>
      <w:r>
        <w:rPr>
          <w:rFonts w:ascii="Times New Roman" w:hAnsi="Times New Roman"/>
          <w:b/>
          <w:color w:val="000000"/>
          <w:sz w:val="24"/>
        </w:rPr>
        <w:t>6.5 ANALYSIS OF CLASSIFICATION OUTPUT AND 3-TIER SORTING INTEGRATION</w:t>
      </w:r>
    </w:p>
    <w:p>
      <w:pPr>
        <w:spacing w:before="0" w:after="100" w:line="276" w:lineRule="auto"/>
        <w:jc w:val="both"/>
      </w:pPr>
      <w:r>
        <w:rPr>
          <w:rFonts w:ascii="Times New Roman" w:hAnsi="Times New Roman"/>
          <w:b w:val="0"/>
          <w:i w:val="0"/>
          <w:color w:val="000000"/>
          <w:sz w:val="24"/>
        </w:rPr>
        <w:t>The white-box Decision Tree achieves 80.2% accuracy with an ultra-fast inference latency of just 2.1 ms. These explicit physical feature boundaries are directly integrated into automated 3-tier industrial sorting:</w:t>
        <w:br/>
        <w:t>• Tier 1 (Accept / Pass): Sound specimens meeting all baseline feature thresholds (Void Area &lt; 5%, Homogeneity &gt; 0.92, Saturation Std &lt; 25), routed directly to motor balancing and assembly.</w:t>
        <w:br/>
        <w:t>• Tier 2 (Rework / Re-grind): Marginal specimens with superficial slag spatter (5% - 15%) eligible for mechanical dressing.</w:t>
        <w:br/>
        <w:t>• Tier 3 (Scrap / Reject): Critical structural flaws (Voids &gt; 11.27% or Solidity &lt; 0.84) presenting catastrophic bar-lifting unbalance risk. Rejections are digitally certified with SHA-256 ISO 9001:2015 audit logs.</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synergistic dual-model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DEPLOYED 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 (Primary Detector)</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(Auditable Rule Engine)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