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400" w:line="276" w:lineRule="auto"/>
        <w:jc w:val="center"/>
      </w:pPr>
      <w:r>
        <w:rPr>
          <w:rFonts w:ascii="Times New Roman" w:hAnsi="Times New Roman"/>
          <w:b w:val="0"/>
          <w:color w:val="000000"/>
          <w:sz w:val="22"/>
        </w:rPr>
        <w:t>COIMBATORE – 641 004</w:t>
      </w:r>
    </w:p>
    <w:p>
      <w:pPr>
        <w:spacing w:before="0" w:after="360" w:line="276" w:lineRule="auto"/>
        <w:jc w:val="center"/>
      </w:pPr>
      <w:r>
        <w:rPr>
          <w:rFonts w:ascii="Times New Roman" w:hAnsi="Times New Roman"/>
          <w:b/>
          <w:color w:val="000000"/>
          <w:sz w:val="28"/>
        </w:rPr>
        <w:t>ROTOR WELD DEFECT INSPECTION AND QUALITY CLASSIFICATION USING COMPUTER VISION AND MACHINE LEARNING WITH SALIENCY-GUIDED WELD SEAM ANALYSIS</w:t>
      </w:r>
    </w:p>
    <w:p>
      <w:pPr>
        <w:spacing w:before="0" w:after="280" w:line="276" w:lineRule="auto"/>
        <w:jc w:val="center"/>
      </w:pPr>
      <w:r>
        <w:rPr>
          <w:rFonts w:ascii="Times New Roman" w:hAnsi="Times New Roman"/>
          <w:b/>
          <w:color w:val="000000"/>
          <w:sz w:val="22"/>
        </w:rPr>
        <w:t>SIGNAL PROCESSING AND DIGITAL CONTROL LABORATORY (23U510)</w:t>
      </w:r>
    </w:p>
    <w:p>
      <w:pPr>
        <w:spacing w:before="0" w:after="80" w:line="276" w:lineRule="auto"/>
        <w:jc w:val="center"/>
      </w:pPr>
      <w:r>
        <w:rPr>
          <w:rFonts w:ascii="Times New Roman" w:hAnsi="Times New Roman"/>
          <w:b/>
          <w:color w:val="000000"/>
          <w:sz w:val="26"/>
        </w:rPr>
        <w:t>SHAKTHIKUMAR D (24U243)</w:t>
      </w:r>
    </w:p>
    <w:p>
      <w:pPr>
        <w:spacing w:before="0" w:after="32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371600" cy="1766455"/>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371600" cy="1766455"/>
                    </a:xfrm>
                    <a:prstGeom prst="rect"/>
                  </pic:spPr>
                </pic:pic>
              </a:graphicData>
            </a:graphic>
          </wp:inline>
        </w:drawing>
      </w:r>
    </w:p>
    <w:p>
      <w:pPr>
        <w:spacing w:after="240"/>
      </w:pPr>
    </w:p>
    <w:p>
      <w:pPr>
        <w:spacing w:before="0" w:after="80" w:line="276" w:lineRule="auto"/>
        <w:jc w:val="center"/>
      </w:pPr>
      <w:r>
        <w:rPr>
          <w:rFonts w:ascii="Times New Roman" w:hAnsi="Times New Roman"/>
          <w:b/>
          <w:color w:val="000000"/>
          <w:sz w:val="22"/>
        </w:rPr>
        <w:t>Programme: B.E. Instrumentation and Control Engineering</w:t>
      </w:r>
    </w:p>
    <w:p>
      <w:pPr>
        <w:spacing w:before="0" w:after="20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400" w:line="276" w:lineRule="auto"/>
        <w:jc w:val="center"/>
      </w:pPr>
      <w:r>
        <w:rPr>
          <w:rFonts w:ascii="Times New Roman" w:hAnsi="Times New Roman"/>
          <w:b w:val="0"/>
          <w:color w:val="000000"/>
          <w:sz w:val="22"/>
        </w:rPr>
        <w:t>COIMBATORE – 641 004</w:t>
      </w:r>
    </w:p>
    <w:p>
      <w:pPr>
        <w:spacing w:before="0" w:after="360" w:line="276" w:lineRule="auto"/>
        <w:jc w:val="center"/>
      </w:pPr>
      <w:r>
        <w:rPr>
          <w:rFonts w:ascii="Times New Roman" w:hAnsi="Times New Roman"/>
          <w:b/>
          <w:color w:val="000000"/>
          <w:sz w:val="28"/>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4"/>
        </w:rPr>
        <w:t>A REPORT</w:t>
      </w:r>
    </w:p>
    <w:p>
      <w:pPr>
        <w:spacing w:before="0" w:after="160" w:line="276" w:lineRule="auto"/>
        <w:jc w:val="center"/>
      </w:pPr>
      <w:r>
        <w:rPr>
          <w:rFonts w:ascii="Times New Roman" w:hAnsi="Times New Roman"/>
          <w:b/>
          <w:color w:val="000000"/>
          <w:sz w:val="22"/>
        </w:rPr>
        <w:t>SUBMITTED BY</w:t>
      </w:r>
    </w:p>
    <w:p>
      <w:pPr>
        <w:spacing w:before="0" w:after="40" w:line="276" w:lineRule="auto"/>
        <w:jc w:val="center"/>
      </w:pPr>
      <w:r>
        <w:rPr>
          <w:rFonts w:ascii="Times New Roman" w:hAnsi="Times New Roman"/>
          <w:b/>
          <w:color w:val="000000"/>
          <w:sz w:val="26"/>
        </w:rPr>
        <w:t>SHAKTHIKUMAR D</w:t>
      </w:r>
    </w:p>
    <w:p>
      <w:pPr>
        <w:spacing w:before="0" w:after="320" w:line="276" w:lineRule="auto"/>
        <w:jc w:val="center"/>
      </w:pPr>
      <w:r>
        <w:rPr>
          <w:rFonts w:ascii="Times New Roman" w:hAnsi="Times New Roman"/>
          <w:b/>
          <w:color w:val="000000"/>
          <w:sz w:val="24"/>
        </w:rPr>
        <w:t>(24U243)</w:t>
      </w:r>
    </w:p>
    <w:p>
      <w:pPr>
        <w:spacing w:before="0" w:after="400" w:line="276" w:lineRule="auto"/>
        <w:jc w:val="center"/>
      </w:pPr>
      <w:r>
        <w:rPr>
          <w:rFonts w:ascii="Times New Roman" w:hAnsi="Times New Roman"/>
          <w:b w:val="0"/>
          <w:color w:val="000000"/>
          <w:sz w:val="23"/>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371600" cy="1766455"/>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371600" cy="1766455"/>
                    </a:xfrm>
                    <a:prstGeom prst="rect"/>
                  </pic:spPr>
                </pic:pic>
              </a:graphicData>
            </a:graphic>
          </wp:inline>
        </w:drawing>
      </w:r>
    </w:p>
    <w:p>
      <w:pPr>
        <w:spacing w:after="320"/>
      </w:pPr>
    </w:p>
    <w:p>
      <w:pPr>
        <w:spacing w:before="0" w:after="72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8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2"/>
        </w:rPr>
        <w:t>Rotor squirrel-cage induction motors rely critically on the structural and electrical integrity of the welded joints connecting the conductive rotor bars to the outer short-circuiting end-rings. Under continuous high-speed industrial operation, these weld joints are subjected to severe centrifugal mechanical stress fields, intense cyclical thermal loading, and electrodynamic forces. Flaws in the welding fusion—including porosities, slag inclusions, incomplete penetration, and protruding molten droop anomalies—lead directly to catastrophic bar lifting, localized high-resistance thermal hotspots, and premature motor failure. Traditional manual visual quality assurance is inherently subjective, labour-intensive, and prone to fatigue-induced errors.</w:t>
      </w:r>
    </w:p>
    <w:p>
      <w:pPr>
        <w:spacing w:before="0" w:after="100" w:line="276" w:lineRule="auto"/>
        <w:jc w:val="both"/>
      </w:pPr>
      <w:r>
        <w:rPr>
          <w:rFonts w:ascii="Times New Roman" w:hAnsi="Times New Roman"/>
          <w:b w:val="0"/>
          <w:i w:val="0"/>
          <w:color w:val="000000"/>
          <w:sz w:val="22"/>
        </w:rPr>
        <w:t>This project focuses on designing and implementing an automated, high-precision computer vision and machine learning inspection prototype for industrial rotor weld defect classification. High-resolution optical macro images of rotor ring assemblies are acquired and processed through an intelligent, saliency-guided adaptive Region-of-Interest (ROI) cropper. By integrating Otsu automatic thresholding, morphological closure, and vertical/horizontal Sobel spatial gradient operators, the system accurately isolates the active weld seam from ambient factory backgrounds while critically preserving outer molten droplet contours without boundary clipping.</w:t>
      </w:r>
    </w:p>
    <w:p>
      <w:pPr>
        <w:spacing w:before="0" w:after="100" w:line="276" w:lineRule="auto"/>
        <w:jc w:val="both"/>
      </w:pPr>
      <w:r>
        <w:rPr>
          <w:rFonts w:ascii="Times New Roman" w:hAnsi="Times New Roman"/>
          <w:b w:val="0"/>
          <w:i w:val="0"/>
          <w:color w:val="000000"/>
          <w:sz w:val="22"/>
        </w:rPr>
        <w:t>A comprehensive mathematical feature extraction pipeline derives 15 quantitative descriptors spanning intensity moments, contour morphological metrics (solidity, compactness, eccentricity), and Gray-Level Co-occurrence Matrix (GLCM) Haralick texture features. Exploratory data analysis using 2D Principal Component Analysis (PCA) successfully demonstrates unsupervised cluster separation, with PC1 and PC2 explaining 74.2% of total cumulative variance. For automated decision-making, a multi-model architecture benchmarks an explainable white-box Decision Tree against a Random Forest ensemble and a transfer-learned MobileNetV3 deep convolutional network. MobileNetV3 achieves 90.2% classification accuracy with 94.4% recall, while the saliency-guided cropper provides a +16.1% empirical accuracy boost over uncropped images. The system is deployed via an asynchronous Flask web dashboard providing real-time canvas inspection, 3-tier industrial sorting (Accept, Rework, Scrap), and automated ISO 9001:2015 tamper-proof quality certificates.</w:t>
      </w:r>
    </w:p>
    <w:p>
      <w:r>
        <w:br w:type="page"/>
      </w:r>
    </w:p>
    <w:p>
      <w:pPr>
        <w:spacing w:before="0" w:after="280" w:line="276" w:lineRule="auto"/>
        <w:jc w:val="center"/>
      </w:pPr>
      <w:r>
        <w:rPr>
          <w:rFonts w:ascii="Times New Roman" w:hAnsi="Times New Roman"/>
          <w:b/>
          <w:color w:val="000000"/>
          <w:sz w:val="32"/>
        </w:rPr>
        <w:t>TABLE OF CONTENTS</w:t>
      </w:r>
    </w:p>
    <w:p>
      <w:pPr>
        <w:spacing w:line="276" w:lineRule="auto" w:after="40"/>
      </w:pPr>
      <w:r>
        <w:rPr>
          <w:rFonts w:ascii="Times New Roman" w:hAnsi="Times New Roman"/>
          <w:b/>
          <w:sz w:val="22"/>
        </w:rPr>
        <w:t>Abstract.....................................................................3</w:t>
      </w:r>
    </w:p>
    <w:p>
      <w:pPr>
        <w:spacing w:line="276" w:lineRule="auto" w:after="40"/>
      </w:pPr>
      <w:r>
        <w:rPr>
          <w:rFonts w:ascii="Times New Roman" w:hAnsi="Times New Roman"/>
          <w:b/>
          <w:sz w:val="22"/>
        </w:rPr>
        <w:t>List of figures..............................................................7</w:t>
      </w:r>
    </w:p>
    <w:p>
      <w:pPr>
        <w:spacing w:line="276" w:lineRule="auto" w:after="40"/>
      </w:pPr>
      <w:r>
        <w:rPr>
          <w:rFonts w:ascii="Times New Roman" w:hAnsi="Times New Roman"/>
          <w:b/>
          <w:sz w:val="22"/>
        </w:rPr>
        <w:t>Introduction.................................................................8</w:t>
      </w:r>
    </w:p>
    <w:p>
      <w:pPr>
        <w:spacing w:line="276" w:lineRule="auto" w:after="40"/>
      </w:pPr>
      <w:r>
        <w:rPr>
          <w:rFonts w:ascii="Times New Roman" w:hAnsi="Times New Roman"/>
          <w:b w:val="0"/>
          <w:sz w:val="22"/>
        </w:rPr>
        <w:t xml:space="preserve">  1.1 Problem statement......................................................8</w:t>
      </w:r>
    </w:p>
    <w:p>
      <w:pPr>
        <w:spacing w:line="276" w:lineRule="auto" w:after="40"/>
      </w:pPr>
      <w:r>
        <w:rPr>
          <w:rFonts w:ascii="Times New Roman" w:hAnsi="Times New Roman"/>
          <w:b w:val="0"/>
          <w:sz w:val="22"/>
        </w:rPr>
        <w:t xml:space="preserve">  1.2 Aim....................................................................9</w:t>
      </w:r>
    </w:p>
    <w:p>
      <w:pPr>
        <w:spacing w:line="276" w:lineRule="auto" w:after="40"/>
      </w:pPr>
      <w:r>
        <w:rPr>
          <w:rFonts w:ascii="Times New Roman" w:hAnsi="Times New Roman"/>
          <w:b w:val="0"/>
          <w:sz w:val="22"/>
        </w:rPr>
        <w:t xml:space="preserve">  1.3 Objectives.............................................................9</w:t>
      </w:r>
    </w:p>
    <w:p>
      <w:pPr>
        <w:spacing w:line="276" w:lineRule="auto" w:after="40"/>
      </w:pPr>
      <w:r>
        <w:rPr>
          <w:rFonts w:ascii="Times New Roman" w:hAnsi="Times New Roman"/>
          <w:b w:val="0"/>
          <w:sz w:val="22"/>
        </w:rPr>
        <w:t xml:space="preserve">  1.4 Scope of the Project...................................................9</w:t>
      </w:r>
    </w:p>
    <w:p>
      <w:pPr>
        <w:spacing w:line="276" w:lineRule="auto" w:after="40"/>
      </w:pPr>
      <w:r>
        <w:rPr>
          <w:rFonts w:ascii="Times New Roman" w:hAnsi="Times New Roman"/>
          <w:b w:val="0"/>
          <w:sz w:val="22"/>
        </w:rPr>
        <w:t xml:space="preserve">  1.5 Applications..........................................................10</w:t>
      </w:r>
    </w:p>
    <w:p>
      <w:pPr>
        <w:spacing w:line="276" w:lineRule="auto" w:after="40"/>
      </w:pPr>
      <w:r>
        <w:rPr>
          <w:rFonts w:ascii="Times New Roman" w:hAnsi="Times New Roman"/>
          <w:b/>
          <w:sz w:val="22"/>
        </w:rPr>
        <w:t>Literature Overview.........................................................11</w:t>
      </w:r>
    </w:p>
    <w:p>
      <w:pPr>
        <w:spacing w:line="276" w:lineRule="auto" w:after="40"/>
      </w:pPr>
      <w:r>
        <w:rPr>
          <w:rFonts w:ascii="Times New Roman" w:hAnsi="Times New Roman"/>
          <w:b w:val="0"/>
          <w:sz w:val="22"/>
        </w:rPr>
        <w:t xml:space="preserve">  2.1 Overview of industrial weld defect inspection.........................11</w:t>
      </w:r>
    </w:p>
    <w:p>
      <w:pPr>
        <w:spacing w:line="276" w:lineRule="auto" w:after="40"/>
      </w:pPr>
      <w:r>
        <w:rPr>
          <w:rFonts w:ascii="Times New Roman" w:hAnsi="Times New Roman"/>
          <w:b w:val="0"/>
          <w:sz w:val="22"/>
        </w:rPr>
        <w:t xml:space="preserve">  2.2 Optical acquisition and lighting geometry.............................11</w:t>
      </w:r>
    </w:p>
    <w:p>
      <w:pPr>
        <w:spacing w:line="276" w:lineRule="auto" w:after="40"/>
      </w:pPr>
      <w:r>
        <w:rPr>
          <w:rFonts w:ascii="Times New Roman" w:hAnsi="Times New Roman"/>
          <w:b w:val="0"/>
          <w:sz w:val="22"/>
        </w:rPr>
        <w:t xml:space="preserve">  2.3 Spatial and morphological features....................................11</w:t>
      </w:r>
    </w:p>
    <w:p>
      <w:pPr>
        <w:spacing w:line="276" w:lineRule="auto" w:after="40"/>
      </w:pPr>
      <w:r>
        <w:rPr>
          <w:rFonts w:ascii="Times New Roman" w:hAnsi="Times New Roman"/>
          <w:b w:val="0"/>
          <w:sz w:val="22"/>
        </w:rPr>
        <w:t xml:space="preserve">  2.4 Texture analysis and GLCM.............................................12</w:t>
      </w:r>
    </w:p>
    <w:p>
      <w:pPr>
        <w:spacing w:line="276" w:lineRule="auto" w:after="40"/>
      </w:pPr>
      <w:r>
        <w:rPr>
          <w:rFonts w:ascii="Times New Roman" w:hAnsi="Times New Roman"/>
          <w:b w:val="0"/>
          <w:sz w:val="22"/>
        </w:rPr>
        <w:t xml:space="preserve">  2.5 Saliency and gradient-based edge methods..............................12</w:t>
      </w:r>
    </w:p>
    <w:p>
      <w:pPr>
        <w:spacing w:line="276" w:lineRule="auto" w:after="40"/>
      </w:pPr>
      <w:r>
        <w:rPr>
          <w:rFonts w:ascii="Times New Roman" w:hAnsi="Times New Roman"/>
          <w:b w:val="0"/>
          <w:sz w:val="22"/>
        </w:rPr>
        <w:t xml:space="preserve">  2.6 Machine learning and deep classifiers.................................13</w:t>
      </w:r>
    </w:p>
    <w:p>
      <w:pPr>
        <w:spacing w:line="276" w:lineRule="auto" w:after="40"/>
      </w:pPr>
      <w:r>
        <w:rPr>
          <w:rFonts w:ascii="Times New Roman" w:hAnsi="Times New Roman"/>
          <w:b w:val="0"/>
          <w:sz w:val="22"/>
        </w:rPr>
        <w:t xml:space="preserve">  2.7 Research gap and project motivation...................................13</w:t>
      </w:r>
    </w:p>
    <w:p>
      <w:pPr>
        <w:spacing w:line="276" w:lineRule="auto" w:after="40"/>
      </w:pPr>
      <w:r>
        <w:rPr>
          <w:rFonts w:ascii="Times New Roman" w:hAnsi="Times New Roman"/>
          <w:b w:val="0"/>
          <w:sz w:val="22"/>
        </w:rPr>
        <w:t xml:space="preserve">  2.8 Summary...............................................................13</w:t>
      </w:r>
    </w:p>
    <w:p>
      <w:pPr>
        <w:spacing w:line="276" w:lineRule="auto" w:after="40"/>
      </w:pPr>
      <w:r>
        <w:rPr>
          <w:rFonts w:ascii="Times New Roman" w:hAnsi="Times New Roman"/>
          <w:b/>
          <w:sz w:val="22"/>
        </w:rPr>
        <w:t>System design and hardware..................................................14</w:t>
      </w:r>
    </w:p>
    <w:p>
      <w:pPr>
        <w:spacing w:line="276" w:lineRule="auto" w:after="40"/>
      </w:pPr>
      <w:r>
        <w:rPr>
          <w:rFonts w:ascii="Times New Roman" w:hAnsi="Times New Roman"/>
          <w:b w:val="0"/>
          <w:sz w:val="22"/>
        </w:rPr>
        <w:t xml:space="preserve">  3.1 System architecture...................................................14</w:t>
      </w:r>
    </w:p>
    <w:p>
      <w:r>
        <w:br w:type="page"/>
      </w:r>
    </w:p>
    <w:p>
      <w:pPr>
        <w:spacing w:line="276" w:lineRule="auto" w:after="40"/>
      </w:pPr>
      <w:r>
        <w:rPr>
          <w:rFonts w:ascii="Times New Roman" w:hAnsi="Times New Roman"/>
          <w:b w:val="0"/>
          <w:sz w:val="22"/>
        </w:rPr>
        <w:t xml:space="preserve">  3.2 Hardware components...................................................16</w:t>
      </w:r>
    </w:p>
    <w:p>
      <w:pPr>
        <w:spacing w:line="276" w:lineRule="auto" w:after="40"/>
      </w:pPr>
      <w:r>
        <w:rPr>
          <w:rFonts w:ascii="Times New Roman" w:hAnsi="Times New Roman"/>
          <w:b w:val="0"/>
          <w:sz w:val="22"/>
        </w:rPr>
        <w:t xml:space="preserve">    3.2.1 High-resolution optical camera....................................16</w:t>
      </w:r>
    </w:p>
    <w:p>
      <w:pPr>
        <w:spacing w:line="276" w:lineRule="auto" w:after="40"/>
      </w:pPr>
      <w:r>
        <w:rPr>
          <w:rFonts w:ascii="Times New Roman" w:hAnsi="Times New Roman"/>
          <w:b w:val="0"/>
          <w:sz w:val="22"/>
        </w:rPr>
        <w:t xml:space="preserve">    3.2.2 Processing workstation and edge engine............................16</w:t>
      </w:r>
    </w:p>
    <w:p>
      <w:pPr>
        <w:spacing w:line="276" w:lineRule="auto" w:after="40"/>
      </w:pPr>
      <w:r>
        <w:rPr>
          <w:rFonts w:ascii="Times New Roman" w:hAnsi="Times New Roman"/>
          <w:b w:val="0"/>
          <w:sz w:val="22"/>
        </w:rPr>
        <w:t xml:space="preserve">    3.2.3 Industrial lighting and fixture rig...............................16</w:t>
      </w:r>
    </w:p>
    <w:p>
      <w:pPr>
        <w:spacing w:line="276" w:lineRule="auto" w:after="40"/>
      </w:pPr>
      <w:r>
        <w:rPr>
          <w:rFonts w:ascii="Times New Roman" w:hAnsi="Times New Roman"/>
          <w:b w:val="0"/>
          <w:sz w:val="22"/>
        </w:rPr>
        <w:t xml:space="preserve">    3.2.4 Web-based inspection dashboard....................................16</w:t>
      </w:r>
    </w:p>
    <w:p>
      <w:pPr>
        <w:spacing w:line="276" w:lineRule="auto" w:after="40"/>
      </w:pPr>
      <w:r>
        <w:rPr>
          <w:rFonts w:ascii="Times New Roman" w:hAnsi="Times New Roman"/>
          <w:b w:val="0"/>
          <w:sz w:val="22"/>
        </w:rPr>
        <w:t xml:space="preserve">  3.3 Hardware connections and specifications...............................16</w:t>
      </w:r>
    </w:p>
    <w:p>
      <w:pPr>
        <w:spacing w:line="276" w:lineRule="auto" w:after="40"/>
      </w:pPr>
      <w:r>
        <w:rPr>
          <w:rFonts w:ascii="Times New Roman" w:hAnsi="Times New Roman"/>
          <w:b w:val="0"/>
          <w:sz w:val="22"/>
        </w:rPr>
        <w:t xml:space="preserve">  3.4 Software requirements.................................................17</w:t>
      </w:r>
    </w:p>
    <w:p>
      <w:pPr>
        <w:spacing w:line="276" w:lineRule="auto" w:after="40"/>
      </w:pPr>
      <w:r>
        <w:rPr>
          <w:rFonts w:ascii="Times New Roman" w:hAnsi="Times New Roman"/>
          <w:b/>
          <w:sz w:val="22"/>
        </w:rPr>
        <w:t>Methodology and software implementation.....................................18</w:t>
      </w:r>
    </w:p>
    <w:p>
      <w:pPr>
        <w:spacing w:line="276" w:lineRule="auto" w:after="40"/>
      </w:pPr>
      <w:r>
        <w:rPr>
          <w:rFonts w:ascii="Times New Roman" w:hAnsi="Times New Roman"/>
          <w:b w:val="0"/>
          <w:sz w:val="22"/>
        </w:rPr>
        <w:t xml:space="preserve">  4.1 Overall methodology...................................................18</w:t>
      </w:r>
    </w:p>
    <w:p>
      <w:pPr>
        <w:spacing w:line="276" w:lineRule="auto" w:after="40"/>
      </w:pPr>
      <w:r>
        <w:rPr>
          <w:rFonts w:ascii="Times New Roman" w:hAnsi="Times New Roman"/>
          <w:b w:val="0"/>
          <w:sz w:val="22"/>
        </w:rPr>
        <w:t xml:space="preserve">  4.2 Configuration parameters..............................................18</w:t>
      </w:r>
    </w:p>
    <w:p>
      <w:pPr>
        <w:spacing w:line="276" w:lineRule="auto" w:after="40"/>
      </w:pPr>
      <w:r>
        <w:rPr>
          <w:rFonts w:ascii="Times New Roman" w:hAnsi="Times New Roman"/>
          <w:b w:val="0"/>
          <w:sz w:val="22"/>
        </w:rPr>
        <w:t xml:space="preserve">  4.3 Saliency-guided weld ROI cropper......................................19</w:t>
      </w:r>
    </w:p>
    <w:p>
      <w:pPr>
        <w:spacing w:line="276" w:lineRule="auto" w:after="40"/>
      </w:pPr>
      <w:r>
        <w:rPr>
          <w:rFonts w:ascii="Times New Roman" w:hAnsi="Times New Roman"/>
          <w:b w:val="0"/>
          <w:sz w:val="22"/>
        </w:rPr>
        <w:t xml:space="preserve">  4.4 Mathematical feature extraction formulation...........................20</w:t>
      </w:r>
    </w:p>
    <w:p>
      <w:pPr>
        <w:spacing w:line="276" w:lineRule="auto" w:after="40"/>
      </w:pPr>
      <w:r>
        <w:rPr>
          <w:rFonts w:ascii="Times New Roman" w:hAnsi="Times New Roman"/>
          <w:b w:val="0"/>
          <w:sz w:val="22"/>
        </w:rPr>
        <w:t xml:space="preserve">    4.4.1 Intensity and density descriptors.................................20</w:t>
      </w:r>
    </w:p>
    <w:p>
      <w:pPr>
        <w:spacing w:line="276" w:lineRule="auto" w:after="40"/>
      </w:pPr>
      <w:r>
        <w:rPr>
          <w:rFonts w:ascii="Times New Roman" w:hAnsi="Times New Roman"/>
          <w:b w:val="0"/>
          <w:sz w:val="22"/>
        </w:rPr>
        <w:t xml:space="preserve">    4.4.2 Morphological and geometric contours..............................20</w:t>
      </w:r>
    </w:p>
    <w:p>
      <w:pPr>
        <w:spacing w:line="276" w:lineRule="auto" w:after="40"/>
      </w:pPr>
      <w:r>
        <w:rPr>
          <w:rFonts w:ascii="Times New Roman" w:hAnsi="Times New Roman"/>
          <w:b w:val="0"/>
          <w:sz w:val="22"/>
        </w:rPr>
        <w:t xml:space="preserve">    4.4.3 GLCM Haralick texture descriptors.................................20</w:t>
      </w:r>
    </w:p>
    <w:p>
      <w:pPr>
        <w:spacing w:line="276" w:lineRule="auto" w:after="40"/>
      </w:pPr>
      <w:r>
        <w:rPr>
          <w:rFonts w:ascii="Times New Roman" w:hAnsi="Times New Roman"/>
          <w:b w:val="0"/>
          <w:sz w:val="22"/>
        </w:rPr>
        <w:t xml:space="preserve">  4.5 Machine learning classification logic.................................21</w:t>
      </w:r>
    </w:p>
    <w:p>
      <w:pPr>
        <w:spacing w:line="276" w:lineRule="auto" w:after="40"/>
      </w:pPr>
      <w:r>
        <w:rPr>
          <w:rFonts w:ascii="Times New Roman" w:hAnsi="Times New Roman"/>
          <w:b w:val="0"/>
          <w:sz w:val="22"/>
        </w:rPr>
        <w:t xml:space="preserve">  4.6 Output indication and 3-tier sorting..................................22</w:t>
      </w:r>
    </w:p>
    <w:p>
      <w:pPr>
        <w:spacing w:line="276" w:lineRule="auto" w:after="40"/>
      </w:pPr>
      <w:r>
        <w:rPr>
          <w:rFonts w:ascii="Times New Roman" w:hAnsi="Times New Roman"/>
          <w:b w:val="0"/>
          <w:sz w:val="22"/>
        </w:rPr>
        <w:t xml:space="preserve">  4.7 Software implementation summary.......................................23</w:t>
      </w:r>
    </w:p>
    <w:p>
      <w:pPr>
        <w:spacing w:line="276" w:lineRule="auto" w:after="40"/>
      </w:pPr>
      <w:r>
        <w:rPr>
          <w:rFonts w:ascii="Times New Roman" w:hAnsi="Times New Roman"/>
          <w:b w:val="0"/>
          <w:sz w:val="22"/>
        </w:rPr>
        <w:t xml:space="preserve">  4.8 Important technical observations......................................23</w:t>
      </w:r>
    </w:p>
    <w:p>
      <w:pPr>
        <w:spacing w:line="276" w:lineRule="auto" w:after="40"/>
      </w:pPr>
      <w:r>
        <w:rPr>
          <w:rFonts w:ascii="Times New Roman" w:hAnsi="Times New Roman"/>
          <w:b w:val="0"/>
          <w:sz w:val="22"/>
        </w:rPr>
        <w:t xml:space="preserve">  4.9 Deep convolutional validation.........................................23</w:t>
      </w:r>
    </w:p>
    <w:p>
      <w:pPr>
        <w:spacing w:line="276" w:lineRule="auto" w:after="40"/>
      </w:pPr>
      <w:r>
        <w:rPr>
          <w:rFonts w:ascii="Times New Roman" w:hAnsi="Times New Roman"/>
          <w:b/>
          <w:sz w:val="22"/>
        </w:rPr>
        <w:t>Experimental setup and testing..............................................24</w:t>
      </w:r>
    </w:p>
    <w:p>
      <w:pPr>
        <w:spacing w:line="276" w:lineRule="auto" w:after="40"/>
      </w:pPr>
      <w:r>
        <w:rPr>
          <w:rFonts w:ascii="Times New Roman" w:hAnsi="Times New Roman"/>
          <w:b w:val="0"/>
          <w:sz w:val="22"/>
        </w:rPr>
        <w:t xml:space="preserve">  5.1 Experimental setup....................................................24</w:t>
      </w:r>
    </w:p>
    <w:p>
      <w:pPr>
        <w:spacing w:line="276" w:lineRule="auto" w:after="40"/>
      </w:pPr>
      <w:r>
        <w:rPr>
          <w:rFonts w:ascii="Times New Roman" w:hAnsi="Times New Roman"/>
          <w:b w:val="0"/>
          <w:sz w:val="22"/>
        </w:rPr>
        <w:t xml:space="preserve">  5.2 Testing procedure.....................................................24</w:t>
      </w:r>
    </w:p>
    <w:p>
      <w:pPr>
        <w:spacing w:line="276" w:lineRule="auto" w:after="40"/>
      </w:pPr>
      <w:r>
        <w:rPr>
          <w:rFonts w:ascii="Times New Roman" w:hAnsi="Times New Roman"/>
          <w:b w:val="0"/>
          <w:sz w:val="22"/>
        </w:rPr>
        <w:t xml:space="preserve">  5.3 Parameters used during testing........................................25</w:t>
      </w:r>
    </w:p>
    <w:p>
      <w:pPr>
        <w:spacing w:line="276" w:lineRule="auto" w:after="40"/>
      </w:pPr>
      <w:r>
        <w:rPr>
          <w:rFonts w:ascii="Times New Roman" w:hAnsi="Times New Roman"/>
          <w:b w:val="0"/>
          <w:sz w:val="22"/>
        </w:rPr>
        <w:t xml:space="preserve">  5.4 Observations during testing...........................................26</w:t>
      </w:r>
    </w:p>
    <w:p>
      <w:pPr>
        <w:spacing w:line="276" w:lineRule="auto" w:after="40"/>
      </w:pPr>
      <w:r>
        <w:rPr>
          <w:rFonts w:ascii="Times New Roman" w:hAnsi="Times New Roman"/>
          <w:b w:val="0"/>
          <w:sz w:val="22"/>
        </w:rPr>
        <w:t xml:space="preserve">  5.5 Test record...........................................................26</w:t>
      </w:r>
    </w:p>
    <w:p>
      <w:r>
        <w:br w:type="page"/>
      </w:r>
    </w:p>
    <w:p>
      <w:pPr>
        <w:spacing w:line="276" w:lineRule="auto" w:after="40"/>
      </w:pPr>
      <w:r>
        <w:rPr>
          <w:rFonts w:ascii="Times New Roman" w:hAnsi="Times New Roman"/>
          <w:b w:val="0"/>
          <w:sz w:val="22"/>
        </w:rPr>
        <w:t xml:space="preserve">  5.6 Scope of experimental verification....................................28</w:t>
      </w:r>
    </w:p>
    <w:p>
      <w:pPr>
        <w:spacing w:line="276" w:lineRule="auto" w:after="40"/>
      </w:pPr>
      <w:r>
        <w:rPr>
          <w:rFonts w:ascii="Times New Roman" w:hAnsi="Times New Roman"/>
          <w:b w:val="0"/>
          <w:sz w:val="22"/>
        </w:rPr>
        <w:t xml:space="preserve">  5.7 Visual analysis and diagnostic plots..................................28</w:t>
      </w:r>
    </w:p>
    <w:p>
      <w:pPr>
        <w:spacing w:line="276" w:lineRule="auto" w:after="40"/>
      </w:pPr>
      <w:r>
        <w:rPr>
          <w:rFonts w:ascii="Times New Roman" w:hAnsi="Times New Roman"/>
          <w:b/>
          <w:sz w:val="22"/>
        </w:rPr>
        <w:t>Results and discussion......................................................31</w:t>
      </w:r>
    </w:p>
    <w:p>
      <w:pPr>
        <w:spacing w:line="276" w:lineRule="auto" w:after="40"/>
      </w:pPr>
      <w:r>
        <w:rPr>
          <w:rFonts w:ascii="Times New Roman" w:hAnsi="Times New Roman"/>
          <w:b w:val="0"/>
          <w:sz w:val="22"/>
        </w:rPr>
        <w:t xml:space="preserve">  6.1 Implementation results................................................31</w:t>
      </w:r>
    </w:p>
    <w:p>
      <w:pPr>
        <w:spacing w:line="276" w:lineRule="auto" w:after="40"/>
      </w:pPr>
      <w:r>
        <w:rPr>
          <w:rFonts w:ascii="Times New Roman" w:hAnsi="Times New Roman"/>
          <w:b w:val="0"/>
          <w:sz w:val="22"/>
        </w:rPr>
        <w:t xml:space="preserve">  6.2 Functional verification...............................................31</w:t>
      </w:r>
    </w:p>
    <w:p>
      <w:pPr>
        <w:spacing w:line="276" w:lineRule="auto" w:after="40"/>
      </w:pPr>
      <w:r>
        <w:rPr>
          <w:rFonts w:ascii="Times New Roman" w:hAnsi="Times New Roman"/>
          <w:b w:val="0"/>
          <w:sz w:val="22"/>
        </w:rPr>
        <w:t xml:space="preserve">  6.3 Analysis of preprocessing and saliency cropper........................32</w:t>
      </w:r>
    </w:p>
    <w:p>
      <w:pPr>
        <w:spacing w:line="276" w:lineRule="auto" w:after="40"/>
      </w:pPr>
      <w:r>
        <w:rPr>
          <w:rFonts w:ascii="Times New Roman" w:hAnsi="Times New Roman"/>
          <w:b w:val="0"/>
          <w:sz w:val="22"/>
        </w:rPr>
        <w:t xml:space="preserve">  6.4 Analysis of feature extraction and PCA................................33</w:t>
      </w:r>
    </w:p>
    <w:p>
      <w:pPr>
        <w:spacing w:line="276" w:lineRule="auto" w:after="40"/>
      </w:pPr>
      <w:r>
        <w:rPr>
          <w:rFonts w:ascii="Times New Roman" w:hAnsi="Times New Roman"/>
          <w:b w:val="0"/>
          <w:sz w:val="22"/>
        </w:rPr>
        <w:t xml:space="preserve">  6.5 Analysis of classification output.....................................33</w:t>
      </w:r>
    </w:p>
    <w:p>
      <w:pPr>
        <w:spacing w:line="276" w:lineRule="auto" w:after="40"/>
      </w:pPr>
      <w:r>
        <w:rPr>
          <w:rFonts w:ascii="Times New Roman" w:hAnsi="Times New Roman"/>
          <w:b w:val="0"/>
          <w:sz w:val="22"/>
        </w:rPr>
        <w:t xml:space="preserve">  6.6 Limitations identified................................................34</w:t>
      </w:r>
    </w:p>
    <w:p>
      <w:pPr>
        <w:spacing w:line="276" w:lineRule="auto" w:after="40"/>
      </w:pPr>
      <w:r>
        <w:rPr>
          <w:rFonts w:ascii="Times New Roman" w:hAnsi="Times New Roman"/>
          <w:b w:val="0"/>
          <w:sz w:val="22"/>
        </w:rPr>
        <w:t xml:space="preserve">  6.7 Discussion............................................................35</w:t>
      </w:r>
    </w:p>
    <w:p>
      <w:pPr>
        <w:spacing w:line="276" w:lineRule="auto" w:after="40"/>
      </w:pPr>
      <w:r>
        <w:rPr>
          <w:rFonts w:ascii="Times New Roman" w:hAnsi="Times New Roman"/>
          <w:b w:val="0"/>
          <w:sz w:val="22"/>
        </w:rPr>
        <w:t xml:space="preserve">  6.8 Comparative benchmark results.........................................35</w:t>
      </w:r>
    </w:p>
    <w:p>
      <w:pPr>
        <w:spacing w:line="276" w:lineRule="auto" w:after="40"/>
      </w:pPr>
      <w:r>
        <w:rPr>
          <w:rFonts w:ascii="Times New Roman" w:hAnsi="Times New Roman"/>
          <w:b/>
          <w:sz w:val="22"/>
        </w:rPr>
        <w:t>Conclusion and future scope.................................................36</w:t>
      </w:r>
    </w:p>
    <w:p>
      <w:pPr>
        <w:spacing w:line="276" w:lineRule="auto" w:after="40"/>
      </w:pPr>
      <w:r>
        <w:rPr>
          <w:rFonts w:ascii="Times New Roman" w:hAnsi="Times New Roman"/>
          <w:b w:val="0"/>
          <w:sz w:val="22"/>
        </w:rPr>
        <w:t xml:space="preserve">  7.1 Conclusion............................................................36</w:t>
      </w:r>
    </w:p>
    <w:p>
      <w:pPr>
        <w:spacing w:line="276" w:lineRule="auto" w:after="40"/>
      </w:pPr>
      <w:r>
        <w:rPr>
          <w:rFonts w:ascii="Times New Roman" w:hAnsi="Times New Roman"/>
          <w:b w:val="0"/>
          <w:sz w:val="22"/>
        </w:rPr>
        <w:t xml:space="preserve">  7.2 Future scope..........................................................36</w:t>
      </w:r>
    </w:p>
    <w:p>
      <w:r>
        <w:br w:type="page"/>
      </w:r>
    </w:p>
    <w:p>
      <w:pPr>
        <w:spacing w:before="0" w:after="280" w:line="276" w:lineRule="auto"/>
        <w:jc w:val="center"/>
      </w:pPr>
      <w:r>
        <w:rPr>
          <w:rFonts w:ascii="Times New Roman" w:hAnsi="Times New Roman"/>
          <w:b/>
          <w:color w:val="000000"/>
          <w:sz w:val="32"/>
        </w:rPr>
        <w:t>LIST OF FIGURES</w:t>
      </w:r>
    </w:p>
    <w:tbl>
      <w:tblPr>
        <w:tblW w:type="auto" w:w="0"/>
        <w:jc w:val="center"/>
        <w:tblLook w:firstColumn="1" w:firstRow="1" w:lastColumn="0" w:lastRow="0" w:noHBand="0" w:noVBand="1" w:val="04A0"/>
      </w:tblPr>
      <w:tblGrid>
        <w:gridCol w:w="3250"/>
        <w:gridCol w:w="3250"/>
        <w:gridCol w:w="3250"/>
      </w:tblGrid>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20"/>
              </w:rPr>
              <w:t>Figure index</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20"/>
              </w:rPr>
              <w:t>Title</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20"/>
              </w:rPr>
              <w:t>Pg. no.</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1.1</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Overview of the proposed system architecture</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10</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3.1</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Experimental hardware and rotor inspection setup</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15</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3.2</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Isolated weld seam ROI macro specimen</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15</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4.1</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Saliency Sobel filter edge detection map</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19</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5.1</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Web inspection studio and AI diagnostic interface</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24</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5.2</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Raw vs. cropped feature distribution comparison</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29</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5.3</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2D Principal Component Analysis (PCA) cluster separation</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29</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5.4</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PCA feature loading vectors biplot</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29</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5.5</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Pearson correlation heatmap matrix</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30</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6.1</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Explainable Decision Tree classification architecture</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33</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6.2</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MobileNetV3 confusion matrix and model benchmark comparison</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34</w:t>
            </w:r>
          </w:p>
        </w:tc>
      </w:tr>
    </w:tbl>
    <w:p>
      <w:r>
        <w:br w:type="page"/>
      </w:r>
    </w:p>
    <w:p>
      <w:pPr>
        <w:spacing w:before="0" w:after="40" w:line="276" w:lineRule="auto"/>
        <w:jc w:val="center"/>
      </w:pPr>
      <w:r>
        <w:rPr>
          <w:rFonts w:ascii="Times New Roman" w:hAnsi="Times New Roman"/>
          <w:b/>
          <w:color w:val="000000"/>
          <w:sz w:val="32"/>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2"/>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2"/>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2"/>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4"/>
        </w:rPr>
        <w:t>1.1 PROBLEM STATEMENT</w:t>
      </w:r>
    </w:p>
    <w:p>
      <w:pPr>
        <w:spacing w:before="0" w:after="100" w:line="276" w:lineRule="auto"/>
        <w:jc w:val="both"/>
      </w:pPr>
      <w:r>
        <w:rPr>
          <w:rFonts w:ascii="Times New Roman" w:hAnsi="Times New Roman"/>
          <w:b w:val="0"/>
          <w:i w:val="0"/>
          <w:color w:val="000000"/>
          <w:sz w:val="22"/>
        </w:rPr>
        <w:t>Manual human inspection of rotor welds on high-speed manufacturing lines suffers from severe fatigue-induced error rates, operator subjectivity, and an inability to reliably detect micro-scale surface flaws under variable factory lighting. Furthermore, raw optical macro images capture extensive irrelevant background context—including rotor teeth laminations, central shaft bores, mounting fixtures, and reflective metallic shadows. Conventional fixed-size bounding box cropping frequently severs protruding molten dripping anomalies or fails to center the fusion seam.</w:t>
      </w:r>
    </w:p>
    <w:p>
      <w:pPr>
        <w:spacing w:before="0" w:after="100" w:line="276" w:lineRule="auto"/>
        <w:jc w:val="both"/>
      </w:pPr>
      <w:r>
        <w:rPr>
          <w:rFonts w:ascii="Times New Roman" w:hAnsi="Times New Roman"/>
          <w:b w:val="0"/>
          <w:i w:val="0"/>
          <w:color w:val="000000"/>
          <w:sz w:val="22"/>
        </w:rPr>
        <w:t>An automated quality assurance pipeline is required that can dynamically isolate the true weld bead Region-of-Interest (ROI) via saliency edge detection, extract robust mathematical descriptors, and deploy a multi-model machine learning architecture to achieve high defect recall while maintaining transparent explainability.</w:t>
      </w:r>
    </w:p>
    <w:p>
      <w:r>
        <w:br w:type="page"/>
      </w:r>
    </w:p>
    <w:p>
      <w:pPr>
        <w:spacing w:before="0" w:after="80" w:line="276" w:lineRule="auto"/>
      </w:pPr>
      <w:r>
        <w:rPr>
          <w:rFonts w:ascii="Times New Roman" w:hAnsi="Times New Roman"/>
          <w:b/>
          <w:color w:val="000000"/>
          <w:sz w:val="24"/>
        </w:rPr>
        <w:t>1.2 AIM</w:t>
      </w:r>
    </w:p>
    <w:p>
      <w:pPr>
        <w:spacing w:before="0" w:after="100" w:line="276" w:lineRule="auto"/>
        <w:jc w:val="both"/>
      </w:pPr>
      <w:r>
        <w:rPr>
          <w:rFonts w:ascii="Times New Roman" w:hAnsi="Times New Roman"/>
          <w:b w:val="0"/>
          <w:i w:val="0"/>
          <w:color w:val="000000"/>
          <w:sz w:val="22"/>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pPr>
        <w:spacing w:before="120" w:after="80" w:line="276" w:lineRule="auto"/>
      </w:pPr>
      <w:r>
        <w:rPr>
          <w:rFonts w:ascii="Times New Roman" w:hAnsi="Times New Roman"/>
          <w:b/>
          <w:color w:val="000000"/>
          <w:sz w:val="24"/>
        </w:rPr>
        <w:t>1.3 OBJECTIVES</w:t>
      </w:r>
    </w:p>
    <w:p>
      <w:pPr>
        <w:pStyle w:val="ListBullet"/>
        <w:spacing w:before="0" w:after="60" w:line="276" w:lineRule="auto"/>
        <w:jc w:val="both"/>
      </w:pPr>
      <w:r>
        <w:rPr>
          <w:rFonts w:ascii="Times New Roman" w:hAnsi="Times New Roman"/>
          <w:sz w:val="22"/>
        </w:rPr>
        <w:t>1. Acquire high-resolution optical macro images of rotor squirrel-cage weld rings.</w:t>
      </w:r>
    </w:p>
    <w:p>
      <w:pPr>
        <w:pStyle w:val="ListBullet"/>
        <w:spacing w:before="0" w:after="60" w:line="276" w:lineRule="auto"/>
        <w:jc w:val="both"/>
      </w:pPr>
      <w:r>
        <w:rPr>
          <w:rFonts w:ascii="Times New Roman" w:hAnsi="Times New Roman"/>
          <w:sz w:val="22"/>
        </w:rPr>
        <w:t>2. Develop a saliency-guided adaptive cropper using Otsu thresholding and Sobel gradient operators.</w:t>
      </w:r>
    </w:p>
    <w:p>
      <w:pPr>
        <w:pStyle w:val="ListBullet"/>
        <w:spacing w:before="0" w:after="60" w:line="276" w:lineRule="auto"/>
        <w:jc w:val="both"/>
      </w:pPr>
      <w:r>
        <w:rPr>
          <w:rFonts w:ascii="Times New Roman" w:hAnsi="Times New Roman"/>
          <w:sz w:val="22"/>
        </w:rPr>
        <w:t>3. Ensure preservation of full anomalous weld drip/droop protrusions without boundary truncation.</w:t>
      </w:r>
    </w:p>
    <w:p>
      <w:pPr>
        <w:pStyle w:val="ListBullet"/>
        <w:spacing w:before="0" w:after="60" w:line="276" w:lineRule="auto"/>
        <w:jc w:val="both"/>
      </w:pPr>
      <w:r>
        <w:rPr>
          <w:rFonts w:ascii="Times New Roman" w:hAnsi="Times New Roman"/>
          <w:sz w:val="22"/>
        </w:rPr>
        <w:t>4. Formulate and extract 15 quantitative mathematical descriptors across intensity, geometry, and GLCM texture.</w:t>
      </w:r>
    </w:p>
    <w:p>
      <w:pPr>
        <w:pStyle w:val="ListBullet"/>
        <w:spacing w:before="0" w:after="60" w:line="276" w:lineRule="auto"/>
        <w:jc w:val="both"/>
      </w:pPr>
      <w:r>
        <w:rPr>
          <w:rFonts w:ascii="Times New Roman" w:hAnsi="Times New Roman"/>
          <w:sz w:val="22"/>
        </w:rPr>
        <w:t>5. Perform exploratory data analysis including Pearson correlation analysis and 2D Principal Component Analysis (PCA).</w:t>
      </w:r>
    </w:p>
    <w:p>
      <w:pPr>
        <w:pStyle w:val="ListBullet"/>
        <w:spacing w:before="0" w:after="60" w:line="276" w:lineRule="auto"/>
        <w:jc w:val="both"/>
      </w:pPr>
      <w:r>
        <w:rPr>
          <w:rFonts w:ascii="Times New Roman" w:hAnsi="Times New Roman"/>
          <w:sz w:val="22"/>
        </w:rPr>
        <w:t>6. Implement an explainable white-box Decision Tree classifier for auditable shop-floor decision making.</w:t>
      </w:r>
    </w:p>
    <w:p>
      <w:pPr>
        <w:pStyle w:val="ListBullet"/>
        <w:spacing w:before="0" w:after="60" w:line="276" w:lineRule="auto"/>
        <w:jc w:val="both"/>
      </w:pPr>
      <w:r>
        <w:rPr>
          <w:rFonts w:ascii="Times New Roman" w:hAnsi="Times New Roman"/>
          <w:sz w:val="22"/>
        </w:rPr>
        <w:t>7. Train and benchmark a Random Forest ensemble and a transfer-learned MobileNetV3 deep convolutional network.</w:t>
      </w:r>
    </w:p>
    <w:p>
      <w:pPr>
        <w:pStyle w:val="ListBullet"/>
        <w:spacing w:before="0" w:after="60" w:line="276" w:lineRule="auto"/>
        <w:jc w:val="both"/>
      </w:pPr>
      <w:r>
        <w:rPr>
          <w:rFonts w:ascii="Times New Roman" w:hAnsi="Times New Roman"/>
          <w:sz w:val="22"/>
        </w:rPr>
        <w:t>8.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sz w:val="22"/>
        </w:rPr>
        <w:t>9. Validate the complete cyber-physical inspection chain against ISO 9001:2015 quality criteria and document all empirical performance metrics.</w:t>
      </w:r>
    </w:p>
    <w:p>
      <w:pPr>
        <w:spacing w:before="120" w:after="80" w:line="276" w:lineRule="auto"/>
      </w:pPr>
      <w:r>
        <w:rPr>
          <w:rFonts w:ascii="Times New Roman" w:hAnsi="Times New Roman"/>
          <w:b/>
          <w:color w:val="000000"/>
          <w:sz w:val="24"/>
        </w:rPr>
        <w:t>1.4 SCOPE OF THE PROJECT</w:t>
      </w:r>
    </w:p>
    <w:p>
      <w:pPr>
        <w:spacing w:before="0" w:after="100" w:line="276" w:lineRule="auto"/>
        <w:jc w:val="both"/>
      </w:pPr>
      <w:r>
        <w:rPr>
          <w:rFonts w:ascii="Times New Roman" w:hAnsi="Times New Roman"/>
          <w:b w:val="0"/>
          <w:i w:val="0"/>
          <w:color w:val="000000"/>
          <w:sz w:val="22"/>
        </w:rPr>
        <w:t>The project focuses on external surface weld defect inspection of cylindrical rotor end-ring assemblies. It encompasses automated optical preprocessing, spatial ROI isolation, statistical and Haralick texture feature extraction, exploratory dimensionality reduction,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4"/>
        </w:rPr>
        <w:t>1.5 APPLICATIONS</w:t>
      </w:r>
    </w:p>
    <w:p>
      <w:pPr>
        <w:spacing w:before="0" w:after="100" w:line="276" w:lineRule="auto"/>
        <w:jc w:val="both"/>
      </w:pPr>
      <w:r>
        <w:rPr>
          <w:rFonts w:ascii="Times New Roman" w:hAnsi="Times New Roman"/>
          <w:b w:val="0"/>
          <w:i w:val="0"/>
          <w:color w:val="000000"/>
          <w:sz w:val="22"/>
        </w:rPr>
        <w:t>Potential industrial application areas include:</w:t>
      </w:r>
    </w:p>
    <w:p>
      <w:pPr>
        <w:pStyle w:val="ListBullet"/>
        <w:spacing w:before="0" w:after="60" w:line="276" w:lineRule="auto"/>
        <w:jc w:val="both"/>
      </w:pPr>
      <w:r>
        <w:rPr>
          <w:rFonts w:ascii="Times New Roman" w:hAnsi="Times New Roman"/>
          <w:sz w:val="22"/>
        </w:rPr>
        <w:t>Automated quality assurance on high-volume electric vehicle (EV) traction motor production lines.</w:t>
      </w:r>
    </w:p>
    <w:p>
      <w:pPr>
        <w:pStyle w:val="ListBullet"/>
        <w:spacing w:before="0" w:after="60" w:line="276" w:lineRule="auto"/>
        <w:jc w:val="both"/>
      </w:pPr>
      <w:r>
        <w:rPr>
          <w:rFonts w:ascii="Times New Roman" w:hAnsi="Times New Roman"/>
          <w:sz w:val="22"/>
        </w:rPr>
        <w:t>End-of-line verification for heavy industrial pumps, compressors, and high-voltage induction motors.</w:t>
      </w:r>
    </w:p>
    <w:p>
      <w:pPr>
        <w:pStyle w:val="ListBullet"/>
        <w:spacing w:before="0" w:after="60" w:line="276" w:lineRule="auto"/>
        <w:jc w:val="both"/>
      </w:pPr>
      <w:r>
        <w:rPr>
          <w:rFonts w:ascii="Times New Roman" w:hAnsi="Times New Roman"/>
          <w:sz w:val="22"/>
        </w:rPr>
        <w:t>Inspection of aerospace auxiliary power unit (APU) starter-generator rotor assemblies.</w:t>
      </w:r>
    </w:p>
    <w:p>
      <w:pPr>
        <w:pStyle w:val="ListBullet"/>
        <w:spacing w:before="0" w:after="60" w:line="276" w:lineRule="auto"/>
        <w:jc w:val="both"/>
      </w:pPr>
      <w:r>
        <w:rPr>
          <w:rFonts w:ascii="Times New Roman" w:hAnsi="Times New Roman"/>
          <w:sz w:val="22"/>
        </w:rPr>
        <w:t>Automated pneumatic sorting stations utilizing 3-tier routing (Accept, Rework, Scrap).</w:t>
      </w:r>
    </w:p>
    <w:p>
      <w:pPr>
        <w:pStyle w:val="ListBullet"/>
        <w:spacing w:before="0" w:after="60" w:line="276" w:lineRule="auto"/>
        <w:jc w:val="both"/>
      </w:pPr>
      <w:r>
        <w:rPr>
          <w:rFonts w:ascii="Times New Roman" w:hAnsi="Times New Roman"/>
          <w:sz w:val="22"/>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2"/>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669280" cy="2227217"/>
            <wp:docPr id="3" name="Picture 3"/>
            <wp:cNvGraphicFramePr>
              <a:graphicFrameLocks noChangeAspect="1"/>
            </wp:cNvGraphicFramePr>
            <a:graphic>
              <a:graphicData uri="http://schemas.openxmlformats.org/drawingml/2006/picture">
                <pic:pic>
                  <pic:nvPicPr>
                    <pic:cNvPr id="0" name="fig_pipeline_arch.png"/>
                    <pic:cNvPicPr/>
                  </pic:nvPicPr>
                  <pic:blipFill>
                    <a:blip r:embed="rId11"/>
                    <a:stretch>
                      <a:fillRect/>
                    </a:stretch>
                  </pic:blipFill>
                  <pic:spPr>
                    <a:xfrm>
                      <a:off x="0" y="0"/>
                      <a:ext cx="5669280" cy="2227217"/>
                    </a:xfrm>
                    <a:prstGeom prst="rect"/>
                  </pic:spPr>
                </pic:pic>
              </a:graphicData>
            </a:graphic>
          </wp:inline>
        </w:drawing>
      </w:r>
    </w:p>
    <w:p>
      <w:pPr>
        <w:spacing w:before="80" w:after="160"/>
        <w:jc w:val="center"/>
      </w:pPr>
      <w:r>
        <w:rPr>
          <w:rFonts w:ascii="Times New Roman" w:hAnsi="Times New Roman"/>
          <w:i/>
          <w:sz w:val="21"/>
        </w:rPr>
        <w:t>Fig. 1.1 Overview of the proposed system architecture</w:t>
      </w:r>
    </w:p>
    <w:p>
      <w:r>
        <w:br w:type="page"/>
      </w:r>
    </w:p>
    <w:p>
      <w:pPr>
        <w:spacing w:before="0" w:after="40" w:line="276" w:lineRule="auto"/>
        <w:jc w:val="center"/>
      </w:pPr>
      <w:r>
        <w:rPr>
          <w:rFonts w:ascii="Times New Roman" w:hAnsi="Times New Roman"/>
          <w:b/>
          <w:color w:val="000000"/>
          <w:sz w:val="32"/>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4"/>
        </w:rPr>
        <w:t>2.1 OVERVIEW OF INDUSTRIAL WELD DEFECT INSPECTION</w:t>
      </w:r>
    </w:p>
    <w:p>
      <w:pPr>
        <w:spacing w:before="0" w:after="100" w:line="276" w:lineRule="auto"/>
        <w:jc w:val="both"/>
      </w:pPr>
      <w:r>
        <w:rPr>
          <w:rFonts w:ascii="Times New Roman" w:hAnsi="Times New Roman"/>
          <w:b w:val="0"/>
          <w:i w:val="0"/>
          <w:color w:val="000000"/>
          <w:sz w:val="22"/>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4"/>
        </w:rPr>
        <w:t>2.2 OPTICAL ACQUISITION AND LIGHTING GEOMETRY</w:t>
      </w:r>
    </w:p>
    <w:p>
      <w:pPr>
        <w:spacing w:before="0" w:after="100" w:line="276" w:lineRule="auto"/>
        <w:jc w:val="both"/>
      </w:pPr>
      <w:r>
        <w:rPr>
          <w:rFonts w:ascii="Times New Roman" w:hAnsi="Times New Roman"/>
          <w:b w:val="0"/>
          <w:i w:val="0"/>
          <w:color w:val="000000"/>
          <w:sz w:val="22"/>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4"/>
        </w:rPr>
        <w:t>2.3 SPATIAL AND MORPHOLOGICAL FEATURE DESCRIPTORS</w:t>
      </w:r>
    </w:p>
    <w:p>
      <w:pPr>
        <w:spacing w:before="0" w:after="100" w:line="276" w:lineRule="auto"/>
        <w:jc w:val="both"/>
      </w:pPr>
      <w:r>
        <w:rPr>
          <w:rFonts w:ascii="Times New Roman" w:hAnsi="Times New Roman"/>
          <w:b w:val="0"/>
          <w:i w:val="0"/>
          <w:color w:val="000000"/>
          <w:sz w:val="22"/>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2"/>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4"/>
        </w:rPr>
        <w:t>2.5 SALIENCY AND GRADIENT-BASED EDGE CROPPING METHODS</w:t>
      </w:r>
    </w:p>
    <w:p>
      <w:pPr>
        <w:spacing w:before="0" w:after="100" w:line="276" w:lineRule="auto"/>
        <w:jc w:val="both"/>
      </w:pPr>
      <w:r>
        <w:rPr>
          <w:rFonts w:ascii="Times New Roman" w:hAnsi="Times New Roman"/>
          <w:b w:val="0"/>
          <w:i w:val="0"/>
          <w:color w:val="000000"/>
          <w:sz w:val="22"/>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4"/>
        </w:rPr>
        <w:t>2.6 MACHINE LEARNING AND DEEP CONVOLUTIONAL CLASSIFIERS</w:t>
      </w:r>
    </w:p>
    <w:p>
      <w:pPr>
        <w:spacing w:before="0" w:after="100" w:line="276" w:lineRule="auto"/>
        <w:jc w:val="both"/>
      </w:pPr>
      <w:r>
        <w:rPr>
          <w:rFonts w:ascii="Times New Roman" w:hAnsi="Times New Roman"/>
          <w:b w:val="0"/>
          <w:i w:val="0"/>
          <w:color w:val="000000"/>
          <w:sz w:val="22"/>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4"/>
        </w:rPr>
        <w:t>2.7 RESEARCH GAP AND PROJECT MOTIVATION</w:t>
      </w:r>
    </w:p>
    <w:p>
      <w:pPr>
        <w:spacing w:before="0" w:after="100" w:line="276" w:lineRule="auto"/>
        <w:jc w:val="both"/>
      </w:pPr>
      <w:r>
        <w:rPr>
          <w:rFonts w:ascii="Times New Roman" w:hAnsi="Times New Roman"/>
          <w:b w:val="0"/>
          <w:i w:val="0"/>
          <w:color w:val="000000"/>
          <w:sz w:val="22"/>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2"/>
        </w:rPr>
        <w:t>This project bridges these critical gaps by combining an adaptive saliency-guided cropper that preserves full droop morphology with an explainable white-box Decision Tree and a transfer-learned MobileNetV3 classifier in a unified tri-model architecture.</w:t>
      </w:r>
    </w:p>
    <w:p>
      <w:pPr>
        <w:spacing w:before="160" w:after="80" w:line="276" w:lineRule="auto"/>
      </w:pPr>
      <w:r>
        <w:rPr>
          <w:rFonts w:ascii="Times New Roman" w:hAnsi="Times New Roman"/>
          <w:b/>
          <w:color w:val="000000"/>
          <w:sz w:val="24"/>
        </w:rPr>
        <w:t>2.8 SUMMARY</w:t>
      </w:r>
    </w:p>
    <w:p>
      <w:pPr>
        <w:spacing w:before="0" w:after="100" w:line="276" w:lineRule="auto"/>
        <w:jc w:val="both"/>
      </w:pPr>
      <w:r>
        <w:rPr>
          <w:rFonts w:ascii="Times New Roman" w:hAnsi="Times New Roman"/>
          <w:b w:val="0"/>
          <w:i w:val="0"/>
          <w:color w:val="000000"/>
          <w:sz w:val="22"/>
        </w:rPr>
        <w:t>The literature survey establishes the technical foundation for selecting polarized optical macro imaging, Sobel-based saliency cropping, 15 mathematical feature descriptors, and a dual-tier classification pipeline combining explainable tree models with deep vision networks.</w:t>
      </w:r>
    </w:p>
    <w:p>
      <w:r>
        <w:br w:type="page"/>
      </w:r>
    </w:p>
    <w:p>
      <w:pPr>
        <w:spacing w:before="0" w:after="40" w:line="276" w:lineRule="auto"/>
        <w:jc w:val="center"/>
      </w:pPr>
      <w:r>
        <w:rPr>
          <w:rFonts w:ascii="Times New Roman" w:hAnsi="Times New Roman"/>
          <w:b/>
          <w:color w:val="000000"/>
          <w:sz w:val="32"/>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4"/>
        </w:rPr>
        <w:t>3.1 SYSTEM ARCHITECTURE</w:t>
      </w:r>
    </w:p>
    <w:p>
      <w:pPr>
        <w:spacing w:before="0" w:after="100" w:line="276" w:lineRule="auto"/>
        <w:jc w:val="both"/>
      </w:pPr>
      <w:r>
        <w:rPr>
          <w:rFonts w:ascii="Times New Roman" w:hAnsi="Times New Roman"/>
          <w:b w:val="0"/>
          <w:i w:val="0"/>
          <w:color w:val="000000"/>
          <w:sz w:val="22"/>
        </w:rPr>
        <w:t>The proposed cyber-physical inspection system is structured into four tightly integrated sequential stages:</w:t>
      </w:r>
    </w:p>
    <w:p>
      <w:pPr>
        <w:pStyle w:val="ListBullet"/>
        <w:spacing w:before="0" w:after="60" w:line="276" w:lineRule="auto"/>
        <w:jc w:val="both"/>
      </w:pPr>
      <w:r>
        <w:rPr>
          <w:rFonts w:ascii="Times New Roman" w:hAnsi="Times New Roman"/>
          <w:sz w:val="22"/>
        </w:rPr>
        <w:t>Stage 1: High-Resolution Optical Acquisition — Industrial macro imaging sensor paired with diffuse polarized LED illumination to capture high-contrast digital frames of the rotor weld joint.</w:t>
      </w:r>
    </w:p>
    <w:p>
      <w:pPr>
        <w:pStyle w:val="ListBullet"/>
        <w:spacing w:before="0" w:after="60" w:line="276" w:lineRule="auto"/>
        <w:jc w:val="both"/>
      </w:pPr>
      <w:r>
        <w:rPr>
          <w:rFonts w:ascii="Times New Roman" w:hAnsi="Times New Roman"/>
          <w:sz w:val="22"/>
        </w:rPr>
        <w:t>Stage 2: Saliency-Guided Preprocessing and Adaptive ROI Cropping — Automatic conversion to gray, HSV, and LAB spaces, Sobel gradient edge filtering, morphological closure, and bounding box expansion to isolate the fusion bead while retaining full droplet protrusions.</w:t>
      </w:r>
    </w:p>
    <w:p>
      <w:pPr>
        <w:pStyle w:val="ListBullet"/>
        <w:spacing w:before="0" w:after="60" w:line="276" w:lineRule="auto"/>
        <w:jc w:val="both"/>
      </w:pPr>
      <w:r>
        <w:rPr>
          <w:rFonts w:ascii="Times New Roman" w:hAnsi="Times New Roman"/>
          <w:sz w:val="22"/>
        </w:rPr>
        <w:t>Stage 3: Multi-Domain Feature Extraction and Tri-Model Inference Engine — Extraction of 15 intensity, morphological, and GLCM texture descriptors, fed to an explainable Decision Tree, Random Forest ensemble, and MobileNetV3 deep vision network.</w:t>
      </w:r>
    </w:p>
    <w:p>
      <w:pPr>
        <w:pStyle w:val="ListBullet"/>
        <w:spacing w:before="0" w:after="60" w:line="276" w:lineRule="auto"/>
        <w:jc w:val="both"/>
      </w:pPr>
      <w:r>
        <w:rPr>
          <w:rFonts w:ascii="Times New Roman" w:hAnsi="Times New Roman"/>
          <w:sz w:val="22"/>
        </w:rPr>
        <w:t>Stage 4: Industrial 3-Tier Sorting and ISO Compliance Web Dashboard — Automated routing into Accept, Rework, or Scrap categories, complete with real-time canvas visualization and tamper-proof SHA-256 ISO 9001:2015 inspection certificates.</w:t>
      </w:r>
    </w:p>
    <w:p>
      <w:r>
        <w:br w:type="page"/>
      </w:r>
    </w:p>
    <w:p>
      <w:pPr>
        <w:spacing w:before="80" w:after="80"/>
        <w:jc w:val="center"/>
      </w:pPr>
      <w:r>
        <w:drawing>
          <wp:inline xmlns:a="http://schemas.openxmlformats.org/drawingml/2006/main" xmlns:pic="http://schemas.openxmlformats.org/drawingml/2006/picture">
            <wp:extent cx="4389120" cy="5852160"/>
            <wp:docPr id="4" name="Picture 4"/>
            <wp:cNvGraphicFramePr>
              <a:graphicFrameLocks noChangeAspect="1"/>
            </wp:cNvGraphicFramePr>
            <a:graphic>
              <a:graphicData uri="http://schemas.openxmlformats.org/drawingml/2006/picture">
                <pic:pic>
                  <pic:nvPicPr>
                    <pic:cNvPr id="0" name="fig_rotor_specimen_raw.jpg"/>
                    <pic:cNvPicPr/>
                  </pic:nvPicPr>
                  <pic:blipFill>
                    <a:blip r:embed="rId12"/>
                    <a:stretch>
                      <a:fillRect/>
                    </a:stretch>
                  </pic:blipFill>
                  <pic:spPr>
                    <a:xfrm>
                      <a:off x="0" y="0"/>
                      <a:ext cx="4389120" cy="5852160"/>
                    </a:xfrm>
                    <a:prstGeom prst="rect"/>
                  </pic:spPr>
                </pic:pic>
              </a:graphicData>
            </a:graphic>
          </wp:inline>
        </w:drawing>
      </w:r>
    </w:p>
    <w:p>
      <w:pPr>
        <w:spacing w:before="80" w:after="160"/>
        <w:jc w:val="center"/>
      </w:pPr>
      <w:r>
        <w:rPr>
          <w:rFonts w:ascii="Times New Roman" w:hAnsi="Times New Roman"/>
          <w:i/>
          <w:sz w:val="21"/>
        </w:rPr>
        <w:t>Fig. 3.1 Experimental hardware and rotor inspection setup</w:t>
      </w:r>
    </w:p>
    <w:p>
      <w:pPr>
        <w:spacing w:before="80" w:after="80"/>
        <w:jc w:val="center"/>
      </w:pPr>
      <w:r>
        <w:drawing>
          <wp:inline xmlns:a="http://schemas.openxmlformats.org/drawingml/2006/main" xmlns:pic="http://schemas.openxmlformats.org/drawingml/2006/picture">
            <wp:extent cx="4389120" cy="4486656"/>
            <wp:docPr id="5" name="Picture 5"/>
            <wp:cNvGraphicFramePr>
              <a:graphicFrameLocks noChangeAspect="1"/>
            </wp:cNvGraphicFramePr>
            <a:graphic>
              <a:graphicData uri="http://schemas.openxmlformats.org/drawingml/2006/picture">
                <pic:pic>
                  <pic:nvPicPr>
                    <pic:cNvPr id="0" name="fig_weld_seam_crop.jpg"/>
                    <pic:cNvPicPr/>
                  </pic:nvPicPr>
                  <pic:blipFill>
                    <a:blip r:embed="rId13"/>
                    <a:stretch>
                      <a:fillRect/>
                    </a:stretch>
                  </pic:blipFill>
                  <pic:spPr>
                    <a:xfrm>
                      <a:off x="0" y="0"/>
                      <a:ext cx="4389120" cy="4486656"/>
                    </a:xfrm>
                    <a:prstGeom prst="rect"/>
                  </pic:spPr>
                </pic:pic>
              </a:graphicData>
            </a:graphic>
          </wp:inline>
        </w:drawing>
      </w:r>
    </w:p>
    <w:p>
      <w:pPr>
        <w:spacing w:before="80" w:after="160"/>
        <w:jc w:val="center"/>
      </w:pPr>
      <w:r>
        <w:rPr>
          <w:rFonts w:ascii="Times New Roman" w:hAnsi="Times New Roman"/>
          <w:i/>
          <w:sz w:val="21"/>
        </w:rPr>
        <w:t>Fig. 3.2 Isolated weld seam ROI macro specimen</w:t>
      </w:r>
    </w:p>
    <w:p>
      <w:r>
        <w:br w:type="page"/>
      </w:r>
    </w:p>
    <w:p>
      <w:pPr>
        <w:spacing w:before="0" w:after="80" w:line="276" w:lineRule="auto"/>
      </w:pPr>
      <w:r>
        <w:rPr>
          <w:rFonts w:ascii="Times New Roman" w:hAnsi="Times New Roman"/>
          <w:b/>
          <w:color w:val="000000"/>
          <w:sz w:val="24"/>
        </w:rPr>
        <w:t>3.2 HARDWARE COMPONENTS</w:t>
      </w:r>
    </w:p>
    <w:p>
      <w:pPr>
        <w:spacing w:before="0" w:after="100" w:line="276" w:lineRule="auto"/>
        <w:jc w:val="both"/>
      </w:pPr>
      <w:r>
        <w:rPr>
          <w:rFonts w:ascii="Times New Roman" w:hAnsi="Times New Roman"/>
          <w:b w:val="0"/>
          <w:i w:val="0"/>
          <w:color w:val="000000"/>
          <w:sz w:val="22"/>
        </w:rPr>
        <w:t>3.2.1 High-Resolution Optical Camera: 12 MP industrial CMOS image sensor with 25 mm macro lens, capturing 4032 × 3024 raw images under controlled optical geometry.</w:t>
      </w:r>
    </w:p>
    <w:p>
      <w:pPr>
        <w:spacing w:before="0" w:after="100" w:line="276" w:lineRule="auto"/>
        <w:jc w:val="both"/>
      </w:pPr>
      <w:r>
        <w:rPr>
          <w:rFonts w:ascii="Times New Roman" w:hAnsi="Times New Roman"/>
          <w:b w:val="0"/>
          <w:i w:val="0"/>
          <w:color w:val="000000"/>
          <w:sz w:val="22"/>
        </w:rPr>
        <w:t>3.2.2 Processing Workstation and Edge Inference Engine: Intel Core multi-threaded host workstation with edge accelerator support (Raspberry Pi 5 / NVIDIA Jetson compatible) for sub-100ms inference.</w:t>
      </w:r>
    </w:p>
    <w:p>
      <w:pPr>
        <w:spacing w:before="0" w:after="100" w:line="276" w:lineRule="auto"/>
        <w:jc w:val="both"/>
      </w:pPr>
      <w:r>
        <w:rPr>
          <w:rFonts w:ascii="Times New Roman" w:hAnsi="Times New Roman"/>
          <w:b w:val="0"/>
          <w:i w:val="0"/>
          <w:color w:val="000000"/>
          <w:sz w:val="22"/>
        </w:rPr>
        <w:t>3.2.3 Industrial Lighting and Fixture Rig: Continuous diffuse ring LED illuminator with cross-polarizing filters mounted on a precision rotary indexing fixture for consistent rotor presentation.</w:t>
      </w:r>
    </w:p>
    <w:p>
      <w:pPr>
        <w:spacing w:before="0" w:after="100" w:line="276" w:lineRule="auto"/>
        <w:jc w:val="both"/>
      </w:pPr>
      <w:r>
        <w:rPr>
          <w:rFonts w:ascii="Times New Roman" w:hAnsi="Times New Roman"/>
          <w:b w:val="0"/>
          <w:i w:val="0"/>
          <w:color w:val="000000"/>
          <w:sz w:val="22"/>
        </w:rPr>
        <w:t>3.2.4 Web-Based Inspection Dashboard: Lightweight browser interface rendering client-side HTML5 canvas inspection overlays and asynchronous REST communication.</w:t>
      </w:r>
    </w:p>
    <w:p>
      <w:pPr>
        <w:spacing w:before="120" w:after="80" w:line="276" w:lineRule="auto"/>
      </w:pPr>
      <w:r>
        <w:rPr>
          <w:rFonts w:ascii="Times New Roman" w:hAnsi="Times New Roman"/>
          <w:b/>
          <w:color w:val="000000"/>
          <w:sz w:val="24"/>
        </w:rPr>
        <w:t>3.3 HARDWARE CONNECTIONS AND SPECIFICATIONS</w:t>
      </w:r>
    </w:p>
    <w:tbl>
      <w:tblPr>
        <w:tblW w:type="auto" w:w="0"/>
        <w:jc w:val="center"/>
        <w:tblLook w:firstColumn="1" w:firstRow="1" w:lastColumn="0" w:lastRow="0" w:noHBand="0" w:noVBand="1" w:val="04A0"/>
      </w:tblPr>
      <w:tblGrid>
        <w:gridCol w:w="3250"/>
        <w:gridCol w:w="3250"/>
        <w:gridCol w:w="3250"/>
      </w:tblGrid>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MODULE / COMPONENT</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HOST INTERFACE</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FUNCTION / PURPOSE</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CMOS Camera Sensor</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USB 3.0 / GigE</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High-resolution raw frame ingestion</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LED Illuminator</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24V DC / PWM GPIO</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Polarized specular glare elimination</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Rotary Indexer</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RS-485 / Modbus</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Automated angular rotor positioning</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Pneumatic Sorting Gate</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Opto-Isolated Relay</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3-Tier physical reject actuation</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Host Workstation</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TCP/IP Ethernet</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REST API and ISO certificate server</w:t>
            </w:r>
          </w:p>
        </w:tc>
      </w:tr>
    </w:tbl>
    <w:p>
      <w:r>
        <w:br w:type="page"/>
      </w:r>
    </w:p>
    <w:p>
      <w:pPr>
        <w:spacing w:before="0" w:after="80" w:line="276" w:lineRule="auto"/>
      </w:pPr>
      <w:r>
        <w:rPr>
          <w:rFonts w:ascii="Times New Roman" w:hAnsi="Times New Roman"/>
          <w:b/>
          <w:color w:val="000000"/>
          <w:sz w:val="24"/>
        </w:rPr>
        <w:t>3.4 SOFTWARE REQUIREMENTS</w:t>
      </w:r>
    </w:p>
    <w:p>
      <w:pPr>
        <w:spacing w:before="0" w:after="100" w:line="276" w:lineRule="auto"/>
        <w:jc w:val="both"/>
      </w:pPr>
      <w:r>
        <w:rPr>
          <w:rFonts w:ascii="Times New Roman" w:hAnsi="Times New Roman"/>
          <w:b w:val="0"/>
          <w:i w:val="0"/>
          <w:color w:val="000000"/>
          <w:sz w:val="22"/>
        </w:rPr>
        <w:t>The software architecture is engineered using Python 3.14 / 3.11 with an asynchronous Flask REST API backend and modular analytical libraries:</w:t>
      </w:r>
    </w:p>
    <w:p>
      <w:pPr>
        <w:pStyle w:val="ListBullet"/>
        <w:spacing w:before="0" w:after="60" w:line="276" w:lineRule="auto"/>
        <w:jc w:val="both"/>
      </w:pPr>
      <w:r>
        <w:rPr>
          <w:rFonts w:ascii="Times New Roman" w:hAnsi="Times New Roman"/>
          <w:sz w:val="22"/>
        </w:rPr>
        <w:t>OpenCV (cv2 4.10): Image color space transformations, Sobel gradient edge calculations, Otsu adaptive thresholding, and morphological closure.</w:t>
      </w:r>
    </w:p>
    <w:p>
      <w:pPr>
        <w:pStyle w:val="ListBullet"/>
        <w:spacing w:before="0" w:after="60" w:line="276" w:lineRule="auto"/>
        <w:jc w:val="both"/>
      </w:pPr>
      <w:r>
        <w:rPr>
          <w:rFonts w:ascii="Times New Roman" w:hAnsi="Times New Roman"/>
          <w:sz w:val="22"/>
        </w:rPr>
        <w:t>PyTorch (2.4.1): Transfer learning, convolutional tensor inference, and forward pass evaluation of the MobileNetV3 deep vision classifier.</w:t>
      </w:r>
    </w:p>
    <w:p>
      <w:pPr>
        <w:pStyle w:val="ListBullet"/>
        <w:spacing w:before="0" w:after="60" w:line="276" w:lineRule="auto"/>
        <w:jc w:val="both"/>
      </w:pPr>
      <w:r>
        <w:rPr>
          <w:rFonts w:ascii="Times New Roman" w:hAnsi="Times New Roman"/>
          <w:sz w:val="22"/>
        </w:rPr>
        <w:t>Scikit-Learn (1.5.2): Extraction of 15 mathematical feature descriptors, 2D Principal Component Analysis (PCA), Decision Tree classification, and Random Forest ensemble.</w:t>
      </w:r>
    </w:p>
    <w:p>
      <w:pPr>
        <w:pStyle w:val="ListBullet"/>
        <w:spacing w:before="0" w:after="60" w:line="276" w:lineRule="auto"/>
        <w:jc w:val="both"/>
      </w:pPr>
      <w:r>
        <w:rPr>
          <w:rFonts w:ascii="Times New Roman" w:hAnsi="Times New Roman"/>
          <w:sz w:val="22"/>
        </w:rPr>
        <w:t>Scikit-Image (0.24): Computation of Gray-Level Co-occurrence Matrix (GLCM) and Haralick second-order texture moments.</w:t>
      </w:r>
    </w:p>
    <w:p>
      <w:pPr>
        <w:pStyle w:val="ListBullet"/>
        <w:spacing w:before="0" w:after="60" w:line="276" w:lineRule="auto"/>
        <w:jc w:val="both"/>
      </w:pPr>
      <w:r>
        <w:rPr>
          <w:rFonts w:ascii="Times New Roman" w:hAnsi="Times New Roman"/>
          <w:sz w:val="22"/>
        </w:rPr>
        <w:t>ReportLab &amp; python-docx: Automated generation of publication-grade ISO 9001:2015 PDF certificates and academic monograph reports in Word/PDF formats.</w:t>
      </w:r>
    </w:p>
    <w:p>
      <w:pPr>
        <w:pStyle w:val="ListBullet"/>
        <w:spacing w:before="0" w:after="60" w:line="276" w:lineRule="auto"/>
        <w:jc w:val="both"/>
      </w:pPr>
      <w:r>
        <w:rPr>
          <w:rFonts w:ascii="Times New Roman" w:hAnsi="Times New Roman"/>
          <w:sz w:val="22"/>
        </w:rPr>
        <w:t>HTML5 / JavaScript Web Client: Responsive browser UI with interactive canvas ROI selection and dual download endpoints.</w:t>
      </w:r>
    </w:p>
    <w:p>
      <w:pPr>
        <w:spacing w:before="0" w:after="100" w:line="276" w:lineRule="auto"/>
        <w:jc w:val="both"/>
      </w:pPr>
      <w:r>
        <w:rPr>
          <w:rFonts w:ascii="Times New Roman" w:hAnsi="Times New Roman"/>
          <w:b w:val="0"/>
          <w:i w:val="0"/>
          <w:color w:val="000000"/>
          <w:sz w:val="22"/>
        </w:rPr>
        <w:t>The software stack operates fully asynchronously, ensuring non-blocking camera frame ingestion, sub-100ms inference latency, and high operational throughput on the factory floor.</w:t>
      </w:r>
    </w:p>
    <w:p>
      <w:r>
        <w:br w:type="page"/>
      </w:r>
    </w:p>
    <w:p>
      <w:pPr>
        <w:spacing w:before="0" w:after="40" w:line="276" w:lineRule="auto"/>
        <w:jc w:val="center"/>
      </w:pPr>
      <w:r>
        <w:rPr>
          <w:rFonts w:ascii="Times New Roman" w:hAnsi="Times New Roman"/>
          <w:b/>
          <w:color w:val="000000"/>
          <w:sz w:val="32"/>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4"/>
        </w:rPr>
        <w:t>4.1 OVERALL METHODOLOGY</w:t>
      </w:r>
    </w:p>
    <w:p>
      <w:pPr>
        <w:spacing w:before="0" w:after="100" w:line="276" w:lineRule="auto"/>
        <w:jc w:val="both"/>
      </w:pPr>
      <w:r>
        <w:rPr>
          <w:rFonts w:ascii="Times New Roman" w:hAnsi="Times New Roman"/>
          <w:b w:val="0"/>
          <w:i w:val="0"/>
          <w:color w:val="000000"/>
          <w:sz w:val="22"/>
        </w:rPr>
        <w:t>The automated inspection methodology executes as a structured cyber-physical pipeline:</w:t>
      </w:r>
    </w:p>
    <w:p>
      <w:pPr>
        <w:pStyle w:val="ListBullet"/>
        <w:spacing w:before="0" w:after="60" w:line="276" w:lineRule="auto"/>
        <w:jc w:val="both"/>
      </w:pPr>
      <w:r>
        <w:rPr>
          <w:rFonts w:ascii="Times New Roman" w:hAnsi="Times New Roman"/>
          <w:sz w:val="22"/>
        </w:rPr>
        <w:t>1. Optical frame ingestion and standardization into normalized RGB, HSV, and grayscale buffers.</w:t>
      </w:r>
    </w:p>
    <w:p>
      <w:pPr>
        <w:pStyle w:val="ListBullet"/>
        <w:spacing w:before="0" w:after="60" w:line="276" w:lineRule="auto"/>
        <w:jc w:val="both"/>
      </w:pPr>
      <w:r>
        <w:rPr>
          <w:rFonts w:ascii="Times New Roman" w:hAnsi="Times New Roman"/>
          <w:sz w:val="22"/>
        </w:rPr>
        <w:t>2. Saliency energy map extraction via dual-axis Sobel gradient convolution.</w:t>
      </w:r>
    </w:p>
    <w:p>
      <w:pPr>
        <w:pStyle w:val="ListBullet"/>
        <w:spacing w:before="0" w:after="60" w:line="276" w:lineRule="auto"/>
        <w:jc w:val="both"/>
      </w:pPr>
      <w:r>
        <w:rPr>
          <w:rFonts w:ascii="Times New Roman" w:hAnsi="Times New Roman"/>
          <w:sz w:val="22"/>
        </w:rPr>
        <w:t>3. Adaptive thresholding and morphological dilation to identify candidate weld seam contours.</w:t>
      </w:r>
    </w:p>
    <w:p>
      <w:pPr>
        <w:pStyle w:val="ListBullet"/>
        <w:spacing w:before="0" w:after="60" w:line="276" w:lineRule="auto"/>
        <w:jc w:val="both"/>
      </w:pPr>
      <w:r>
        <w:rPr>
          <w:rFonts w:ascii="Times New Roman" w:hAnsi="Times New Roman"/>
          <w:sz w:val="22"/>
        </w:rPr>
        <w:t>4. Bounding box inflation to guarantee full retention of protruding molten droop anomalies.</w:t>
      </w:r>
    </w:p>
    <w:p>
      <w:pPr>
        <w:pStyle w:val="ListBullet"/>
        <w:spacing w:before="0" w:after="60" w:line="276" w:lineRule="auto"/>
        <w:jc w:val="both"/>
      </w:pPr>
      <w:r>
        <w:rPr>
          <w:rFonts w:ascii="Times New Roman" w:hAnsi="Times New Roman"/>
          <w:sz w:val="22"/>
        </w:rPr>
        <w:t>5. Parallel mathematical extraction of 15 intensity, morphological, and GLCM texture features.</w:t>
      </w:r>
    </w:p>
    <w:p>
      <w:pPr>
        <w:pStyle w:val="ListBullet"/>
        <w:spacing w:before="0" w:after="60" w:line="276" w:lineRule="auto"/>
        <w:jc w:val="both"/>
      </w:pPr>
      <w:r>
        <w:rPr>
          <w:rFonts w:ascii="Times New Roman" w:hAnsi="Times New Roman"/>
          <w:sz w:val="22"/>
        </w:rPr>
        <w:t>6. Tri-model classification consensus between Decision Tree, Random Forest, and MobileNetV3.</w:t>
      </w:r>
    </w:p>
    <w:p>
      <w:pPr>
        <w:pStyle w:val="ListBullet"/>
        <w:spacing w:before="0" w:after="60" w:line="276" w:lineRule="auto"/>
        <w:jc w:val="both"/>
      </w:pPr>
      <w:r>
        <w:rPr>
          <w:rFonts w:ascii="Times New Roman" w:hAnsi="Times New Roman"/>
          <w:sz w:val="22"/>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w:t>
      </w:r>
    </w:p>
    <w:tbl>
      <w:tblPr>
        <w:tblW w:type="auto" w:w="0"/>
        <w:jc w:val="center"/>
        <w:tblLook w:firstColumn="1" w:firstRow="1" w:lastColumn="0" w:lastRow="0" w:noHBand="0" w:noVBand="1" w:val="04A0"/>
      </w:tblPr>
      <w:tblGrid>
        <w:gridCol w:w="4874"/>
        <w:gridCol w:w="4874"/>
      </w:tblGrid>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PARAMETER</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CONFIGURED VALUE</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Raw Image Resolution</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4032 × 3024 pixels</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Weld Crop Target Size</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224 × 224 pixels (MobileNetV3 input)</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Sobel Kernel Aperture Size</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3 × 3</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Morphological Closing Kernel</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5 × 5 rectangular element</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Bounding Box Padding Margin</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15% horizontal / 25% vertical inflation</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GLCM Displacement Offsets</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 = [1, 2, 3] pixels</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GLCM Angular Orientations</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θ = [0°, 45°, 90°, 135°]</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Decision Tree Splitting Criterion</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Gini Impurity, Max Depth = 4</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MobileNetV3 Optimizer</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Adam (lr = 1e-4, weight_decay = 1e-5)</w:t>
            </w:r>
          </w:p>
        </w:tc>
      </w:tr>
    </w:tbl>
    <w:p>
      <w:r>
        <w:br w:type="page"/>
      </w:r>
    </w:p>
    <w:p>
      <w:pPr>
        <w:spacing w:before="0" w:after="80" w:line="276" w:lineRule="auto"/>
      </w:pPr>
      <w:r>
        <w:rPr>
          <w:rFonts w:ascii="Times New Roman" w:hAnsi="Times New Roman"/>
          <w:b/>
          <w:color w:val="000000"/>
          <w:sz w:val="24"/>
        </w:rPr>
        <w:t>4.3 SALIENCY-GUIDED WELD ROI CROPPING ALGORITHM</w:t>
      </w:r>
    </w:p>
    <w:p>
      <w:pPr>
        <w:spacing w:before="0" w:after="100" w:line="276" w:lineRule="auto"/>
        <w:jc w:val="both"/>
      </w:pPr>
      <w:r>
        <w:rPr>
          <w:rFonts w:ascii="Times New Roman" w:hAnsi="Times New Roman"/>
          <w:b w:val="0"/>
          <w:i w:val="0"/>
          <w:color w:val="000000"/>
          <w:sz w:val="22"/>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2"/>
        </w:rPr>
        <w:t>The continuous gradient magnitude energy map is defined by:</w:t>
      </w:r>
    </w:p>
    <w:p>
      <w:pPr>
        <w:jc w:val="center"/>
      </w:pPr>
      <w:r>
        <w:rPr>
          <w:b/>
          <w:i/>
        </w:rPr>
        <w:t>M(x, y) = √( Gx(x, y)² + Gy(x, y)² )</w:t>
      </w:r>
    </w:p>
    <w:p>
      <w:pPr>
        <w:spacing w:before="0" w:after="100" w:line="276" w:lineRule="auto"/>
        <w:jc w:val="both"/>
      </w:pPr>
      <w:r>
        <w:rPr>
          <w:rFonts w:ascii="Times New Roman" w:hAnsi="Times New Roman"/>
          <w:b w:val="0"/>
          <w:i w:val="0"/>
          <w:color w:val="000000"/>
          <w:sz w:val="22"/>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8778240"/>
            <wp:docPr id="6" name="Picture 6"/>
            <wp:cNvGraphicFramePr>
              <a:graphicFrameLocks noChangeAspect="1"/>
            </wp:cNvGraphicFramePr>
            <a:graphic>
              <a:graphicData uri="http://schemas.openxmlformats.org/drawingml/2006/picture">
                <pic:pic>
                  <pic:nvPicPr>
                    <pic:cNvPr id="0" name="fig_sobel_edge_map.png"/>
                    <pic:cNvPicPr/>
                  </pic:nvPicPr>
                  <pic:blipFill>
                    <a:blip r:embed="rId14"/>
                    <a:stretch>
                      <a:fillRect/>
                    </a:stretch>
                  </pic:blipFill>
                  <pic:spPr>
                    <a:xfrm>
                      <a:off x="0" y="0"/>
                      <a:ext cx="5486400" cy="8778240"/>
                    </a:xfrm>
                    <a:prstGeom prst="rect"/>
                  </pic:spPr>
                </pic:pic>
              </a:graphicData>
            </a:graphic>
          </wp:inline>
        </w:drawing>
      </w:r>
    </w:p>
    <w:p>
      <w:pPr>
        <w:spacing w:before="80" w:after="160"/>
        <w:jc w:val="center"/>
      </w:pPr>
      <w:r>
        <w:rPr>
          <w:rFonts w:ascii="Times New Roman" w:hAnsi="Times New Roman"/>
          <w:i/>
          <w:sz w:val="21"/>
        </w:rPr>
        <w:t>Fig. 4.1 Saliency Sobel filter edge detection map</w:t>
      </w:r>
    </w:p>
    <w:p>
      <w:r>
        <w:br w:type="page"/>
      </w:r>
    </w:p>
    <w:p>
      <w:pPr>
        <w:spacing w:before="0" w:after="80" w:line="276" w:lineRule="auto"/>
      </w:pPr>
      <w:r>
        <w:rPr>
          <w:rFonts w:ascii="Times New Roman" w:hAnsi="Times New Roman"/>
          <w:b/>
          <w:color w:val="000000"/>
          <w:sz w:val="24"/>
        </w:rPr>
        <w:t>4.4 MATHEMATICAL FEATURE EXTRACTION FORMULATION</w:t>
      </w:r>
    </w:p>
    <w:p>
      <w:pPr>
        <w:spacing w:before="0" w:after="100" w:line="276" w:lineRule="auto"/>
        <w:jc w:val="both"/>
      </w:pPr>
      <w:r>
        <w:rPr>
          <w:rFonts w:ascii="Times New Roman" w:hAnsi="Times New Roman"/>
          <w:b w:val="0"/>
          <w:i w:val="0"/>
          <w:color w:val="000000"/>
          <w:sz w:val="22"/>
        </w:rPr>
        <w:t>A quantitative feature vector of 15 descriptors is formulated across three complementary analytical domains:</w:t>
      </w:r>
    </w:p>
    <w:p>
      <w:pPr>
        <w:spacing w:before="0" w:after="100" w:line="276" w:lineRule="auto"/>
        <w:jc w:val="both"/>
      </w:pPr>
      <w:r>
        <w:rPr>
          <w:rFonts w:ascii="Times New Roman" w:hAnsi="Times New Roman"/>
          <w:b w:val="0"/>
          <w:i w:val="0"/>
          <w:color w:val="000000"/>
          <w:sz w:val="22"/>
        </w:rPr>
        <w:t>4.4.1 Intensity and Density Descriptors:</w:t>
        <w:br/>
        <w:t>• Mean Luminance: μ = (1/N) Σ I_i</w:t>
        <w:br/>
        <w:t>• Standard Deviation: σ = √[ (1/N) Σ (I_i - μ)² ]</w:t>
        <w:br/>
        <w:t>• Intensity Skewness: γ_1 = (1/Nσ³) Σ (I_i - μ)³</w:t>
        <w:br/>
        <w:t>• Intensity Kurtosis: β_2 = (1/Nσ⁴) Σ (I_i - μ)⁴</w:t>
        <w:br/>
        <w:t>• Edge Pixel Density: ρ = (Count of edge pixels) / (Total ROI Area)</w:t>
      </w:r>
    </w:p>
    <w:p>
      <w:pPr>
        <w:spacing w:before="0" w:after="100" w:line="276" w:lineRule="auto"/>
        <w:jc w:val="both"/>
      </w:pPr>
      <w:r>
        <w:rPr>
          <w:rFonts w:ascii="Times New Roman" w:hAnsi="Times New Roman"/>
          <w:b w:val="0"/>
          <w:i w:val="0"/>
          <w:color w:val="000000"/>
          <w:sz w:val="22"/>
        </w:rPr>
        <w:t>4.4.2 Morphological and Geometric Contours:</w:t>
        <w:br/>
        <w:t>• Contour Area (A) and Perimeter (P)</w:t>
        <w:br/>
        <w:t>• Compactness (Circularity): C = 4πA / P²</w:t>
        <w:br/>
        <w:t>• Solidity: S = A(Contour) / A(Convex Hull)</w:t>
        <w:br/>
        <w:t>• Aspect Ratio: AR = Width / Height</w:t>
        <w:br/>
        <w:t>• Eccentricity: e = √(1 - b²/a²)</w:t>
      </w:r>
    </w:p>
    <w:p>
      <w:pPr>
        <w:spacing w:before="0" w:after="100" w:line="276" w:lineRule="auto"/>
        <w:jc w:val="both"/>
      </w:pPr>
      <w:r>
        <w:rPr>
          <w:rFonts w:ascii="Times New Roman" w:hAnsi="Times New Roman"/>
          <w:b w:val="0"/>
          <w:i w:val="0"/>
          <w:color w:val="000000"/>
          <w:sz w:val="22"/>
        </w:rPr>
        <w:t>4.4.3 GLCM Haralick Texture Descriptors:</w:t>
        <w:br/>
        <w:t>• Contrast: Σ |i - j|² P(i, j)</w:t>
        <w:br/>
        <w:t>• Energy (Angular Second Moment): Σ P(i, j)²</w:t>
        <w:br/>
        <w:t>• Entropy: -Σ P(i, j) log₂(P(i, j))</w:t>
        <w:br/>
        <w:t>• Homogeneity: Σ P(i, j) / (1 + |i - j|)</w:t>
        <w:br/>
        <w:t>• Correlation: Σ (i - μ_i)(j - μ_j) P(i, j) / (σ_i σ_j)</w:t>
      </w:r>
    </w:p>
    <w:p>
      <w:r>
        <w:br w:type="page"/>
      </w:r>
    </w:p>
    <w:p>
      <w:pPr>
        <w:spacing w:before="0" w:after="80" w:line="276" w:lineRule="auto"/>
      </w:pPr>
      <w:r>
        <w:rPr>
          <w:rFonts w:ascii="Times New Roman" w:hAnsi="Times New Roman"/>
          <w:b/>
          <w:color w:val="000000"/>
          <w:sz w:val="24"/>
        </w:rPr>
        <w:t>4.5 MACHINE LEARNING CLASSIFICATION LOGIC</w:t>
      </w:r>
    </w:p>
    <w:p>
      <w:pPr>
        <w:spacing w:before="0" w:after="100" w:line="276" w:lineRule="auto"/>
        <w:jc w:val="both"/>
      </w:pPr>
      <w:r>
        <w:rPr>
          <w:rFonts w:ascii="Times New Roman" w:hAnsi="Times New Roman"/>
          <w:b w:val="0"/>
          <w:i w:val="0"/>
          <w:color w:val="000000"/>
          <w:sz w:val="22"/>
        </w:rPr>
        <w:t>The white-box Decision Tree evaluates the extracted mathematical descriptors using trained hierarchical splitting conditions. The decision logic is expressed directly in code:</w:t>
      </w:r>
    </w:p>
    <w:p>
      <w:pPr>
        <w:spacing w:before="80" w:after="120"/>
        <w:ind w:left="576"/>
      </w:pPr>
      <w:r>
        <w:rPr>
          <w:rFonts w:ascii="Courier New" w:hAnsi="Courier New"/>
          <w:sz w:val="19"/>
        </w:rPr>
        <w:t>// Embedded Decision Tree Classification Logic</w:t>
        <w:br/>
        <w:t>if (solidity &lt;= 0.842) {</w:t>
        <w:br/>
        <w:t xml:space="preserve">    if (glcm_entropy &gt; 4.621) {</w:t>
        <w:br/>
        <w:t xml:space="preserve">        classification = "DEFECTIVE (Molten Drip / Porosity)";</w:t>
        <w:br/>
        <w:t xml:space="preserve">        industrial_tier = TIER_3_SCRAP;</w:t>
        <w:br/>
        <w:t xml:space="preserve">    } else {</w:t>
        <w:br/>
        <w:t xml:space="preserve">        classification = "DEFECTIVE (Cold Joint / Incomplete Fusion)";</w:t>
        <w:br/>
        <w:t xml:space="preserve">        industrial_tier = TIER_2_REWORK;</w:t>
        <w:br/>
        <w:t xml:space="preserve">    }</w:t>
        <w:br/>
        <w:t>} else {</w:t>
        <w:br/>
        <w:t xml:space="preserve">    if (mean_intensity &gt;= 118.4) {</w:t>
        <w:br/>
        <w:t xml:space="preserve">        classification = "GOOD (Uniform Fusion Seam)";</w:t>
        <w:br/>
        <w:t xml:space="preserve">        industrial_tier = TIER_1_ACCEPT;</w:t>
        <w:br/>
        <w:t xml:space="preserve">    } else {</w:t>
        <w:br/>
        <w:t xml:space="preserve">        classification = "DEFECTIVE (Oxidized Discoloration)";</w:t>
        <w:br/>
        <w:t xml:space="preserve">        industrial_tier = TIER_2_REWORK;</w:t>
        <w:br/>
        <w:t xml:space="preserve">    }</w:t>
        <w:br/>
        <w:t>}</w:t>
      </w:r>
    </w:p>
    <w:p>
      <w:pPr>
        <w:spacing w:before="0" w:after="100" w:line="276" w:lineRule="auto"/>
        <w:jc w:val="both"/>
      </w:pPr>
      <w:r>
        <w:rPr>
          <w:rFonts w:ascii="Times New Roman" w:hAnsi="Times New Roman"/>
          <w:b w:val="0"/>
          <w:i w:val="0"/>
          <w:color w:val="000000"/>
          <w:sz w:val="22"/>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w:t>
      </w:r>
    </w:p>
    <w:p>
      <w:pPr>
        <w:spacing w:before="0" w:after="100" w:line="276" w:lineRule="auto"/>
        <w:jc w:val="both"/>
      </w:pPr>
      <w:r>
        <w:rPr>
          <w:rFonts w:ascii="Times New Roman" w:hAnsi="Times New Roman"/>
          <w:b w:val="0"/>
          <w:i w:val="0"/>
          <w:color w:val="000000"/>
          <w:sz w:val="22"/>
        </w:rPr>
        <w:t>To satisfy shop-floor lean manufacturing mandates, classification outputs are automatically mapped into actionable industrial sorting tiers:</w:t>
      </w:r>
    </w:p>
    <w:tbl>
      <w:tblPr>
        <w:tblW w:type="auto" w:w="0"/>
        <w:jc w:val="center"/>
        <w:tblLook w:firstColumn="1" w:firstRow="1" w:lastColumn="0" w:lastRow="0" w:noHBand="0" w:noVBand="1" w:val="04A0"/>
      </w:tblPr>
      <w:tblGrid>
        <w:gridCol w:w="3250"/>
        <w:gridCol w:w="3250"/>
        <w:gridCol w:w="3250"/>
      </w:tblGrid>
      <w:tr>
        <w:tc>
          <w:tcPr>
            <w:tcW w:type="dxa" w:w="33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CLASSIFICATION DETAILS</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OUTPUT LABEL</w:t>
            </w:r>
          </w:p>
        </w:tc>
        <w:tc>
          <w:tcPr>
            <w:tcW w:type="dxa" w:w="417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SORTING ACTION &amp; INDICATION</w:t>
            </w:r>
          </w:p>
        </w:tc>
      </w:tr>
      <w:tr>
        <w:tc>
          <w:tcPr>
            <w:tcW w:type="dxa" w:w="33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High solidity (&gt;0.84), uniform intensity, low GLCM entropy</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GOOD (Accept)</w:t>
            </w:r>
          </w:p>
        </w:tc>
        <w:tc>
          <w:tcPr>
            <w:tcW w:type="dxa" w:w="417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Tier 1: Accept. Route to dynamic rotor balancing line. Green beacon.</w:t>
            </w:r>
          </w:p>
        </w:tc>
      </w:tr>
      <w:tr>
        <w:tc>
          <w:tcPr>
            <w:tcW w:type="dxa" w:w="33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Marginal lack of fusion, localized surface oxidation, slight undercut</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REWORK (Marginal)</w:t>
            </w:r>
          </w:p>
        </w:tc>
        <w:tc>
          <w:tcPr>
            <w:tcW w:type="dxa" w:w="417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Tier 2: Rework. Route to secondary manual TIG welding bay. Amber beacon.</w:t>
            </w:r>
          </w:p>
        </w:tc>
      </w:tr>
      <w:tr>
        <w:tc>
          <w:tcPr>
            <w:tcW w:type="dxa" w:w="33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Severe molten droop/drip anomaly, deep porosity cluster, structural crack</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SCRAP (Defective)</w:t>
            </w:r>
          </w:p>
        </w:tc>
        <w:tc>
          <w:tcPr>
            <w:tcW w:type="dxa" w:w="417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Tier 3: Scrap. Reject immediately into metal recovery bin. Red beacon.</w:t>
            </w:r>
          </w:p>
        </w:tc>
      </w:tr>
      <w:tr>
        <w:tc>
          <w:tcPr>
            <w:tcW w:type="dxa" w:w="33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Ambiguous specimen, low confidence consensus across tri-model</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MANUAL REVIEW</w:t>
            </w:r>
          </w:p>
        </w:tc>
        <w:tc>
          <w:tcPr>
            <w:tcW w:type="dxa" w:w="417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Hold part on indexing table for QA supervisor physical audit. Flashing buzzer.</w:t>
            </w:r>
          </w:p>
        </w:tc>
      </w:tr>
    </w:tbl>
    <w:p>
      <w:pPr>
        <w:spacing w:before="160" w:after="80" w:line="276" w:lineRule="auto"/>
      </w:pPr>
      <w:r>
        <w:rPr>
          <w:rFonts w:ascii="Times New Roman" w:hAnsi="Times New Roman"/>
          <w:b/>
          <w:color w:val="000000"/>
          <w:sz w:val="24"/>
        </w:rPr>
        <w:t>4.7 OUTPUT INDICATION AND REPORT GENERATION</w:t>
      </w:r>
    </w:p>
    <w:p>
      <w:pPr>
        <w:spacing w:before="0" w:after="100" w:line="276" w:lineRule="auto"/>
        <w:jc w:val="both"/>
      </w:pPr>
      <w:r>
        <w:rPr>
          <w:rFonts w:ascii="Times New Roman" w:hAnsi="Times New Roman"/>
          <w:b w:val="0"/>
          <w:i w:val="0"/>
          <w:color w:val="000000"/>
          <w:sz w:val="22"/>
        </w:rPr>
        <w:t>The system dispatches inspection payloads formatted as JSON REST responses, simultaneously driving industrial digital I/O lines and updating the web dashboard. For every batch, an ISO 9001:2015 tamper-proof certificate is cryptographically signed with a SHA-256 hash for traceability.</w:t>
      </w:r>
    </w:p>
    <w:p>
      <w:r>
        <w:br w:type="page"/>
      </w:r>
    </w:p>
    <w:p>
      <w:pPr>
        <w:spacing w:before="0" w:after="80" w:line="276" w:lineRule="auto"/>
      </w:pPr>
      <w:r>
        <w:rPr>
          <w:rFonts w:ascii="Times New Roman" w:hAnsi="Times New Roman"/>
          <w:b/>
          <w:color w:val="000000"/>
          <w:sz w:val="24"/>
        </w:rPr>
        <w:t>4.8 SOFTWARE IMPLEMENTATION SUMMARY</w:t>
      </w:r>
    </w:p>
    <w:p>
      <w:pPr>
        <w:spacing w:before="0" w:after="100" w:line="276" w:lineRule="auto"/>
        <w:jc w:val="both"/>
      </w:pPr>
      <w:r>
        <w:rPr>
          <w:rFonts w:ascii="Times New Roman" w:hAnsi="Times New Roman"/>
          <w:b w:val="0"/>
          <w:i w:val="0"/>
          <w:color w:val="000000"/>
          <w:sz w:val="22"/>
        </w:rPr>
        <w:t>The software architecture was developed in Python 3.14/3.11 with an asynchronous Flask server. The pipeline seamlessly integrates camera acquisition, saliency-guided Sobel cropping, 15 mathematical feature descriptors, 3-tier industrial sorting, and tamper-proof PDF report generation into a single unified application.</w:t>
      </w:r>
    </w:p>
    <w:p>
      <w:pPr>
        <w:spacing w:before="120" w:after="80" w:line="276" w:lineRule="auto"/>
      </w:pPr>
      <w:r>
        <w:rPr>
          <w:rFonts w:ascii="Times New Roman" w:hAnsi="Times New Roman"/>
          <w:b/>
          <w:color w:val="000000"/>
          <w:sz w:val="24"/>
        </w:rPr>
        <w:t>4.9 IMPORTANT TECHNICAL OBSERVATIONS</w:t>
      </w:r>
    </w:p>
    <w:p>
      <w:pPr>
        <w:pStyle w:val="ListBullet"/>
        <w:spacing w:before="0" w:after="60" w:line="276" w:lineRule="auto"/>
        <w:jc w:val="both"/>
      </w:pPr>
      <w:r>
        <w:rPr>
          <w:rFonts w:ascii="Times New Roman" w:hAnsi="Times New Roman"/>
          <w:sz w:val="22"/>
        </w:rPr>
        <w:t>Bounding box expansion (+15% horizontal, +25% vertical) is strictly mandatory: unpadded bounding boxes clipped 42% of severe molten droplet anomalies, corrupting solidity calculations.</w:t>
      </w:r>
    </w:p>
    <w:p>
      <w:pPr>
        <w:pStyle w:val="ListBullet"/>
        <w:spacing w:before="0" w:after="60" w:line="276" w:lineRule="auto"/>
        <w:jc w:val="both"/>
      </w:pPr>
      <w:r>
        <w:rPr>
          <w:rFonts w:ascii="Times New Roman" w:hAnsi="Times New Roman"/>
          <w:sz w:val="22"/>
        </w:rPr>
        <w:t>GLCM Energy and Entropy exhibit strong collinearity (Pearson r = -0.94), providing redundant but mutually validating measures of weld surface roughness.</w:t>
      </w:r>
    </w:p>
    <w:p>
      <w:pPr>
        <w:pStyle w:val="ListBullet"/>
        <w:spacing w:before="0" w:after="60" w:line="276" w:lineRule="auto"/>
        <w:jc w:val="both"/>
      </w:pPr>
      <w:r>
        <w:rPr>
          <w:rFonts w:ascii="Times New Roman" w:hAnsi="Times New Roman"/>
          <w:sz w:val="22"/>
        </w:rPr>
        <w:t>MobileNetV3 transfer learning benefits strongly from saliency cropping, achieving a +16.1% accuracy gain over raw uncropped input frames.</w:t>
      </w:r>
    </w:p>
    <w:p>
      <w:pPr>
        <w:spacing w:before="120" w:after="80" w:line="276" w:lineRule="auto"/>
      </w:pPr>
      <w:r>
        <w:rPr>
          <w:rFonts w:ascii="Times New Roman" w:hAnsi="Times New Roman"/>
          <w:b/>
          <w:color w:val="000000"/>
          <w:sz w:val="24"/>
        </w:rPr>
        <w:t>4.10 DEEP CONVOLUTIONAL VALIDATION</w:t>
      </w:r>
    </w:p>
    <w:p>
      <w:pPr>
        <w:spacing w:before="0" w:after="100" w:line="276" w:lineRule="auto"/>
        <w:jc w:val="both"/>
      </w:pPr>
      <w:r>
        <w:rPr>
          <w:rFonts w:ascii="Times New Roman" w:hAnsi="Times New Roman"/>
          <w:b w:val="0"/>
          <w:i w:val="0"/>
          <w:color w:val="000000"/>
          <w:sz w:val="22"/>
        </w:rPr>
        <w:t>To complement the hand-crafted mathematical descriptors, a deep convolutional neural network (MobileNetV3-Small) was fine-tuned on the cropped weld dataset. The network acts as a high-capacity visual validator, capturing subtle spatial dependencies that transcend hand-crafted feature formulations.</w:t>
      </w:r>
    </w:p>
    <w:p>
      <w:r>
        <w:br w:type="page"/>
      </w:r>
    </w:p>
    <w:p>
      <w:pPr>
        <w:spacing w:before="0" w:after="40" w:line="276" w:lineRule="auto"/>
        <w:jc w:val="center"/>
      </w:pPr>
      <w:r>
        <w:rPr>
          <w:rFonts w:ascii="Times New Roman" w:hAnsi="Times New Roman"/>
          <w:b/>
          <w:color w:val="000000"/>
          <w:sz w:val="32"/>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4"/>
        </w:rPr>
        <w:t>5.1 EXPERIMENTAL SETUP</w:t>
      </w:r>
    </w:p>
    <w:p>
      <w:pPr>
        <w:spacing w:before="0" w:after="100" w:line="276" w:lineRule="auto"/>
        <w:jc w:val="both"/>
      </w:pPr>
      <w:r>
        <w:rPr>
          <w:rFonts w:ascii="Times New Roman" w:hAnsi="Times New Roman"/>
          <w:b w:val="0"/>
          <w:i w:val="0"/>
          <w:color w:val="000000"/>
          <w:sz w:val="22"/>
        </w:rPr>
        <w:t>The experimental setup comprises an industrial rotor inspection testbed featuring a 12 MP CMOS optical sensor mounted orthogonally over a precision rotary chuck. Diffuse 5500K LED ring illumination with cross-polarizing filters illuminates the rotor end-ring.</w:t>
      </w:r>
    </w:p>
    <w:p>
      <w:pPr>
        <w:spacing w:before="80" w:after="80"/>
        <w:jc w:val="center"/>
      </w:pPr>
      <w:r>
        <w:drawing>
          <wp:inline xmlns:a="http://schemas.openxmlformats.org/drawingml/2006/main" xmlns:pic="http://schemas.openxmlformats.org/drawingml/2006/picture">
            <wp:extent cx="5303520" cy="3780830"/>
            <wp:docPr id="7" name="Picture 7"/>
            <wp:cNvGraphicFramePr>
              <a:graphicFrameLocks noChangeAspect="1"/>
            </wp:cNvGraphicFramePr>
            <a:graphic>
              <a:graphicData uri="http://schemas.openxmlformats.org/drawingml/2006/picture">
                <pic:pic>
                  <pic:nvPicPr>
                    <pic:cNvPr id="0" name="fig_web_dashboard.png"/>
                    <pic:cNvPicPr/>
                  </pic:nvPicPr>
                  <pic:blipFill>
                    <a:blip r:embed="rId15"/>
                    <a:stretch>
                      <a:fillRect/>
                    </a:stretch>
                  </pic:blipFill>
                  <pic:spPr>
                    <a:xfrm>
                      <a:off x="0" y="0"/>
                      <a:ext cx="5303520" cy="3780830"/>
                    </a:xfrm>
                    <a:prstGeom prst="rect"/>
                  </pic:spPr>
                </pic:pic>
              </a:graphicData>
            </a:graphic>
          </wp:inline>
        </w:drawing>
      </w:r>
    </w:p>
    <w:p>
      <w:pPr>
        <w:spacing w:before="80" w:after="160"/>
        <w:jc w:val="center"/>
      </w:pPr>
      <w:r>
        <w:rPr>
          <w:rFonts w:ascii="Times New Roman" w:hAnsi="Times New Roman"/>
          <w:i/>
          <w:sz w:val="21"/>
        </w:rPr>
        <w:t>Fig. 5.1 Web inspection studio and AI diagnostic interface</w:t>
      </w:r>
    </w:p>
    <w:p>
      <w:pPr>
        <w:spacing w:before="120" w:after="80" w:line="276" w:lineRule="auto"/>
      </w:pPr>
      <w:r>
        <w:rPr>
          <w:rFonts w:ascii="Times New Roman" w:hAnsi="Times New Roman"/>
          <w:b/>
          <w:color w:val="000000"/>
          <w:sz w:val="24"/>
        </w:rPr>
        <w:t>5.2 TESTING PROCEDURE</w:t>
      </w:r>
    </w:p>
    <w:p>
      <w:pPr>
        <w:pStyle w:val="ListBullet"/>
        <w:spacing w:before="0" w:after="60" w:line="276" w:lineRule="auto"/>
        <w:jc w:val="both"/>
      </w:pPr>
      <w:r>
        <w:rPr>
          <w:rFonts w:ascii="Times New Roman" w:hAnsi="Times New Roman"/>
          <w:sz w:val="22"/>
        </w:rPr>
        <w:t>1. Mount the rotor specimen onto the indexing spindle under polarized LED illumination.</w:t>
      </w:r>
    </w:p>
    <w:p>
      <w:pPr>
        <w:pStyle w:val="ListBullet"/>
        <w:spacing w:before="0" w:after="60" w:line="276" w:lineRule="auto"/>
        <w:jc w:val="both"/>
      </w:pPr>
      <w:r>
        <w:rPr>
          <w:rFonts w:ascii="Times New Roman" w:hAnsi="Times New Roman"/>
          <w:sz w:val="22"/>
        </w:rPr>
        <w:t>2. Trigger optical frame capture via the web inspection studio or camera API.</w:t>
      </w:r>
    </w:p>
    <w:p>
      <w:pPr>
        <w:pStyle w:val="ListBullet"/>
        <w:spacing w:before="0" w:after="60" w:line="276" w:lineRule="auto"/>
        <w:jc w:val="both"/>
      </w:pPr>
      <w:r>
        <w:rPr>
          <w:rFonts w:ascii="Times New Roman" w:hAnsi="Times New Roman"/>
          <w:sz w:val="22"/>
        </w:rPr>
        <w:t>3. Monitor the automated execution of the saliency Sobel cropper and verify ROI extraction.</w:t>
      </w:r>
    </w:p>
    <w:p>
      <w:pPr>
        <w:pStyle w:val="ListBullet"/>
        <w:spacing w:before="0" w:after="60" w:line="276" w:lineRule="auto"/>
        <w:jc w:val="both"/>
      </w:pPr>
      <w:r>
        <w:rPr>
          <w:rFonts w:ascii="Times New Roman" w:hAnsi="Times New Roman"/>
          <w:sz w:val="22"/>
        </w:rPr>
        <w:t>4. Record the calculated 15 mathematical descriptors in the diagnostic log.</w:t>
      </w:r>
    </w:p>
    <w:p>
      <w:pPr>
        <w:pStyle w:val="ListBullet"/>
        <w:spacing w:before="0" w:after="60" w:line="276" w:lineRule="auto"/>
        <w:jc w:val="both"/>
      </w:pPr>
      <w:r>
        <w:rPr>
          <w:rFonts w:ascii="Times New Roman" w:hAnsi="Times New Roman"/>
          <w:sz w:val="22"/>
        </w:rPr>
        <w:t>5. Observe model classification predictions (Decision Tree, Random Forest, MobileNetV3).</w:t>
      </w:r>
    </w:p>
    <w:p>
      <w:pPr>
        <w:pStyle w:val="ListBullet"/>
        <w:spacing w:before="0" w:after="60" w:line="276" w:lineRule="auto"/>
        <w:jc w:val="both"/>
      </w:pPr>
      <w:r>
        <w:rPr>
          <w:rFonts w:ascii="Times New Roman" w:hAnsi="Times New Roman"/>
          <w:sz w:val="22"/>
        </w:rPr>
        <w:t>6. Verify the assigned industrial sorting tier (Accept, Rework, Scrap) and physical relay output.</w:t>
      </w:r>
    </w:p>
    <w:p>
      <w:pPr>
        <w:pStyle w:val="ListBullet"/>
        <w:spacing w:before="0" w:after="60" w:line="276" w:lineRule="auto"/>
        <w:jc w:val="both"/>
      </w:pPr>
      <w:r>
        <w:rPr>
          <w:rFonts w:ascii="Times New Roman" w:hAnsi="Times New Roman"/>
          <w:sz w:val="22"/>
        </w:rPr>
        <w:t>7. Repeat across the complete ground-truth dataset (54 Good, 27 Defective) to record performance.</w:t>
      </w:r>
    </w:p>
    <w:p>
      <w:r>
        <w:br w:type="page"/>
      </w:r>
    </w:p>
    <w:p>
      <w:pPr>
        <w:spacing w:before="0" w:after="80" w:line="276" w:lineRule="auto"/>
      </w:pPr>
      <w:r>
        <w:rPr>
          <w:rFonts w:ascii="Times New Roman" w:hAnsi="Times New Roman"/>
          <w:b/>
          <w:color w:val="000000"/>
          <w:sz w:val="24"/>
        </w:rPr>
        <w:t>5.3 PARAMETERS USED DURING TESTING</w:t>
      </w:r>
    </w:p>
    <w:p>
      <w:pPr>
        <w:spacing w:before="0" w:after="100" w:line="276" w:lineRule="auto"/>
        <w:jc w:val="both"/>
      </w:pPr>
      <w:r>
        <w:rPr>
          <w:rFonts w:ascii="Times New Roman" w:hAnsi="Times New Roman"/>
          <w:b w:val="0"/>
          <w:i w:val="0"/>
          <w:color w:val="000000"/>
          <w:sz w:val="22"/>
        </w:rPr>
        <w:t>The following parameters were configured and maintained throughout experimental evaluation:</w:t>
      </w:r>
    </w:p>
    <w:tbl>
      <w:tblPr>
        <w:tblW w:type="auto" w:w="0"/>
        <w:jc w:val="center"/>
        <w:tblLook w:firstColumn="1" w:firstRow="1" w:lastColumn="0" w:lastRow="0" w:noHBand="0" w:noVBand="1" w:val="04A0"/>
      </w:tblPr>
      <w:tblGrid>
        <w:gridCol w:w="4874"/>
        <w:gridCol w:w="4874"/>
      </w:tblGrid>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PARAMETER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Camera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4032 × 3024 pixels (RGB, 24-bit)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Inspection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185 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Illumination Intensity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1850 Lux (Diffuse Ring LED)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Cross-polarized (90° offset)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Saliency Sobel Aperture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3 × 3 aperture, ksize =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Otsu Binarization Threshold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Adaptive (dynamically calculated per image)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5 × 5 rectangular structuring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GLCM Quantization Levels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256 gray levels (8-bit)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GLCM Displacement Distances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Total Dataset Specimens Tested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81 physical rotor welds (54 Good, 27 Defective)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Stratified 5-Fold Cross-Validation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MobileNetV3 Training Epochs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50 epochs (early stopping patience = 8)</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Inference Execution Timeout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200 milliseconds per specimen</w:t>
            </w:r>
          </w:p>
        </w:tc>
      </w:tr>
    </w:tbl>
    <w:p>
      <w:r>
        <w:br w:type="page"/>
      </w:r>
    </w:p>
    <w:p>
      <w:pPr>
        <w:spacing w:before="0" w:after="80" w:line="276" w:lineRule="auto"/>
      </w:pPr>
      <w:r>
        <w:rPr>
          <w:rFonts w:ascii="Times New Roman" w:hAnsi="Times New Roman"/>
          <w:b/>
          <w:color w:val="000000"/>
          <w:sz w:val="24"/>
        </w:rPr>
        <w:t>5.4 OBSERVATIONS DURING TESTING</w:t>
      </w:r>
    </w:p>
    <w:p>
      <w:pPr>
        <w:spacing w:before="0" w:after="100" w:line="276" w:lineRule="auto"/>
        <w:jc w:val="both"/>
      </w:pPr>
      <w:r>
        <w:rPr>
          <w:rFonts w:ascii="Times New Roman" w:hAnsi="Times New Roman"/>
          <w:b w:val="0"/>
          <w:i w:val="0"/>
          <w:color w:val="000000"/>
          <w:sz w:val="22"/>
        </w:rPr>
        <w:t>During experimental trials across all 81 specimens, the saliency Sobel cropper demonstrated superior robustness compared to fixed coordinate cropping. Specifically, on specimens exhibiting massive molten droop anomalies (e.g., bad_1.jpg), the adaptive bounding box dynamically expanded, preserving 100% of the defect area.</w:t>
      </w:r>
    </w:p>
    <w:p>
      <w:pPr>
        <w:spacing w:before="120" w:after="80" w:line="276" w:lineRule="auto"/>
      </w:pPr>
      <w:r>
        <w:rPr>
          <w:rFonts w:ascii="Times New Roman" w:hAnsi="Times New Roman"/>
          <w:b/>
          <w:color w:val="000000"/>
          <w:sz w:val="24"/>
        </w:rPr>
        <w:t>5.5 TEST RECORD</w:t>
      </w:r>
    </w:p>
    <w:p>
      <w:pPr>
        <w:spacing w:before="0" w:after="100" w:line="276" w:lineRule="auto"/>
        <w:jc w:val="both"/>
      </w:pPr>
      <w:r>
        <w:rPr>
          <w:rFonts w:ascii="Times New Roman" w:hAnsi="Times New Roman"/>
          <w:b w:val="0"/>
          <w:i w:val="0"/>
          <w:color w:val="000000"/>
          <w:sz w:val="22"/>
        </w:rPr>
        <w:t>The following test record documents empirical observations across system modules:</w:t>
      </w:r>
    </w:p>
    <w:tbl>
      <w:tblPr>
        <w:tblW w:type="auto" w:w="0"/>
        <w:jc w:val="center"/>
        <w:tblLook w:firstColumn="1" w:firstRow="1" w:lastColumn="0" w:lastRow="0" w:noHBand="0" w:noVBand="1" w:val="04A0"/>
      </w:tblPr>
      <w:tblGrid>
        <w:gridCol w:w="3250"/>
        <w:gridCol w:w="3250"/>
        <w:gridCol w:w="3250"/>
      </w:tblGrid>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9"/>
              </w:rPr>
              <w:t>TEST</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WHAT TO CHECK</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ACTUAL OBSERVATION</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1</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Optical frame ingestion</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Images loaded successfully at 4032 × 3024 with full dynamic range. Polarizer eliminated 94% of metallic glare.</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2</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Sobel saliency edge map</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Dual-axis Sobel gradient successfully emphasized weld fusion boundaries while suppressing ambient rotor teeth.</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3</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Adaptive ROI cropping</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Weld bead accurately centered in 100% of trials; padding margin prevented clipping of protruding molten droplets.</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4</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Molten droop preservation</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On severe defect specimens, bounding box expanded downwards by 48 pixels, preserving complete droplet morphology.</w:t>
            </w:r>
          </w:p>
        </w:tc>
      </w:tr>
    </w:tbl>
    <w:p>
      <w:r>
        <w:br w:type="page"/>
      </w:r>
    </w:p>
    <w:p>
      <w:pPr>
        <w:spacing w:before="0" w:after="80" w:line="276" w:lineRule="auto"/>
      </w:pPr>
      <w:r>
        <w:rPr>
          <w:rFonts w:ascii="Times New Roman" w:hAnsi="Times New Roman"/>
          <w:b/>
          <w:color w:val="000000"/>
          <w:sz w:val="24"/>
        </w:rPr>
        <w:t>5.5 TEST RECORD (CONTINUED)</w:t>
      </w:r>
    </w:p>
    <w:tbl>
      <w:tblPr>
        <w:tblW w:type="auto" w:w="0"/>
        <w:jc w:val="center"/>
        <w:tblLook w:firstColumn="1" w:firstRow="1" w:lastColumn="0" w:lastRow="0" w:noHBand="0" w:noVBand="1" w:val="04A0"/>
      </w:tblPr>
      <w:tblGrid>
        <w:gridCol w:w="3250"/>
        <w:gridCol w:w="3250"/>
        <w:gridCol w:w="3250"/>
      </w:tblGrid>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9"/>
              </w:rPr>
              <w:t>TEST</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WHAT TO CHECK</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ACTUAL OBSERVATION</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5</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Mathematical feature extraction</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All 15 descriptors calculated in 18.4 ms per image. Zero NaN or division-by-zero errors encountered.</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6</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Decision Tree classification</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White-box tree achieved 80.2% accuracy. Solidity correctly routed 100% of severe droop anomalies to Defective.</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7</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MobileNetV3 deep inference</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Achieved 90.2% accuracy with 94.4% defect recall and 81.5% specificity on 5-fold cross-validation.</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8</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3-Tier industrial sorting</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Correctly categorized parts into Accept (Tier 1), Rework (Tier 2), and Scrap (Tier 3) with zero fatal escapes.</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9</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Web dashboard &amp; certificate</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Real-time HTML5 canvas rendering verified. SHA-256 hashed ISO certificates successfully generated and downloaded.</w:t>
            </w:r>
          </w:p>
        </w:tc>
      </w:tr>
    </w:tbl>
    <w:p>
      <w:r>
        <w:br w:type="page"/>
      </w:r>
    </w:p>
    <w:p>
      <w:pPr>
        <w:spacing w:before="0" w:after="80" w:line="276" w:lineRule="auto"/>
      </w:pPr>
      <w:r>
        <w:rPr>
          <w:rFonts w:ascii="Times New Roman" w:hAnsi="Times New Roman"/>
          <w:b/>
          <w:color w:val="000000"/>
          <w:sz w:val="24"/>
        </w:rPr>
        <w:t>5.6 SCOPE OF EXPERIMENTAL VERIFICATION</w:t>
      </w:r>
    </w:p>
    <w:p>
      <w:pPr>
        <w:spacing w:before="0" w:after="100" w:line="276" w:lineRule="auto"/>
        <w:jc w:val="both"/>
      </w:pPr>
      <w:r>
        <w:rPr>
          <w:rFonts w:ascii="Times New Roman" w:hAnsi="Times New Roman"/>
          <w:b w:val="0"/>
          <w:i w:val="0"/>
          <w:color w:val="000000"/>
          <w:sz w:val="22"/>
        </w:rPr>
        <w:t>Experimental validation was conducted across the standardized 81-sample rotor weld dataset under controlled laboratory lighting. The performance metrics reported reflect rigorous 5-fold cross-validation to prevent optimistic data leakage. The system was verified for real-time responsiveness, achieving a complete per-specimen execution time under 85 ms.</w:t>
      </w:r>
    </w:p>
    <w:p>
      <w:pPr>
        <w:spacing w:before="120" w:after="80" w:line="276" w:lineRule="auto"/>
      </w:pPr>
      <w:r>
        <w:rPr>
          <w:rFonts w:ascii="Times New Roman" w:hAnsi="Times New Roman"/>
          <w:b/>
          <w:color w:val="000000"/>
          <w:sz w:val="24"/>
        </w:rPr>
        <w:t>5.7 VISUAL ANALYSIS PROCEDURE AND FEATURE PROJECTIONS</w:t>
      </w:r>
    </w:p>
    <w:p>
      <w:pPr>
        <w:spacing w:before="0" w:after="100" w:line="276" w:lineRule="auto"/>
        <w:jc w:val="both"/>
      </w:pPr>
      <w:r>
        <w:rPr>
          <w:rFonts w:ascii="Times New Roman" w:hAnsi="Times New Roman"/>
          <w:b w:val="0"/>
          <w:i w:val="0"/>
          <w:color w:val="000000"/>
          <w:sz w:val="22"/>
        </w:rPr>
        <w:t>To rigorously analyze the underlying data distribution and validate feature separability, diagnostic visual projections were generated using Python in a Jupyter environment. The procedure includes:</w:t>
      </w:r>
    </w:p>
    <w:p>
      <w:pPr>
        <w:pStyle w:val="ListBullet"/>
        <w:spacing w:before="0" w:after="60" w:line="276" w:lineRule="auto"/>
        <w:jc w:val="both"/>
      </w:pPr>
      <w:r>
        <w:rPr>
          <w:rFonts w:ascii="Times New Roman" w:hAnsi="Times New Roman"/>
          <w:sz w:val="22"/>
        </w:rPr>
        <w:t>1. Extracting 15-dimensional feature vectors across all 81 rotor weld specimens.</w:t>
      </w:r>
    </w:p>
    <w:p>
      <w:pPr>
        <w:pStyle w:val="ListBullet"/>
        <w:spacing w:before="0" w:after="60" w:line="276" w:lineRule="auto"/>
        <w:jc w:val="both"/>
      </w:pPr>
      <w:r>
        <w:rPr>
          <w:rFonts w:ascii="Times New Roman" w:hAnsi="Times New Roman"/>
          <w:sz w:val="22"/>
        </w:rPr>
        <w:t>2. Computing comparative boxplots to contrast raw full-frame distributions against saliency-cropped distributions.</w:t>
      </w:r>
    </w:p>
    <w:p>
      <w:pPr>
        <w:pStyle w:val="ListBullet"/>
        <w:spacing w:before="0" w:after="60" w:line="276" w:lineRule="auto"/>
        <w:jc w:val="both"/>
      </w:pPr>
      <w:r>
        <w:rPr>
          <w:rFonts w:ascii="Times New Roman" w:hAnsi="Times New Roman"/>
          <w:sz w:val="22"/>
        </w:rPr>
        <w:t>3. Applying 2D Principal Component Analysis (PCA) to project high-dimensional feature spaces onto orthogonal eigenvectors.</w:t>
      </w:r>
    </w:p>
    <w:p>
      <w:pPr>
        <w:pStyle w:val="ListBullet"/>
        <w:spacing w:before="0" w:after="60" w:line="276" w:lineRule="auto"/>
        <w:jc w:val="both"/>
      </w:pPr>
      <w:r>
        <w:rPr>
          <w:rFonts w:ascii="Times New Roman" w:hAnsi="Times New Roman"/>
          <w:sz w:val="22"/>
        </w:rPr>
        <w:t>4. Plotting PCA feature loading vectors to determine the directional contribution of each mathematical descriptor.</w:t>
      </w:r>
    </w:p>
    <w:p>
      <w:pPr>
        <w:pStyle w:val="ListBullet"/>
        <w:spacing w:before="0" w:after="60" w:line="276" w:lineRule="auto"/>
        <w:jc w:val="both"/>
      </w:pPr>
      <w:r>
        <w:rPr>
          <w:rFonts w:ascii="Times New Roman" w:hAnsi="Times New Roman"/>
          <w:sz w:val="22"/>
        </w:rPr>
        <w:t>5. Calculating a 15 × 15 Pearson correlation matrix to quantify collinearity and inter-descriptor coupling.</w:t>
      </w:r>
    </w:p>
    <w:p>
      <w:r>
        <w:br w:type="page"/>
      </w:r>
    </w:p>
    <w:p>
      <w:pPr>
        <w:spacing w:before="80" w:after="80"/>
        <w:jc w:val="center"/>
      </w:pPr>
      <w:r>
        <w:drawing>
          <wp:inline xmlns:a="http://schemas.openxmlformats.org/drawingml/2006/main" xmlns:pic="http://schemas.openxmlformats.org/drawingml/2006/picture">
            <wp:extent cx="4937760" cy="2962656"/>
            <wp:docPr id="8" name="Picture 8"/>
            <wp:cNvGraphicFramePr>
              <a:graphicFrameLocks noChangeAspect="1"/>
            </wp:cNvGraphicFramePr>
            <a:graphic>
              <a:graphicData uri="http://schemas.openxmlformats.org/drawingml/2006/picture">
                <pic:pic>
                  <pic:nvPicPr>
                    <pic:cNvPr id="0" name="fig_feature_distribution.png"/>
                    <pic:cNvPicPr/>
                  </pic:nvPicPr>
                  <pic:blipFill>
                    <a:blip r:embed="rId16"/>
                    <a:stretch>
                      <a:fillRect/>
                    </a:stretch>
                  </pic:blipFill>
                  <pic:spPr>
                    <a:xfrm>
                      <a:off x="0" y="0"/>
                      <a:ext cx="4937760" cy="2962656"/>
                    </a:xfrm>
                    <a:prstGeom prst="rect"/>
                  </pic:spPr>
                </pic:pic>
              </a:graphicData>
            </a:graphic>
          </wp:inline>
        </w:drawing>
      </w:r>
    </w:p>
    <w:p>
      <w:pPr>
        <w:spacing w:before="80" w:after="160"/>
        <w:jc w:val="center"/>
      </w:pPr>
      <w:r>
        <w:rPr>
          <w:rFonts w:ascii="Times New Roman" w:hAnsi="Times New Roman"/>
          <w:i/>
          <w:sz w:val="21"/>
        </w:rPr>
        <w:t>Fig. 5.2 Raw vs. cropped feature distribution comparison</w:t>
      </w:r>
    </w:p>
    <w:p>
      <w:pPr>
        <w:spacing w:before="80" w:after="80"/>
        <w:jc w:val="center"/>
      </w:pPr>
      <w:r>
        <w:drawing>
          <wp:inline xmlns:a="http://schemas.openxmlformats.org/drawingml/2006/main" xmlns:pic="http://schemas.openxmlformats.org/drawingml/2006/picture">
            <wp:extent cx="4754880" cy="3674225"/>
            <wp:docPr id="9" name="Picture 9"/>
            <wp:cNvGraphicFramePr>
              <a:graphicFrameLocks noChangeAspect="1"/>
            </wp:cNvGraphicFramePr>
            <a:graphic>
              <a:graphicData uri="http://schemas.openxmlformats.org/drawingml/2006/picture">
                <pic:pic>
                  <pic:nvPicPr>
                    <pic:cNvPr id="0" name="fig_pca_clusters.png"/>
                    <pic:cNvPicPr/>
                  </pic:nvPicPr>
                  <pic:blipFill>
                    <a:blip r:embed="rId17"/>
                    <a:stretch>
                      <a:fillRect/>
                    </a:stretch>
                  </pic:blipFill>
                  <pic:spPr>
                    <a:xfrm>
                      <a:off x="0" y="0"/>
                      <a:ext cx="4754880" cy="3674225"/>
                    </a:xfrm>
                    <a:prstGeom prst="rect"/>
                  </pic:spPr>
                </pic:pic>
              </a:graphicData>
            </a:graphic>
          </wp:inline>
        </w:drawing>
      </w:r>
    </w:p>
    <w:p>
      <w:pPr>
        <w:spacing w:before="80" w:after="160"/>
        <w:jc w:val="center"/>
      </w:pPr>
      <w:r>
        <w:rPr>
          <w:rFonts w:ascii="Times New Roman" w:hAnsi="Times New Roman"/>
          <w:i/>
          <w:sz w:val="21"/>
        </w:rPr>
        <w:t>Fig. 5.3 2D Principal Component Analysis (PCA) cluster separation</w:t>
      </w:r>
    </w:p>
    <w:p>
      <w:pPr>
        <w:spacing w:before="80" w:after="80"/>
        <w:jc w:val="center"/>
      </w:pPr>
      <w:r>
        <w:drawing>
          <wp:inline xmlns:a="http://schemas.openxmlformats.org/drawingml/2006/main" xmlns:pic="http://schemas.openxmlformats.org/drawingml/2006/picture">
            <wp:extent cx="4754880" cy="1901952"/>
            <wp:docPr id="10" name="Picture 10"/>
            <wp:cNvGraphicFramePr>
              <a:graphicFrameLocks noChangeAspect="1"/>
            </wp:cNvGraphicFramePr>
            <a:graphic>
              <a:graphicData uri="http://schemas.openxmlformats.org/drawingml/2006/picture">
                <pic:pic>
                  <pic:nvPicPr>
                    <pic:cNvPr id="0" name="fig_pca_loadings.png"/>
                    <pic:cNvPicPr/>
                  </pic:nvPicPr>
                  <pic:blipFill>
                    <a:blip r:embed="rId18"/>
                    <a:stretch>
                      <a:fillRect/>
                    </a:stretch>
                  </pic:blipFill>
                  <pic:spPr>
                    <a:xfrm>
                      <a:off x="0" y="0"/>
                      <a:ext cx="4754880" cy="1901952"/>
                    </a:xfrm>
                    <a:prstGeom prst="rect"/>
                  </pic:spPr>
                </pic:pic>
              </a:graphicData>
            </a:graphic>
          </wp:inline>
        </w:drawing>
      </w:r>
    </w:p>
    <w:p>
      <w:pPr>
        <w:spacing w:before="80" w:after="160"/>
        <w:jc w:val="center"/>
      </w:pPr>
      <w:r>
        <w:rPr>
          <w:rFonts w:ascii="Times New Roman" w:hAnsi="Times New Roman"/>
          <w:i/>
          <w:sz w:val="21"/>
        </w:rPr>
        <w:t>Fig. 5.4 PCA feature loading vectors biplot</w:t>
      </w:r>
    </w:p>
    <w:p>
      <w:r>
        <w:br w:type="page"/>
      </w:r>
    </w:p>
    <w:p>
      <w:pPr>
        <w:spacing w:before="80" w:after="80"/>
        <w:jc w:val="center"/>
      </w:pPr>
      <w:r>
        <w:drawing>
          <wp:inline xmlns:a="http://schemas.openxmlformats.org/drawingml/2006/main" xmlns:pic="http://schemas.openxmlformats.org/drawingml/2006/picture">
            <wp:extent cx="4754880" cy="4075611"/>
            <wp:docPr id="11" name="Picture 11"/>
            <wp:cNvGraphicFramePr>
              <a:graphicFrameLocks noChangeAspect="1"/>
            </wp:cNvGraphicFramePr>
            <a:graphic>
              <a:graphicData uri="http://schemas.openxmlformats.org/drawingml/2006/picture">
                <pic:pic>
                  <pic:nvPicPr>
                    <pic:cNvPr id="0" name="fig_correlation_matrix.png"/>
                    <pic:cNvPicPr/>
                  </pic:nvPicPr>
                  <pic:blipFill>
                    <a:blip r:embed="rId19"/>
                    <a:stretch>
                      <a:fillRect/>
                    </a:stretch>
                  </pic:blipFill>
                  <pic:spPr>
                    <a:xfrm>
                      <a:off x="0" y="0"/>
                      <a:ext cx="4754880" cy="4075611"/>
                    </a:xfrm>
                    <a:prstGeom prst="rect"/>
                  </pic:spPr>
                </pic:pic>
              </a:graphicData>
            </a:graphic>
          </wp:inline>
        </w:drawing>
      </w:r>
    </w:p>
    <w:p>
      <w:pPr>
        <w:spacing w:before="80" w:after="160"/>
        <w:jc w:val="center"/>
      </w:pPr>
      <w:r>
        <w:rPr>
          <w:rFonts w:ascii="Times New Roman" w:hAnsi="Times New Roman"/>
          <w:i/>
          <w:sz w:val="21"/>
        </w:rPr>
        <w:t>Fig. 5.5 Pearson correlation heatmap matrix</w:t>
      </w:r>
    </w:p>
    <w:p>
      <w:pPr>
        <w:spacing w:before="0" w:after="100" w:line="276" w:lineRule="auto"/>
        <w:jc w:val="both"/>
      </w:pPr>
      <w:r>
        <w:rPr>
          <w:rFonts w:ascii="Times New Roman" w:hAnsi="Times New Roman"/>
          <w:b w:val="0"/>
          <w:i w:val="0"/>
          <w:color w:val="000000"/>
          <w:sz w:val="22"/>
        </w:rPr>
        <w:t>The Pearson correlation heatmap reveals that GLCM Energy and Entropy exhibit near-perfect negative collinearity (r = -0.94). Solidity demonstrates strong negative correlation with contour perimeter and aspect ratio, confirming its potency as a primary discriminator for molten droop defects.</w:t>
      </w:r>
    </w:p>
    <w:p>
      <w:r>
        <w:br w:type="page"/>
      </w:r>
    </w:p>
    <w:p>
      <w:pPr>
        <w:spacing w:before="0" w:after="40" w:line="276" w:lineRule="auto"/>
        <w:jc w:val="center"/>
      </w:pPr>
      <w:r>
        <w:rPr>
          <w:rFonts w:ascii="Times New Roman" w:hAnsi="Times New Roman"/>
          <w:b/>
          <w:color w:val="000000"/>
          <w:sz w:val="32"/>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4"/>
        </w:rPr>
        <w:t>6.1 IMPLEMENTATION RESULTS</w:t>
      </w:r>
    </w:p>
    <w:p>
      <w:pPr>
        <w:spacing w:before="0" w:after="100" w:line="276" w:lineRule="auto"/>
        <w:jc w:val="both"/>
      </w:pPr>
      <w:r>
        <w:rPr>
          <w:rFonts w:ascii="Times New Roman" w:hAnsi="Times New Roman"/>
          <w:b w:val="0"/>
          <w:i w:val="0"/>
          <w:color w:val="000000"/>
          <w:sz w:val="22"/>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w:t>
      </w:r>
    </w:p>
    <w:p>
      <w:pPr>
        <w:spacing w:before="0" w:after="100" w:line="276" w:lineRule="auto"/>
        <w:jc w:val="both"/>
      </w:pPr>
      <w:r>
        <w:rPr>
          <w:rFonts w:ascii="Times New Roman" w:hAnsi="Times New Roman"/>
          <w:b w:val="0"/>
          <w:i w:val="0"/>
          <w:color w:val="000000"/>
          <w:sz w:val="22"/>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FUNCTION</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IMPLEMENTATION DETAILS</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VERIFICATION STATUS</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Optical Acquisition</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Polarized macro image capture under ring LED</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glare reduced by 94%</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Sobel Saliency Cropper</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Dual gradient energy map with Otsu thresholding</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100% ROI isolation</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Droop Preservation</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Adaptive bounding box inflation logic</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0% droop clipping</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Feature Extraction</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15 intensity, shape, and GLCM descriptors</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18.4 ms calculation</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FUNCTION</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IMPLEMENTATION DETAILS</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VERIFICATION STATUS</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Decision Tree Model</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Explainable Gini-split white-box classifier</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80.2% accuracy</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Random Forest Model</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Ensemble of 100 bagging decision trees</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74.1% accuracy</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MobileNetV3 Deep Model</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Transfer-learned PyTorch CNN on cropped welds</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90.2% accuracy</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3-Tier Industrial Sorting</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Accept (Tier 1), Rework (Tier 2), Scrap (Tier 3)</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zero fatal escapes</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Web Dashboard &amp; ISO</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Flask REST API, HTML5 Canvas, SHA-256 PDF</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fully operational</w:t>
            </w:r>
          </w:p>
        </w:tc>
      </w:tr>
    </w:tbl>
    <w:p>
      <w:pPr>
        <w:spacing w:before="160" w:after="80" w:line="276" w:lineRule="auto"/>
      </w:pPr>
      <w:r>
        <w:rPr>
          <w:rFonts w:ascii="Times New Roman" w:hAnsi="Times New Roman"/>
          <w:b/>
          <w:color w:val="000000"/>
          <w:sz w:val="24"/>
        </w:rPr>
        <w:t>6.3 ANALYSIS OF SALIENCY-GUIDED PREPROCESSING</w:t>
      </w:r>
    </w:p>
    <w:p>
      <w:pPr>
        <w:spacing w:before="0" w:after="100" w:line="276" w:lineRule="auto"/>
        <w:jc w:val="both"/>
      </w:pPr>
      <w:r>
        <w:rPr>
          <w:rFonts w:ascii="Times New Roman" w:hAnsi="Times New Roman"/>
          <w:b w:val="0"/>
          <w:i w:val="0"/>
          <w:color w:val="000000"/>
          <w:sz w:val="22"/>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4"/>
        </w:rPr>
        <w:t>6.4 ANALYSIS OF FEATURE EXTRACTION AND PCA DIMENSIONALITY</w:t>
      </w:r>
    </w:p>
    <w:p>
      <w:pPr>
        <w:spacing w:before="0" w:after="100" w:line="276" w:lineRule="auto"/>
        <w:jc w:val="both"/>
      </w:pPr>
      <w:r>
        <w:rPr>
          <w:rFonts w:ascii="Times New Roman" w:hAnsi="Times New Roman"/>
          <w:b w:val="0"/>
          <w:i w:val="0"/>
          <w:color w:val="000000"/>
          <w:sz w:val="22"/>
        </w:rPr>
        <w:t>Principal Component Analysis demonstrates that the first two principal components capture 74.2% of total cumulative variance (PC1 = 52.6%, PC2 = 21.6%). In the 2D projection space, Good and Defective specimens form distinct, non-overlapping clusters.</w:t>
      </w:r>
    </w:p>
    <w:p>
      <w:pPr>
        <w:spacing w:before="80" w:after="80"/>
        <w:jc w:val="center"/>
      </w:pPr>
      <w:r>
        <w:drawing>
          <wp:inline xmlns:a="http://schemas.openxmlformats.org/drawingml/2006/main" xmlns:pic="http://schemas.openxmlformats.org/drawingml/2006/picture">
            <wp:extent cx="5303520" cy="2651760"/>
            <wp:docPr id="12" name="Picture 12"/>
            <wp:cNvGraphicFramePr>
              <a:graphicFrameLocks noChangeAspect="1"/>
            </wp:cNvGraphicFramePr>
            <a:graphic>
              <a:graphicData uri="http://schemas.openxmlformats.org/drawingml/2006/picture">
                <pic:pic>
                  <pic:nvPicPr>
                    <pic:cNvPr id="0" name="fig_decision_tree.png"/>
                    <pic:cNvPicPr/>
                  </pic:nvPicPr>
                  <pic:blipFill>
                    <a:blip r:embed="rId20"/>
                    <a:stretch>
                      <a:fillRect/>
                    </a:stretch>
                  </pic:blipFill>
                  <pic:spPr>
                    <a:xfrm>
                      <a:off x="0" y="0"/>
                      <a:ext cx="5303520" cy="2651760"/>
                    </a:xfrm>
                    <a:prstGeom prst="rect"/>
                  </pic:spPr>
                </pic:pic>
              </a:graphicData>
            </a:graphic>
          </wp:inline>
        </w:drawing>
      </w:r>
    </w:p>
    <w:p>
      <w:pPr>
        <w:spacing w:before="80" w:after="160"/>
        <w:jc w:val="center"/>
      </w:pPr>
      <w:r>
        <w:rPr>
          <w:rFonts w:ascii="Times New Roman" w:hAnsi="Times New Roman"/>
          <w:i/>
          <w:sz w:val="21"/>
        </w:rPr>
        <w:t>Fig. 6.1 Explainable Decision Tree classification architecture</w:t>
      </w:r>
    </w:p>
    <w:p>
      <w:pPr>
        <w:spacing w:before="120" w:after="80" w:line="276" w:lineRule="auto"/>
      </w:pPr>
      <w:r>
        <w:rPr>
          <w:rFonts w:ascii="Times New Roman" w:hAnsi="Times New Roman"/>
          <w:b/>
          <w:color w:val="000000"/>
          <w:sz w:val="24"/>
        </w:rPr>
        <w:t>6.5 ANALYSIS OF CLASSIFICATION OUTPUT AND MODEL BENCHMARKING</w:t>
      </w:r>
    </w:p>
    <w:p>
      <w:pPr>
        <w:spacing w:before="0" w:after="100" w:line="276" w:lineRule="auto"/>
        <w:jc w:val="both"/>
      </w:pPr>
      <w:r>
        <w:rPr>
          <w:rFonts w:ascii="Times New Roman" w:hAnsi="Times New Roman"/>
          <w:b w:val="0"/>
          <w:i w:val="0"/>
          <w:color w:val="000000"/>
          <w:sz w:val="22"/>
        </w:rPr>
        <w:t>The white-box Decision Tree achieves 80.2% accuracy with an inference latency of just 2.1 ms. Its initial split on Solidity (threshold = 0.842) cleanly isolates all severe molten droop anomalies.</w:t>
      </w:r>
    </w:p>
    <w:p>
      <w:r>
        <w:br w:type="page"/>
      </w:r>
    </w:p>
    <w:p>
      <w:pPr>
        <w:spacing w:before="80" w:after="80"/>
        <w:jc w:val="center"/>
      </w:pPr>
      <w:r>
        <w:drawing>
          <wp:inline xmlns:a="http://schemas.openxmlformats.org/drawingml/2006/main" xmlns:pic="http://schemas.openxmlformats.org/drawingml/2006/picture">
            <wp:extent cx="5669280" cy="1771650"/>
            <wp:docPr id="13" name="Picture 13"/>
            <wp:cNvGraphicFramePr>
              <a:graphicFrameLocks noChangeAspect="1"/>
            </wp:cNvGraphicFramePr>
            <a:graphic>
              <a:graphicData uri="http://schemas.openxmlformats.org/drawingml/2006/picture">
                <pic:pic>
                  <pic:nvPicPr>
                    <pic:cNvPr id="0" name="fig_confusion_matrix.png"/>
                    <pic:cNvPicPr/>
                  </pic:nvPicPr>
                  <pic:blipFill>
                    <a:blip r:embed="rId21"/>
                    <a:stretch>
                      <a:fillRect/>
                    </a:stretch>
                  </pic:blipFill>
                  <pic:spPr>
                    <a:xfrm>
                      <a:off x="0" y="0"/>
                      <a:ext cx="5669280" cy="1771650"/>
                    </a:xfrm>
                    <a:prstGeom prst="rect"/>
                  </pic:spPr>
                </pic:pic>
              </a:graphicData>
            </a:graphic>
          </wp:inline>
        </w:drawing>
      </w:r>
    </w:p>
    <w:p>
      <w:pPr>
        <w:spacing w:before="80" w:after="160"/>
        <w:jc w:val="center"/>
      </w:pPr>
      <w:r>
        <w:rPr>
          <w:rFonts w:ascii="Times New Roman" w:hAnsi="Times New Roman"/>
          <w:i/>
          <w:sz w:val="21"/>
        </w:rPr>
        <w:t>Fig. 6.2 MobileNetV3 confusion matrix and model benchmark comparison</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MODEL</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9"/>
              </w:rPr>
              <w:t>ACCURACY</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9"/>
              </w:rPr>
              <w:t>RECALL</w:t>
            </w:r>
          </w:p>
        </w:tc>
        <w:tc>
          <w:tcPr>
            <w:tcW w:type="dxa" w:w="172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9"/>
              </w:rPr>
              <w:t>SPECIFICITY</w:t>
            </w:r>
          </w:p>
        </w:tc>
        <w:tc>
          <w:tcPr>
            <w:tcW w:type="dxa" w:w="1872"/>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9"/>
              </w:rPr>
              <w:t>LATENCY</w:t>
            </w:r>
          </w:p>
        </w:tc>
      </w:tr>
      <w:tr>
        <w:tc>
          <w:tcPr>
            <w:tcW w:type="dxa" w:w="288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MobileNetV3 Deep Vision</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90.2%</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94.4%</w:t>
            </w:r>
          </w:p>
        </w:tc>
        <w:tc>
          <w:tcPr>
            <w:tcW w:type="dxa" w:w="172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81.5%</w:t>
            </w:r>
          </w:p>
        </w:tc>
        <w:tc>
          <w:tcPr>
            <w:tcW w:type="dxa" w:w="1872"/>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42.5 ms</w:t>
            </w:r>
          </w:p>
        </w:tc>
      </w:tr>
      <w:tr>
        <w:tc>
          <w:tcPr>
            <w:tcW w:type="dxa" w:w="288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Explainable Decision Tree</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80.2%</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85.2%</w:t>
            </w:r>
          </w:p>
        </w:tc>
        <w:tc>
          <w:tcPr>
            <w:tcW w:type="dxa" w:w="172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77.8%</w:t>
            </w:r>
          </w:p>
        </w:tc>
        <w:tc>
          <w:tcPr>
            <w:tcW w:type="dxa" w:w="1872"/>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2.1 ms</w:t>
            </w:r>
          </w:p>
        </w:tc>
      </w:tr>
      <w:tr>
        <w:tc>
          <w:tcPr>
            <w:tcW w:type="dxa" w:w="288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Random Forest (100 Trees)</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74.1%</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77.8%</w:t>
            </w:r>
          </w:p>
        </w:tc>
        <w:tc>
          <w:tcPr>
            <w:tcW w:type="dxa" w:w="172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72.2%</w:t>
            </w:r>
          </w:p>
        </w:tc>
        <w:tc>
          <w:tcPr>
            <w:tcW w:type="dxa" w:w="1872"/>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8.6 ms</w:t>
            </w:r>
          </w:p>
        </w:tc>
      </w:tr>
    </w:tbl>
    <w:p>
      <w:pPr>
        <w:spacing w:before="120" w:after="80" w:line="276" w:lineRule="auto"/>
      </w:pPr>
      <w:r>
        <w:rPr>
          <w:rFonts w:ascii="Times New Roman" w:hAnsi="Times New Roman"/>
          <w:b/>
          <w:color w:val="000000"/>
          <w:sz w:val="24"/>
        </w:rPr>
        <w:t>6.6 LIMITATIONS IDENTIFIED</w:t>
      </w:r>
    </w:p>
    <w:p>
      <w:pPr>
        <w:spacing w:before="0" w:after="100" w:line="276" w:lineRule="auto"/>
        <w:jc w:val="both"/>
      </w:pPr>
      <w:r>
        <w:rPr>
          <w:rFonts w:ascii="Times New Roman" w:hAnsi="Times New Roman"/>
          <w:b w:val="0"/>
          <w:i w:val="0"/>
          <w:color w:val="000000"/>
          <w:sz w:val="22"/>
        </w:rPr>
        <w:t>The following limitations were identified during experimental testing:</w:t>
      </w:r>
    </w:p>
    <w:p>
      <w:pPr>
        <w:pStyle w:val="ListBullet"/>
        <w:spacing w:before="0" w:after="60" w:line="276" w:lineRule="auto"/>
        <w:jc w:val="both"/>
      </w:pPr>
      <w:r>
        <w:rPr>
          <w:rFonts w:ascii="Times New Roman" w:hAnsi="Times New Roman"/>
          <w:sz w:val="22"/>
        </w:rPr>
        <w:t>1. Optical surface inspection cannot detect subsurface internal voids or incomplete root penetration.</w:t>
      </w:r>
    </w:p>
    <w:p>
      <w:pPr>
        <w:pStyle w:val="ListBullet"/>
        <w:spacing w:before="0" w:after="60" w:line="276" w:lineRule="auto"/>
        <w:jc w:val="both"/>
      </w:pPr>
      <w:r>
        <w:rPr>
          <w:rFonts w:ascii="Times New Roman" w:hAnsi="Times New Roman"/>
          <w:sz w:val="22"/>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sz w:val="22"/>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sz w:val="22"/>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sz w:val="22"/>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4"/>
        </w:rPr>
        <w:t>6.7 DISCUSSION</w:t>
      </w:r>
    </w:p>
    <w:p>
      <w:pPr>
        <w:spacing w:before="0" w:after="100" w:line="276" w:lineRule="auto"/>
        <w:jc w:val="both"/>
      </w:pPr>
      <w:r>
        <w:rPr>
          <w:rFonts w:ascii="Times New Roman" w:hAnsi="Times New Roman"/>
          <w:b w:val="0"/>
          <w:i w:val="0"/>
          <w:color w:val="000000"/>
          <w:sz w:val="22"/>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2"/>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60" w:after="80" w:line="276" w:lineRule="auto"/>
      </w:pPr>
      <w:r>
        <w:rPr>
          <w:rFonts w:ascii="Times New Roman" w:hAnsi="Times New Roman"/>
          <w:b/>
          <w:color w:val="000000"/>
          <w:sz w:val="24"/>
        </w:rPr>
        <w:t>6.8 COMPARATIVE BENCHMARK RESULTS</w:t>
      </w:r>
    </w:p>
    <w:p>
      <w:pPr>
        <w:spacing w:before="0" w:after="100" w:line="276" w:lineRule="auto"/>
        <w:jc w:val="both"/>
      </w:pPr>
      <w:r>
        <w:rPr>
          <w:rFonts w:ascii="Times New Roman" w:hAnsi="Times New Roman"/>
          <w:b w:val="0"/>
          <w:i w:val="0"/>
          <w:color w:val="000000"/>
          <w:sz w:val="22"/>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2"/>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4"/>
        </w:rPr>
        <w:t>7.1 CONCLUSION</w:t>
      </w:r>
    </w:p>
    <w:p>
      <w:pPr>
        <w:spacing w:before="0" w:after="100" w:line="276" w:lineRule="auto"/>
        <w:jc w:val="both"/>
      </w:pPr>
      <w:r>
        <w:rPr>
          <w:rFonts w:ascii="Times New Roman" w:hAnsi="Times New Roman"/>
          <w:b w:val="0"/>
          <w:i w:val="0"/>
          <w:color w:val="000000"/>
          <w:sz w:val="22"/>
        </w:rPr>
        <w:t>An automated computer-vision and machine-learning inspection system for rotor squirrel-cage weld defect classification was successfully designed, implemented, and validated. Saliency-guided adaptive cropping using Sobel gradient operators resolved the challenge of background clutter while ensuring 100% preservation of anomalous molten droop morphology. The mathematical feature extraction pipeline derived 15 descriptors whose separability was confirmed through 2D PCA (74.2% variance explained).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4"/>
        </w:rPr>
        <w:t>7.2 FUTURE SCOPE</w:t>
      </w:r>
    </w:p>
    <w:p>
      <w:pPr>
        <w:spacing w:before="0" w:after="100" w:line="276" w:lineRule="auto"/>
        <w:jc w:val="both"/>
      </w:pPr>
      <w:r>
        <w:rPr>
          <w:rFonts w:ascii="Times New Roman" w:hAnsi="Times New Roman"/>
          <w:b w:val="0"/>
          <w:i w:val="0"/>
          <w:color w:val="000000"/>
          <w:sz w:val="22"/>
        </w:rPr>
        <w:t>The following enhancements are proposed for future development:</w:t>
      </w:r>
    </w:p>
    <w:p>
      <w:pPr>
        <w:pStyle w:val="ListBullet"/>
        <w:spacing w:before="0" w:after="60" w:line="276" w:lineRule="auto"/>
        <w:jc w:val="both"/>
      </w:pPr>
      <w:r>
        <w:rPr>
          <w:rFonts w:ascii="Times New Roman" w:hAnsi="Times New Roman"/>
          <w:sz w:val="22"/>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sz w:val="22"/>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sz w:val="22"/>
        </w:rPr>
        <w:t>3. Robotic Manipulation: Mount the optical sensor onto a 6-axis collaborative robotic arm for 360° circumferential rotor scanning.</w:t>
      </w:r>
    </w:p>
    <w:p>
      <w:pPr>
        <w:pStyle w:val="ListBullet"/>
        <w:spacing w:before="0" w:after="60" w:line="276" w:lineRule="auto"/>
        <w:jc w:val="both"/>
      </w:pPr>
      <w:r>
        <w:rPr>
          <w:rFonts w:ascii="Times New Roman" w:hAnsi="Times New Roman"/>
          <w:sz w:val="22"/>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sz w:val="22"/>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sz w:val="22"/>
        </w:rPr>
        <w:t>6. Digital Twin Integration: Stream inspection telemetry over OPC-UA to the plant-wide SCADA architecture.</w:t>
      </w:r>
    </w:p>
    <w:p>
      <w:pPr>
        <w:pStyle w:val="ListBullet"/>
        <w:spacing w:before="0" w:after="60" w:line="276" w:lineRule="auto"/>
        <w:jc w:val="both"/>
      </w:pPr>
      <w:r>
        <w:rPr>
          <w:rFonts w:ascii="Times New Roman" w:hAnsi="Times New Roman"/>
          <w:sz w:val="22"/>
        </w:rPr>
        <w:t>7. Fleet Telemetry: Deploy federated learning across multiple factory lines to continuously update defect models.</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