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121 -&gt; 148): Sound welds absorb and scatter light evenly across a smooth matte finish, while molten slag defects create high-reflectance mirrors that push average brightness up by +21.6%.</w:t>
        <w:br/>
        <w:t>• Surface Roughness (Variance 1779 -&gt; 3472): A healthy joint has smooth, consistent lighting. Defective welds have wild transitions between intense specular highlights and dark shadow pockets, nearly doubling overall variance (+95.1%).</w:t>
        <w:br/>
        <w:t>• Structural Anomaly Peaks (Kurtosis 2.85 -&gt; 4.13): A normal surface yields a standard bell-curve distribution (kurtosis ~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