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importance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3"/>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4"/>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222027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3840480" cy="222027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2212777"/>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2212777"/>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220902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3840480" cy="220902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2212777"/>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2216527"/>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3840480" cy="2216527"/>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231814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4023360" cy="231814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This section compares the 10 statistical values computed by the MATLAB scripts for a sound (normal) rotor versus a defective rotor with weld anomalies. Comparing these numbers proves mathematically how image processing detects physical defects such as excess molten droop, spatter, and surface irregularity.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DIAGNOSTIC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increases (+21.6%) due to shiny molten metal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across the entire specimen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variation increases by 39.7% due to bumpy, uneven weld metal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Brightness variance nearly doubles (+95.1%), reflecting severe roughness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Darkest background pixels stay consistent between both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metal crests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Wider contrast spread between darkest and brightest spots on defective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spatter dust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Tilts negative (-0.48), showing a heavy tail of bright specular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Jumps from 2.85 to 4.13 (sharp spike), proving localized defect blobs exist</w:t>
            </w:r>
          </w:p>
        </w:tc>
      </w:tr>
    </w:tbl>
    <w:p>
      <w:pPr>
        <w:spacing w:before="0" w:after="100" w:line="276" w:lineRule="auto"/>
        <w:jc w:val="both"/>
      </w:pPr>
      <w:r>
        <w:rPr>
          <w:rFonts w:ascii="Times New Roman" w:hAnsi="Times New Roman"/>
          <w:b w:val="0"/>
          <w:i w:val="0"/>
          <w:color w:val="000000"/>
          <w:sz w:val="24"/>
        </w:rPr>
        <w:t>Simple Summary of Key Physical Differences:</w:t>
        <w:br/>
        <w:t>• Defects Make the Surface Brighter (Mean 121 -&gt; 147): Irregular molten metal blobs reflect light like mirrors, raising the average brightness.</w:t>
        <w:br/>
        <w:t>• Defects Double the Surface Roughness (Variance 1779 -&gt; 3472): A healthy weld has smooth, even light, whereas a defective weld has wild jumps between shiny highlights and deep shadows.</w:t>
        <w:br/>
        <w:t>• Defects Create Sharp Statistical Spikes (Kurtosis 2.85 -&gt; 4.13): A sharp increase in kurtosis mathematically proves the presence of sudden defect bumps rather than a uniform surface.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SAMPLE FEATURE DISCRIMINATIVE IMPORTANCE</w:t>
      </w:r>
    </w:p>
    <w:p>
      <w:pPr>
        <w:spacing w:before="0" w:after="100" w:line="276" w:lineRule="auto"/>
        <w:jc w:val="both"/>
      </w:pPr>
      <w:r>
        <w:rPr>
          <w:rFonts w:ascii="Times New Roman" w:hAnsi="Times New Roman"/>
          <w:b w:val="0"/>
          <w:i w:val="0"/>
          <w:color w:val="000000"/>
          <w:sz w:val="24"/>
        </w:rPr>
        <w:t>Direct evaluation of the 15 extracted visual descriptors across all 81 physical rotor samples confirms strong intrinsic separability between classes directly within the physical measurement space. By training classifiers directly on physical sample features - most notably Convex Solidity, Slag Protrusion %, and GLCM Contrast - the system maintains 100% engineering explainability directly tied to physical weld defect mechanisms.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