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 showing descriptor contributions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Projecting feature spaces onto orthogonal eigenvectors using 2D Principal Component Analysis (PCA); (4) Computing PCA feature loading vectors to isolate governing defect descriptors;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Principal Component Analysis (PCA) and Feature Loadings</w:t>
      </w:r>
    </w:p>
    <w:p>
      <w:pPr>
        <w:spacing w:before="0" w:after="100" w:line="276" w:lineRule="auto"/>
        <w:jc w:val="both"/>
      </w:pPr>
      <w:r>
        <w:rPr>
          <w:rFonts w:ascii="Times New Roman" w:hAnsi="Times New Roman"/>
          <w:b w:val="0"/>
          <w:i w:val="0"/>
          <w:color w:val="000000"/>
          <w:sz w:val="24"/>
        </w:rPr>
        <w:t>To visualize multi-dimensional feature space separability without loss of variance, 2D Principal Component Analysis was performed across the 15 extracted descriptors. The first two principal components capture 71.1% of total cumulative variance (PC1 = 46.8%, PC2 = 24.3%).</w:t>
      </w:r>
    </w:p>
    <w:p>
      <w:pPr>
        <w:spacing w:before="80" w:after="80"/>
        <w:jc w:val="center"/>
      </w:pPr>
      <w:r>
        <w:drawing>
          <wp:inline xmlns:a="http://schemas.openxmlformats.org/drawingml/2006/main" xmlns:pic="http://schemas.openxmlformats.org/drawingml/2006/picture">
            <wp:extent cx="4937760" cy="3815542"/>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937760" cy="3815542"/>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 of rotor specimens</w:t>
      </w:r>
    </w:p>
    <w:p>
      <w:pPr>
        <w:spacing w:before="80" w:after="80"/>
        <w:jc w:val="center"/>
      </w:pPr>
      <w:r>
        <w:drawing>
          <wp:inline xmlns:a="http://schemas.openxmlformats.org/drawingml/2006/main" xmlns:pic="http://schemas.openxmlformats.org/drawingml/2006/picture">
            <wp:extent cx="4937760" cy="1975104"/>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937760" cy="1975104"/>
                    </a:xfrm>
                    <a:prstGeom prst="rect"/>
                  </pic:spPr>
                </pic:pic>
              </a:graphicData>
            </a:graphic>
          </wp:inline>
        </w:drawing>
      </w:r>
    </w:p>
    <w:p>
      <w:pPr>
        <w:spacing w:before="60" w:after="120"/>
        <w:jc w:val="center"/>
      </w:pPr>
      <w:r>
        <w:rPr>
          <w:rFonts w:ascii="Times New Roman" w:hAnsi="Times New Roman"/>
          <w:b/>
          <w:i/>
          <w:sz w:val="22"/>
        </w:rPr>
        <w:t>Fig. 5.4 PCA feature loading vectors biplot showing descriptor contributions</w:t>
      </w:r>
    </w:p>
    <w:p>
      <w:pPr>
        <w:spacing w:before="0" w:after="100" w:line="276" w:lineRule="auto"/>
        <w:jc w:val="both"/>
      </w:pPr>
      <w:r>
        <w:rPr>
          <w:rFonts w:ascii="Times New Roman" w:hAnsi="Times New Roman"/>
          <w:b w:val="0"/>
          <w:i w:val="0"/>
          <w:color w:val="000000"/>
          <w:sz w:val="24"/>
        </w:rPr>
        <w:t>As shown in Fig. 5.3, sound specimens form a dense, tightly clustered distribution in the lower quadrants, whereas defective specimens disperse widely along the positive PC1 and PC2 axes. The loading vectors biplot (Fig. 5.4) confirms that Solidity, Mean Intensity, and GLCM Energy exert the strongest orthogonal vectors, validating their deployment as primary splitting criteria.</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 across image rows and columns.</w:t>
      </w:r>
    </w:p>
    <w:p>
      <w:pPr>
        <w:spacing w:before="80" w:after="80"/>
        <w:jc w:val="center"/>
      </w:pPr>
      <w:r>
        <w:drawing>
          <wp:inline xmlns:a="http://schemas.openxmlformats.org/drawingml/2006/main" xmlns:pic="http://schemas.openxmlformats.org/drawingml/2006/picture">
            <wp:extent cx="4937760" cy="2854642"/>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4937760" cy="2854642"/>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4937760" cy="2844998"/>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4937760" cy="2844998"/>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Experimental Procedure and Figure Interpretation:</w:t>
        <w:br/>
        <w:t>• Figure 5.6 (Defective Rotor Analysis): Ingests the defective rotor specimen (badrotor.jpg) in script badrotorimagemean.m. The specimen displays severe molten droop anomalies and irregular weld spatter. The script executes 8-bit grayscale conversion using NTSC luminance weighting (Y = 0.2989 R + 0.5870 G + 0.1140 B) and calculates row-wise mean intensity across weld seam coordinates (rows 1200-1300), yielding an elevated overall image mean intensity of 147.6512.</w:t>
        <w:br/>
        <w:t>• Figure 5.7 (Sound Rotor Analysis): Executes Statisticalanalysis_goodrotor.m on a sound specimen (goodrotor.jpeg). The command window displays the computed 10 statistical moments: Mean = 121.4320, Median = 118.0, Std Dev = 42.19, Variance = 1779.57, Skewness = +0.214, and Kurtosis = 2.845.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4937760" cy="2844998"/>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4937760" cy="2844998"/>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4937760" cy="284017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4937760" cy="284017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Signal Analysis and Profile Interpretation:</w:t>
        <w:br/>
        <w:t>• Figure 5.8 (Multimodal Histogram):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The absence of saturation at bin 255 validates effective cross-polarization.</w:t>
        <w:br/>
        <w:t>• Figure 5.9 (Row-Wise Mean Intensity): Generated by Step 11 (plot(RowMean)). The horizontal scanline average remains low (&lt; 35) across the top/bottom background rows, but ramps past row 300 to reach an intensity plateau of 165 between rows 450 and 700. This peak corresponds precisely to the vertical coordinates where the circular weld bead spans the central field of view.</w:t>
      </w:r>
    </w:p>
    <w:p>
      <w:r>
        <w:br w:type="page"/>
      </w:r>
    </w:p>
    <w:p>
      <w:pPr>
        <w:spacing w:before="80" w:after="80"/>
        <w:jc w:val="center"/>
      </w:pPr>
      <w:r>
        <w:drawing>
          <wp:inline xmlns:a="http://schemas.openxmlformats.org/drawingml/2006/main" xmlns:pic="http://schemas.openxmlformats.org/drawingml/2006/picture">
            <wp:extent cx="4937760" cy="2844998"/>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4937760" cy="2844998"/>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4937760" cy="2849820"/>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4937760" cy="2849820"/>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Symmetry and Variation Analysis:</w:t>
        <w:br/>
        <w:t>• Figure 5.10 (Column-Wise Mean Profile): Generated by Step 12 (plot(ColumnMean)). Computes the vertical column average across specimen width. The profile reveals strong circumferential symmetry: intensity rises sharply from column 150, reaches a peak of 158 at column 250, and exhibits balanced structural ripples mirroring the rotor cylindrical slots. Lateral asymmetry in this profile serves as an indicator of one-sided molten droop.</w:t>
        <w:br/>
        <w:t>• Figure 5.11 (Row-Wise Pixel Variation):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937760" cy="2844998"/>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937760" cy="2844998"/>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Figure 5.12 Interpretation &amp; Seam Localization:</w:t>
        <w:br/>
        <w:t>Figure 5.12 plots the column-wise standard deviation (plot(ColumnStd) from Step 14). The curve displays a sharp peak reaching 78.4 standard deviation units concentrated precisely between column coordinates 150 and 250, marking the high-contrast annular weld bead where bright molten metal interfaces with darker rotor core teeth.</w:t>
        <w:br/>
        <w:t>Beyond column 300, the standard deviation steadily decays toward 35 across the solid core and shaft. This spatial signal phenomenon provides a lightweight heuristic for rapid ROI localization: by calculating the first derivative of the column standard deviation curve (dSigma/dx), candidate weld seam lateral boundaries are localized in under 3 ms, bypassing computationally heavy 2D sliding window searches.</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To rigorously quantify the empirical differences observed across sound and defective specimens, the 10 fundamental statistical moments calculated in MATLAB are summarized side-by-side in Table 5.9. These moments provide the physical feature foundation utilized by the downstream machine learning classifiers.</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DIAGNOSTIC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in defective welds due to specular droplet spatter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Robust central tendency reflecting global surface brightness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Significantly higher (+39.7%) due to severe droplet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Reflects non-uniform molten metal dispersion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Background non-metallic ambient baseline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Specular reflection saturation on defective molten crests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Broader dynamic span across defective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Dominant surface tone across active lamination stack</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Negative shift indicates heavy tail of bright specular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Leptokurtic spike reflects sharp localized defect anomalies</w:t>
            </w:r>
          </w:p>
        </w:tc>
      </w:tr>
    </w:tbl>
    <w:p>
      <w:pPr>
        <w:spacing w:before="0" w:after="100" w:line="276" w:lineRule="auto"/>
        <w:jc w:val="both"/>
      </w:pPr>
      <w:r>
        <w:rPr>
          <w:rFonts w:ascii="Times New Roman" w:hAnsi="Times New Roman"/>
          <w:b w:val="0"/>
          <w:i w:val="0"/>
          <w:color w:val="000000"/>
          <w:sz w:val="24"/>
        </w:rPr>
        <w:t>Failure Mode Correlation: The substantial increase in variance (+95.1%) and the sharp shift in skewness from positive (+0.214) to negative (-0.482) provide unequivocal mathematical proof of defect presence. Excess molten droop creates localized high-reflectance regions that distort the intensity distribution, confirming that low-order statistical moments provide powerful discriminative features for industrial quality assurance.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