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2D PCA,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Principal Component Analysis (PCA) and subsequent machine learning classification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tri-model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0"/>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4"/>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6"/>
        </w:rPr>
        <w:t>WEB INSPECTION STUDIO AND AI DIAGNOSTIC DASHBOARD</w:t>
      </w:r>
    </w:p>
    <w:p>
      <w:pPr>
        <w:spacing w:before="0" w:after="100" w:line="276" w:lineRule="auto"/>
        <w:jc w:val="both"/>
      </w:pPr>
      <w:r>
        <w:rPr>
          <w:rFonts w:ascii="Times New Roman" w:hAnsi="Times New Roman"/>
          <w:b w:val="0"/>
          <w:i w:val="0"/>
          <w:color w:val="000000"/>
          <w:sz w:val="24"/>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13" name="Picture 13"/>
            <wp:cNvGraphicFramePr>
              <a:graphicFrameLocks noChangeAspect="1"/>
            </wp:cNvGraphicFramePr>
            <a:graphic>
              <a:graphicData uri="http://schemas.openxmlformats.org/drawingml/2006/picture">
                <pic:pic>
                  <pic:nvPicPr>
                    <pic:cNvPr id="0" name="fig_web_dashboard.png"/>
                    <pic:cNvPicPr/>
                  </pic:nvPicPr>
                  <pic:blipFill>
                    <a:blip r:embed="rId21"/>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2"/>
        </w:rPr>
        <w:t>Fig. 5.1 Web inspection studio and AI diagnostic interface</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4"/>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w:t>
            </w:r>
          </w:p>
        </w:tc>
      </w:tr>
    </w:tbl>
    <w:p>
      <w:r>
        <w:br w:type="page"/>
      </w:r>
    </w:p>
    <w:p>
      <w:pPr>
        <w:spacing w:before="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4"/>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4"/>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4"/>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4"/>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4"/>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4"/>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2"/>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5" name="Picture 15"/>
            <wp:cNvGraphicFramePr>
              <a:graphicFrameLocks noChangeAspect="1"/>
            </wp:cNvGraphicFramePr>
            <a:graphic>
              <a:graphicData uri="http://schemas.openxmlformats.org/drawingml/2006/picture">
                <pic:pic>
                  <pic:nvPicPr>
                    <pic:cNvPr id="0" name="fig_pca_clusters.png"/>
                    <pic:cNvPicPr/>
                  </pic:nvPicPr>
                  <pic:blipFill>
                    <a:blip r:embed="rId23"/>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6" name="Picture 16"/>
            <wp:cNvGraphicFramePr>
              <a:graphicFrameLocks noChangeAspect="1"/>
            </wp:cNvGraphicFramePr>
            <a:graphic>
              <a:graphicData uri="http://schemas.openxmlformats.org/drawingml/2006/picture">
                <pic:pic>
                  <pic:nvPicPr>
                    <pic:cNvPr id="0" name="fig_pca_loadings.png"/>
                    <pic:cNvPicPr/>
                  </pic:nvPicPr>
                  <pic:blipFill>
                    <a:blip r:embed="rId24"/>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2"/>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5"/>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2"/>
        </w:rPr>
        <w:t>Fig. 5.5 Pearson correlation heatmap matrix</w:t>
      </w:r>
    </w:p>
    <w:p>
      <w:pPr>
        <w:spacing w:before="0" w:after="100" w:line="276" w:lineRule="auto"/>
        <w:jc w:val="both"/>
      </w:pPr>
      <w:r>
        <w:rPr>
          <w:rFonts w:ascii="Times New Roman" w:hAnsi="Times New Roman"/>
          <w:b w:val="0"/>
          <w:i w:val="0"/>
          <w:color w:val="000000"/>
          <w:sz w:val="24"/>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6"/>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7"/>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8"/>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29"/>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0"/>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1"/>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2"/>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3"/>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4"/>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