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3-tier sorting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studio and AI diagnostic interface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experimental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Comprehensive subsystem test record (Parts 1 &amp; 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2D PCA,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Principal Component Analysis (PCA) and subsequent machine learning classification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p>
      <w:pPr>
        <w:spacing w:before="80" w:after="120"/>
        <w:ind w:left="576"/>
      </w:pPr>
      <w:r>
        <w:rPr>
          <w:rFonts w:ascii="Times New Roman" w:hAnsi="Times New Roman"/>
          <w:sz w:val="21"/>
        </w:rPr>
        <w:t>// Embedded Decision Tree Classification Logic</w:t>
        <w:br/>
        <w:t>if (solidity &lt;= 0.842) {</w:t>
        <w:br/>
        <w:t xml:space="preserve">    if (glcm_entropy &gt; 4.621) {</w:t>
        <w:br/>
        <w:t xml:space="preserve">        classification = "DEFECTIVE (Molten Drip / Porosity)";</w:t>
        <w:br/>
        <w:t xml:space="preserve">        industrial_tier = TIER_3_SCRAP;</w:t>
        <w:br/>
        <w:t xml:space="preserve">    } else {</w:t>
        <w:br/>
        <w:t xml:space="preserve">        classification = "DEFECTIVE (Cold Joint / Incomplete Fusion)";</w:t>
        <w:br/>
        <w:t xml:space="preserve">        industrial_tier = TIER_2_REWORK;</w:t>
        <w:br/>
        <w:t xml:space="preserve">    }</w:t>
        <w:br/>
        <w:t>} else {</w:t>
        <w:br/>
        <w:t xml:space="preserve">    if (mean_intensity &gt;= 118.4) {</w:t>
        <w:br/>
        <w:t xml:space="preserve">        classification = "GOOD (Uniform Fusion Seam)";</w:t>
        <w:br/>
        <w:t xml:space="preserve">        industrial_tier = TIER_1_ACCEPT;</w:t>
        <w:br/>
        <w:t xml:space="preserve">    } else {</w:t>
        <w:br/>
        <w:t xml:space="preserve">        classification = "DEFECTIVE (Oxidized Discoloration)";</w:t>
        <w:br/>
        <w:t xml:space="preserve">        industrial_tier = TIER_2_REWORK;</w:t>
        <w:br/>
        <w:t xml:space="preserve">    }</w:t>
        <w:br/>
        <w:t>}</w:t>
      </w:r>
    </w:p>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DETAILS</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LABEL</w:t>
            </w:r>
          </w:p>
        </w:tc>
        <w:tc>
          <w:tcPr>
            <w:tcW w:type="dxa" w:w="417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SORTING ACTION &amp; INDICATION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 solidity (&gt;0.84), uniform intensity, low GLCM entropy</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GOOD (Accept)</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1: Accept. Route to dynamic rotor balancing line. Green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lack of fusion, localized surface oxidation, slight undercut</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REWORK (Marginal)</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2: Rework. Route to secondary manual TIG welding bay. Amber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Severe molten droop/drip anomaly, deep porosity cluster, structural crack</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SCRAP (Defective)</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3: Scrap. Reject immediately into metal recovery bin. Red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Ambiguous specimen, low confidence consensus across tri-model</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REVIEW</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Hold part on indexing table for QA supervisor physical audit. Flashing buzzer.</w:t>
            </w:r>
          </w:p>
        </w:tc>
      </w:tr>
    </w:tbl>
    <w:p>
      <w:pPr>
        <w:spacing w:before="160" w:after="80" w:line="276" w:lineRule="auto"/>
      </w:pPr>
      <w:r>
        <w:rPr>
          <w:rFonts w:ascii="Times New Roman" w:hAnsi="Times New Roman"/>
          <w:b/>
          <w:color w:val="000000"/>
          <w:sz w:val="26"/>
        </w:rPr>
        <w:t>4.7 OUTPUT INDICATION AND REPORT GENERATION</w:t>
      </w:r>
    </w:p>
    <w:p>
      <w:pPr>
        <w:spacing w:before="0" w:after="100" w:line="276" w:lineRule="auto"/>
        <w:jc w:val="both"/>
      </w:pPr>
      <w:r>
        <w:rPr>
          <w:rFonts w:ascii="Times New Roman" w:hAnsi="Times New Roman"/>
          <w:b w:val="0"/>
          <w:i w:val="0"/>
          <w:color w:val="000000"/>
          <w:sz w:val="24"/>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6"/>
        </w:rPr>
        <w:t>4.9 IMPORTANT TECHNICAL OBSERVATIONS</w:t>
      </w:r>
    </w:p>
    <w:p>
      <w:pPr>
        <w:pStyle w:val="ListBullet"/>
        <w:spacing w:before="0" w:after="60" w:line="276" w:lineRule="auto"/>
        <w:jc w:val="both"/>
      </w:pPr>
      <w:r>
        <w:rPr>
          <w:rFonts w:ascii="Times New Roman" w:hAnsi="Times New Roman"/>
          <w:color w:val="000000"/>
          <w:sz w:val="24"/>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color w:val="000000"/>
          <w:sz w:val="24"/>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color w:val="000000"/>
          <w:sz w:val="24"/>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6"/>
        </w:rPr>
        <w:t>4.10 DEEP CONVOLUTIONAL VALIDATION</w:t>
      </w:r>
    </w:p>
    <w:p>
      <w:pPr>
        <w:spacing w:before="0" w:after="100" w:line="276" w:lineRule="auto"/>
        <w:jc w:val="both"/>
      </w:pPr>
      <w:r>
        <w:rPr>
          <w:rFonts w:ascii="Times New Roman" w:hAnsi="Times New Roman"/>
          <w:b w:val="0"/>
          <w:i w:val="0"/>
          <w:color w:val="000000"/>
          <w:sz w:val="24"/>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In the foundational laboratory investigation, signal and image processing routines were implemented in MATLAB Online (matlab.mathworks.com) to examine raw luminance characteristics and spatial intensity distributions. Two primary scripts were authored: badrotorimagemean.m and Statisticalanalysis_goodrotor.m.</w:t>
      </w:r>
    </w:p>
    <w:p>
      <w:pPr>
        <w:spacing w:before="0" w:after="100" w:line="276" w:lineRule="auto"/>
        <w:jc w:val="both"/>
      </w:pPr>
      <w:r>
        <w:rPr>
          <w:rFonts w:ascii="Times New Roman" w:hAnsi="Times New Roman"/>
          <w:b w:val="0"/>
          <w:i w:val="0"/>
          <w:color w:val="000000"/>
          <w:sz w:val="24"/>
        </w:rPr>
        <w:t>The mathematical formulations for 1D spatial intensity profiling are defined by:</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These profiles quantify the boundary transitions between the dark background fixture and the reflective metallic weld seam, establishing empirical thresholds for subsequent computer vision segmentation.</w:t>
      </w:r>
    </w:p>
    <w:p>
      <w:r>
        <w:br w:type="page"/>
      </w:r>
    </w:p>
    <w:p>
      <w:pPr>
        <w:spacing w:before="0" w:after="80" w:line="276" w:lineRule="auto"/>
      </w:pPr>
      <w:r>
        <w:rPr>
          <w:rFonts w:ascii="Times New Roman" w:hAnsi="Times New Roman"/>
          <w:b/>
          <w:color w:val="000000"/>
          <w:sz w:val="26"/>
        </w:rPr>
        <w:t>WEB INSPECTION STUDIO AND AI DIAGNOSTIC DASHBOARD</w:t>
      </w:r>
    </w:p>
    <w:p>
      <w:pPr>
        <w:spacing w:before="0" w:after="100" w:line="276" w:lineRule="auto"/>
        <w:jc w:val="both"/>
      </w:pPr>
      <w:r>
        <w:rPr>
          <w:rFonts w:ascii="Times New Roman" w:hAnsi="Times New Roman"/>
          <w:b w:val="0"/>
          <w:i w:val="0"/>
          <w:color w:val="000000"/>
          <w:sz w:val="24"/>
        </w:rPr>
        <w:t>Figure 5.1 illustrates the responsive HTML5/JavaScript web inspection studio developed for operational deployment. The interface provides interactive canvas ROI verification, real-time diagnostic feature display, multi-model consensus readouts, and one-click ISO certificate generation.</w:t>
      </w:r>
    </w:p>
    <w:p>
      <w:pPr>
        <w:spacing w:before="80" w:after="80"/>
        <w:jc w:val="center"/>
      </w:pPr>
      <w:r>
        <w:drawing>
          <wp:inline xmlns:a="http://schemas.openxmlformats.org/drawingml/2006/main" xmlns:pic="http://schemas.openxmlformats.org/drawingml/2006/picture">
            <wp:extent cx="5669280" cy="4041577"/>
            <wp:docPr id="12" name="Picture 12"/>
            <wp:cNvGraphicFramePr>
              <a:graphicFrameLocks noChangeAspect="1"/>
            </wp:cNvGraphicFramePr>
            <a:graphic>
              <a:graphicData uri="http://schemas.openxmlformats.org/drawingml/2006/picture">
                <pic:pic>
                  <pic:nvPicPr>
                    <pic:cNvPr id="0" name="fig_web_dashboard.png"/>
                    <pic:cNvPicPr/>
                  </pic:nvPicPr>
                  <pic:blipFill>
                    <a:blip r:embed="rId20"/>
                    <a:stretch>
                      <a:fillRect/>
                    </a:stretch>
                  </pic:blipFill>
                  <pic:spPr>
                    <a:xfrm>
                      <a:off x="0" y="0"/>
                      <a:ext cx="5669280" cy="4041577"/>
                    </a:xfrm>
                    <a:prstGeom prst="rect"/>
                  </pic:spPr>
                </pic:pic>
              </a:graphicData>
            </a:graphic>
          </wp:inline>
        </w:drawing>
      </w:r>
    </w:p>
    <w:p>
      <w:pPr>
        <w:spacing w:before="60" w:after="120"/>
        <w:jc w:val="center"/>
      </w:pPr>
      <w:r>
        <w:rPr>
          <w:rFonts w:ascii="Times New Roman" w:hAnsi="Times New Roman"/>
          <w:b/>
          <w:i/>
          <w:sz w:val="22"/>
        </w:rPr>
        <w:t>Fig. 5.1 Web inspection studio and AI diagnostic interface</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 (TABLE 5.3)</w:t>
      </w:r>
    </w:p>
    <w:p>
      <w:pPr>
        <w:spacing w:before="0" w:after="100" w:line="276" w:lineRule="auto"/>
        <w:jc w:val="both"/>
      </w:pPr>
      <w:r>
        <w:rPr>
          <w:rFonts w:ascii="Times New Roman" w:hAnsi="Times New Roman"/>
          <w:b w:val="0"/>
          <w:i w:val="0"/>
          <w:color w:val="000000"/>
          <w:sz w:val="24"/>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w:t>
            </w:r>
          </w:p>
        </w:tc>
      </w:tr>
    </w:tbl>
    <w:p>
      <w:r>
        <w:br w:type="page"/>
      </w:r>
    </w:p>
    <w:p>
      <w:pPr>
        <w:spacing w:before="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 (TABLE 5.5 - PART 1)</w:t>
      </w:r>
    </w:p>
    <w:p>
      <w:pPr>
        <w:spacing w:before="0" w:after="100" w:line="276" w:lineRule="auto"/>
        <w:jc w:val="both"/>
      </w:pPr>
      <w:r>
        <w:rPr>
          <w:rFonts w:ascii="Times New Roman" w:hAnsi="Times New Roman"/>
          <w:b w:val="0"/>
          <w:i w:val="0"/>
          <w:color w:val="000000"/>
          <w:sz w:val="24"/>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Images loaded successfully at 4032 x 3024 with full dynamic range. Polarizer eliminated 94% of metallic glare.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Sobel gradient successfully emphasized weld fusion boundaries while suppressing ambient rotor teeth.</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accurately centered in 100% of trials; padding margin prevented clipping of protruding molten droplets.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 - TABLE 5.5 PART 2)</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All 15 descriptors calculated in 18.4 ms per image. Zero NaN or division-by-zero errors encountered.</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tree achieved 80.2% accuracy. Solidity correctly routed 100% of severe droop anomalies to Defective.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on 5-fold cross-validation.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categorized parts into Accept (Tier 1), Rework (Tier 2), and Scrap (Tier 3) with zero fatal escapes.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color w:val="000000"/>
          <w:sz w:val="24"/>
        </w:rPr>
        <w:t>1. Extracting 15-dimensional feature vectors across all 81 rotor weld specimens.</w:t>
      </w:r>
    </w:p>
    <w:p>
      <w:pPr>
        <w:pStyle w:val="ListBullet"/>
        <w:spacing w:before="0" w:after="60" w:line="276" w:lineRule="auto"/>
        <w:jc w:val="both"/>
      </w:pPr>
      <w:r>
        <w:rPr>
          <w:rFonts w:ascii="Times New Roman" w:hAnsi="Times New Roman"/>
          <w:color w:val="000000"/>
          <w:sz w:val="24"/>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color w:val="000000"/>
          <w:sz w:val="24"/>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color w:val="000000"/>
          <w:sz w:val="24"/>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color w:val="000000"/>
          <w:sz w:val="24"/>
        </w:rPr>
        <w:t>5. Calculating a 15 x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13" name="Picture 13"/>
            <wp:cNvGraphicFramePr>
              <a:graphicFrameLocks noChangeAspect="1"/>
            </wp:cNvGraphicFramePr>
            <a:graphic>
              <a:graphicData uri="http://schemas.openxmlformats.org/drawingml/2006/picture">
                <pic:pic>
                  <pic:nvPicPr>
                    <pic:cNvPr id="0" name="fig_feature_distribution.png"/>
                    <pic:cNvPicPr/>
                  </pic:nvPicPr>
                  <pic:blipFill>
                    <a:blip r:embed="rId21"/>
                    <a:stretch>
                      <a:fillRect/>
                    </a:stretch>
                  </pic:blipFill>
                  <pic:spPr>
                    <a:xfrm>
                      <a:off x="0" y="0"/>
                      <a:ext cx="4937760" cy="2962656"/>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14" name="Picture 14"/>
            <wp:cNvGraphicFramePr>
              <a:graphicFrameLocks noChangeAspect="1"/>
            </wp:cNvGraphicFramePr>
            <a:graphic>
              <a:graphicData uri="http://schemas.openxmlformats.org/drawingml/2006/picture">
                <pic:pic>
                  <pic:nvPicPr>
                    <pic:cNvPr id="0" name="fig_pca_clusters.png"/>
                    <pic:cNvPicPr/>
                  </pic:nvPicPr>
                  <pic:blipFill>
                    <a:blip r:embed="rId22"/>
                    <a:stretch>
                      <a:fillRect/>
                    </a:stretch>
                  </pic:blipFill>
                  <pic:spPr>
                    <a:xfrm>
                      <a:off x="0" y="0"/>
                      <a:ext cx="4754880" cy="3674225"/>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5" name="Picture 15"/>
            <wp:cNvGraphicFramePr>
              <a:graphicFrameLocks noChangeAspect="1"/>
            </wp:cNvGraphicFramePr>
            <a:graphic>
              <a:graphicData uri="http://schemas.openxmlformats.org/drawingml/2006/picture">
                <pic:pic>
                  <pic:nvPicPr>
                    <pic:cNvPr id="0" name="fig_pca_loadings.png"/>
                    <pic:cNvPicPr/>
                  </pic:nvPicPr>
                  <pic:blipFill>
                    <a:blip r:embed="rId23"/>
                    <a:stretch>
                      <a:fillRect/>
                    </a:stretch>
                  </pic:blipFill>
                  <pic:spPr>
                    <a:xfrm>
                      <a:off x="0" y="0"/>
                      <a:ext cx="4754880" cy="1901952"/>
                    </a:xfrm>
                    <a:prstGeom prst="rect"/>
                  </pic:spPr>
                </pic:pic>
              </a:graphicData>
            </a:graphic>
          </wp:inline>
        </w:drawing>
      </w:r>
    </w:p>
    <w:p>
      <w:pPr>
        <w:spacing w:before="60" w:after="120"/>
        <w:jc w:val="center"/>
      </w:pPr>
      <w:r>
        <w:rPr>
          <w:rFonts w:ascii="Times New Roman" w:hAnsi="Times New Roman"/>
          <w:b/>
          <w:i/>
          <w:sz w:val="22"/>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937760" cy="4232366"/>
            <wp:docPr id="16" name="Picture 16"/>
            <wp:cNvGraphicFramePr>
              <a:graphicFrameLocks noChangeAspect="1"/>
            </wp:cNvGraphicFramePr>
            <a:graphic>
              <a:graphicData uri="http://schemas.openxmlformats.org/drawingml/2006/picture">
                <pic:pic>
                  <pic:nvPicPr>
                    <pic:cNvPr id="0" name="fig_correlation_matrix.png"/>
                    <pic:cNvPicPr/>
                  </pic:nvPicPr>
                  <pic:blipFill>
                    <a:blip r:embed="rId24"/>
                    <a:stretch>
                      <a:fillRect/>
                    </a:stretch>
                  </pic:blipFill>
                  <pic:spPr>
                    <a:xfrm>
                      <a:off x="0" y="0"/>
                      <a:ext cx="4937760" cy="4232366"/>
                    </a:xfrm>
                    <a:prstGeom prst="rect"/>
                  </pic:spPr>
                </pic:pic>
              </a:graphicData>
            </a:graphic>
          </wp:inline>
        </w:drawing>
      </w:r>
    </w:p>
    <w:p>
      <w:pPr>
        <w:spacing w:before="60" w:after="120"/>
        <w:jc w:val="center"/>
      </w:pPr>
      <w:r>
        <w:rPr>
          <w:rFonts w:ascii="Times New Roman" w:hAnsi="Times New Roman"/>
          <w:b/>
          <w:i/>
          <w:sz w:val="22"/>
        </w:rPr>
        <w:t>Fig. 5.5 Pearson correlation heatmap matrix</w:t>
      </w:r>
    </w:p>
    <w:p>
      <w:pPr>
        <w:spacing w:before="0" w:after="100" w:line="276" w:lineRule="auto"/>
        <w:jc w:val="both"/>
      </w:pPr>
      <w:r>
        <w:rPr>
          <w:rFonts w:ascii="Times New Roman" w:hAnsi="Times New Roman"/>
          <w:b w:val="0"/>
          <w:i w:val="0"/>
          <w:color w:val="000000"/>
          <w:sz w:val="24"/>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7" name="Picture 17"/>
            <wp:cNvGraphicFramePr>
              <a:graphicFrameLocks noChangeAspect="1"/>
            </wp:cNvGraphicFramePr>
            <a:graphic>
              <a:graphicData uri="http://schemas.openxmlformats.org/drawingml/2006/picture">
                <pic:pic>
                  <pic:nvPicPr>
                    <pic:cNvPr id="0" name="matlab_bad_rotor_mean.jpg"/>
                    <pic:cNvPicPr/>
                  </pic:nvPicPr>
                  <pic:blipFill>
                    <a:blip r:embed="rId25"/>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8" name="Picture 18"/>
            <wp:cNvGraphicFramePr>
              <a:graphicFrameLocks noChangeAspect="1"/>
            </wp:cNvGraphicFramePr>
            <a:graphic>
              <a:graphicData uri="http://schemas.openxmlformats.org/drawingml/2006/picture">
                <pic:pic>
                  <pic:nvPicPr>
                    <pic:cNvPr id="0" name="matlab_good_rotor_stats_rgb.jpg"/>
                    <pic:cNvPicPr/>
                  </pic:nvPicPr>
                  <pic:blipFill>
                    <a:blip r:embed="rId26"/>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19" name="Picture 19"/>
            <wp:cNvGraphicFramePr>
              <a:graphicFrameLocks noChangeAspect="1"/>
            </wp:cNvGraphicFramePr>
            <a:graphic>
              <a:graphicData uri="http://schemas.openxmlformats.org/drawingml/2006/picture">
                <pic:pic>
                  <pic:nvPicPr>
                    <pic:cNvPr id="0" name="matlab_good_rotor_histogram.jpg"/>
                    <pic:cNvPicPr/>
                  </pic:nvPicPr>
                  <pic:blipFill>
                    <a:blip r:embed="rId27"/>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20" name="Picture 20"/>
            <wp:cNvGraphicFramePr>
              <a:graphicFrameLocks noChangeAspect="1"/>
            </wp:cNvGraphicFramePr>
            <a:graphic>
              <a:graphicData uri="http://schemas.openxmlformats.org/drawingml/2006/picture">
                <pic:pic>
                  <pic:nvPicPr>
                    <pic:cNvPr id="0" name="matlab_good_row_mean.jpg"/>
                    <pic:cNvPicPr/>
                  </pic:nvPicPr>
                  <pic:blipFill>
                    <a:blip r:embed="rId28"/>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21" name="Picture 21"/>
            <wp:cNvGraphicFramePr>
              <a:graphicFrameLocks noChangeAspect="1"/>
            </wp:cNvGraphicFramePr>
            <a:graphic>
              <a:graphicData uri="http://schemas.openxmlformats.org/drawingml/2006/picture">
                <pic:pic>
                  <pic:nvPicPr>
                    <pic:cNvPr id="0" name="matlab_good_col_mean.jpg"/>
                    <pic:cNvPicPr/>
                  </pic:nvPicPr>
                  <pic:blipFill>
                    <a:blip r:embed="rId29"/>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22" name="Picture 22"/>
            <wp:cNvGraphicFramePr>
              <a:graphicFrameLocks noChangeAspect="1"/>
            </wp:cNvGraphicFramePr>
            <a:graphic>
              <a:graphicData uri="http://schemas.openxmlformats.org/drawingml/2006/picture">
                <pic:pic>
                  <pic:nvPicPr>
                    <pic:cNvPr id="0" name="matlab_good_row_std.jpg"/>
                    <pic:cNvPicPr/>
                  </pic:nvPicPr>
                  <pic:blipFill>
                    <a:blip r:embed="rId30"/>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r>
        <w:br w:type="page"/>
      </w:r>
    </w:p>
    <w:p>
      <w:pPr>
        <w:spacing w:before="80" w:after="80"/>
        <w:jc w:val="center"/>
      </w:pPr>
      <w:r>
        <w:drawing>
          <wp:inline xmlns:a="http://schemas.openxmlformats.org/drawingml/2006/main" xmlns:pic="http://schemas.openxmlformats.org/drawingml/2006/picture">
            <wp:extent cx="5029200" cy="2897684"/>
            <wp:docPr id="23" name="Picture 23"/>
            <wp:cNvGraphicFramePr>
              <a:graphicFrameLocks noChangeAspect="1"/>
            </wp:cNvGraphicFramePr>
            <a:graphic>
              <a:graphicData uri="http://schemas.openxmlformats.org/drawingml/2006/picture">
                <pic:pic>
                  <pic:nvPicPr>
                    <pic:cNvPr id="0" name="matlab_good_col_std.jpg"/>
                    <pic:cNvPicPr/>
                  </pic:nvPicPr>
                  <pic:blipFill>
                    <a:blip r:embed="rId31"/>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Physical Insights on Spatial Profiling:</w:t>
        <w:br/>
        <w:t>1. Mode Intensity Isolation: The fixture background produces a dominant peak at intensity 20 in the histogram, confirming that background subtraction can be performed reliably with thresholding.</w:t>
        <w:br/>
        <w:t>2. Active Seam Signature: The row-wise mean profile reveals that the active weld seam exhibits high luminance (140-160) across rows 350-750, whereas non-bead regions decay rapidly toward baseline values.</w:t>
        <w:br/>
        <w:t>3. Edge Sharpness Validation: The column standard deviation profile exhibits sharp spikes at the boundary of the weld crown, validating that gradient edge operators (Sobel) can accurately isolate the seam boundaries.</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4" name="Picture 24"/>
            <wp:cNvGraphicFramePr>
              <a:graphicFrameLocks noChangeAspect="1"/>
            </wp:cNvGraphicFramePr>
            <a:graphic>
              <a:graphicData uri="http://schemas.openxmlformats.org/drawingml/2006/picture">
                <pic:pic>
                  <pic:nvPicPr>
                    <pic:cNvPr id="0" name="fig_decision_tree.png"/>
                    <pic:cNvPicPr/>
                  </pic:nvPicPr>
                  <pic:blipFill>
                    <a:blip r:embed="rId32"/>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5" name="Picture 25"/>
            <wp:cNvGraphicFramePr>
              <a:graphicFrameLocks noChangeAspect="1"/>
            </wp:cNvGraphicFramePr>
            <a:graphic>
              <a:graphicData uri="http://schemas.openxmlformats.org/drawingml/2006/picture">
                <pic:pic>
                  <pic:nvPicPr>
                    <pic:cNvPr id="0" name="fig_confusion_matrix.png"/>
                    <pic:cNvPicPr/>
                  </pic:nvPicPr>
                  <pic:blipFill>
                    <a:blip r:embed="rId33"/>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