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Unsupervised 2D PCA confirms cluster separation, with PC1 and PC2 explaining 74.2% of cumulative variance.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3-tier sorting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feature extraction and PCA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hardware and rotor inspection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weld seam ROI macro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Smart weld ROI cropper multi-specimen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studio and AI diagnostic interface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2D Principal Component Analysis (PCA) cluster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PCA feature loading vectors biplot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experimental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Comprehensive subsystem test record (Parts 1 &amp; 2)</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2D Principal Component Analysis (PCA).</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and benchmark a Random Forest ensemble and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exploratory dimensionality reduction,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1"/>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2"/>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rotor weld defect inspection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AI Defect Detection - The system extracts 15 physical descriptors (intensity, contour shape, and GLCM surface texture) and feeds them to an explainable Decision Tree, Random Forest ensemble, and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3"/>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80" w:after="80"/>
        <w:jc w:val="center"/>
      </w:pPr>
      <w:r>
        <w:drawing>
          <wp:inline xmlns:a="http://schemas.openxmlformats.org/drawingml/2006/main" xmlns:pic="http://schemas.openxmlformats.org/drawingml/2006/picture">
            <wp:extent cx="4389120" cy="5852160"/>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4"/>
                    <a:stretch>
                      <a:fillRect/>
                    </a:stretch>
                  </pic:blipFill>
                  <pic:spPr>
                    <a:xfrm>
                      <a:off x="0" y="0"/>
                      <a:ext cx="4389120" cy="5852160"/>
                    </a:xfrm>
                    <a:prstGeom prst="rect"/>
                  </pic:spPr>
                </pic:pic>
              </a:graphicData>
            </a:graphic>
          </wp:inline>
        </w:drawing>
      </w:r>
    </w:p>
    <w:p>
      <w:pPr>
        <w:spacing w:before="60" w:after="120"/>
        <w:jc w:val="center"/>
      </w:pPr>
      <w:r>
        <w:rPr>
          <w:rFonts w:ascii="Times New Roman" w:hAnsi="Times New Roman"/>
          <w:b/>
          <w:i/>
          <w:sz w:val="22"/>
        </w:rPr>
        <w:t>Fig. 3.2 Experimental hardware and rotor inspection setup</w:t>
      </w:r>
    </w:p>
    <w:p>
      <w:pPr>
        <w:spacing w:before="80" w:after="80"/>
        <w:jc w:val="center"/>
      </w:pPr>
      <w:r>
        <w:drawing>
          <wp:inline xmlns:a="http://schemas.openxmlformats.org/drawingml/2006/main" xmlns:pic="http://schemas.openxmlformats.org/drawingml/2006/picture">
            <wp:extent cx="4389120" cy="4486656"/>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5"/>
                    <a:stretch>
                      <a:fillRect/>
                    </a:stretch>
                  </pic:blipFill>
                  <pic:spPr>
                    <a:xfrm>
                      <a:off x="0" y="0"/>
                      <a:ext cx="4389120" cy="4486656"/>
                    </a:xfrm>
                    <a:prstGeom prst="rect"/>
                  </pic:spPr>
                </pic:pic>
              </a:graphicData>
            </a:graphic>
          </wp:inline>
        </w:drawing>
      </w:r>
    </w:p>
    <w:p>
      <w:pPr>
        <w:spacing w:before="60" w:after="120"/>
        <w:jc w:val="center"/>
      </w:pPr>
      <w:r>
        <w:rPr>
          <w:rFonts w:ascii="Times New Roman" w:hAnsi="Times New Roman"/>
          <w:b/>
          <w:i/>
          <w:sz w:val="22"/>
        </w:rPr>
        <w:t>Fig. 3.3 Isolated weld seam ROI macro specimen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Used for rapid signal analysis, row/column intensity profiling, statistical moments calculation (mean, std, var, skewness, kurtosis), histogram plotting, and Excel data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Production image conversions, Sobel gradient edge maps, Otsu adaptive binarization, and morphological closure.</w:t>
      </w:r>
    </w:p>
    <w:p>
      <w:pPr>
        <w:pStyle w:val="ListBullet"/>
        <w:spacing w:before="0" w:after="60" w:line="276" w:lineRule="auto"/>
        <w:jc w:val="both"/>
      </w:pPr>
      <w:r>
        <w:rPr>
          <w:rFonts w:ascii="Times New Roman" w:hAnsi="Times New Roman"/>
          <w:color w:val="000000"/>
          <w:sz w:val="24"/>
        </w:rPr>
        <w:t>PyTorch (2.4.1): Transfer learning, convolutional tensor inference, and forward pass evaluation of the MobileNetV3 deep vision classifier.</w:t>
      </w:r>
    </w:p>
    <w:p>
      <w:pPr>
        <w:pStyle w:val="ListBullet"/>
        <w:spacing w:before="0" w:after="60" w:line="276" w:lineRule="auto"/>
        <w:jc w:val="both"/>
      </w:pPr>
      <w:r>
        <w:rPr>
          <w:rFonts w:ascii="Times New Roman" w:hAnsi="Times New Roman"/>
          <w:color w:val="000000"/>
          <w:sz w:val="24"/>
        </w:rPr>
        <w:t>Scikit-Learn (1.5.2): Extraction of 15 mathematical descriptors, 2D Principal Component Analysis (PCA), Decision Tree classification, and Random Forest ensemble.</w:t>
      </w:r>
    </w:p>
    <w:p>
      <w:pPr>
        <w:pStyle w:val="ListBullet"/>
        <w:spacing w:before="0" w:after="60" w:line="276" w:lineRule="auto"/>
        <w:jc w:val="both"/>
      </w:pPr>
      <w:r>
        <w:rPr>
          <w:rFonts w:ascii="Times New Roman" w:hAnsi="Times New Roman"/>
          <w:color w:val="000000"/>
          <w:sz w:val="24"/>
        </w:rPr>
        <w:t>Scikit-Image (0.24): Computation of Gray-Level Co-occurrence Matrix (GLCM) and Haralick second-order texture moments.</w:t>
      </w:r>
    </w:p>
    <w:p>
      <w:pPr>
        <w:pStyle w:val="ListBullet"/>
        <w:spacing w:before="0" w:after="60" w:line="276" w:lineRule="auto"/>
        <w:jc w:val="both"/>
      </w:pPr>
      <w:r>
        <w:rPr>
          <w:rFonts w:ascii="Times New Roman" w:hAnsi="Times New Roman"/>
          <w:color w:val="000000"/>
          <w:sz w:val="24"/>
        </w:rPr>
        <w:t>ReportLab &amp; python-docx: Automated generation of publication-grade ISO 9001:2015 PDF certificates and academic monograph reports in Word/PDF formats.</w:t>
      </w:r>
    </w:p>
    <w:p>
      <w:pPr>
        <w:pStyle w:val="ListBullet"/>
        <w:spacing w:before="0" w:after="60" w:line="276" w:lineRule="auto"/>
        <w:jc w:val="both"/>
      </w:pPr>
      <w:r>
        <w:rPr>
          <w:rFonts w:ascii="Times New Roman" w:hAnsi="Times New Roman"/>
          <w:color w:val="000000"/>
          <w:sz w:val="24"/>
        </w:rPr>
        <w:t>HTML5 / JavaScript Web Client: Responsive browser UI with interactive canvas ROI selection and dual download endpoints.</w:t>
      </w:r>
    </w:p>
    <w:p>
      <w:pPr>
        <w:spacing w:before="0" w:after="100" w:line="276" w:lineRule="auto"/>
        <w:jc w:val="both"/>
      </w:pPr>
      <w:r>
        <w:rPr>
          <w:rFonts w:ascii="Times New Roman" w:hAnsi="Times New Roman"/>
          <w:b w:val="0"/>
          <w:i w:val="0"/>
          <w:color w:val="000000"/>
          <w:sz w:val="24"/>
        </w:rPr>
        <w:t>The software stack operates fully asynchronously, ensuring non-blocking camera frame ingestion, sub-100ms inference latency, and high operational throughput on the factory floor.</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Tri-model classification consensus between Decision Tree, Random Forest,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8778240"/>
            <wp:docPr id="8" name="Picture 8"/>
            <wp:cNvGraphicFramePr>
              <a:graphicFrameLocks noChangeAspect="1"/>
            </wp:cNvGraphicFramePr>
            <a:graphic>
              <a:graphicData uri="http://schemas.openxmlformats.org/drawingml/2006/picture">
                <pic:pic>
                  <pic:nvPicPr>
                    <pic:cNvPr id="0" name="fig_sobel_edge_map.png"/>
                    <pic:cNvPicPr/>
                  </pic:nvPicPr>
                  <pic:blipFill>
                    <a:blip r:embed="rId16"/>
                    <a:stretch>
                      <a:fillRect/>
                    </a:stretch>
                  </pic:blipFill>
                  <pic:spPr>
                    <a:xfrm>
                      <a:off x="0" y="0"/>
                      <a:ext cx="5486400" cy="8778240"/>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SALIENCY CROPPER MULTI-SPECIMEN ANALYSIS</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the adaptive cropper evaluates local gradient density to center the fusion zone accurately.</w:t>
      </w:r>
    </w:p>
    <w:p>
      <w:pPr>
        <w:spacing w:before="80" w:after="80"/>
        <w:jc w:val="center"/>
      </w:pPr>
      <w:r>
        <w:drawing>
          <wp:inline xmlns:a="http://schemas.openxmlformats.org/drawingml/2006/main" xmlns:pic="http://schemas.openxmlformats.org/drawingml/2006/picture">
            <wp:extent cx="5486400" cy="8778240"/>
            <wp:docPr id="9" name="Picture 9"/>
            <wp:cNvGraphicFramePr>
              <a:graphicFrameLocks noChangeAspect="1"/>
            </wp:cNvGraphicFramePr>
            <a:graphic>
              <a:graphicData uri="http://schemas.openxmlformats.org/drawingml/2006/picture">
                <pic:pic>
                  <pic:nvPicPr>
                    <pic:cNvPr id="0" name="fig_smart_crop_preview.png"/>
                    <pic:cNvPicPr/>
                  </pic:nvPicPr>
                  <pic:blipFill>
                    <a:blip r:embed="rId17"/>
                    <a:stretch>
                      <a:fillRect/>
                    </a:stretch>
                  </pic:blipFill>
                  <pic:spPr>
                    <a:xfrm>
                      <a:off x="0" y="0"/>
                      <a:ext cx="5486400" cy="8778240"/>
                    </a:xfrm>
                    <a:prstGeom prst="rect"/>
                  </pic:spPr>
                </pic:pic>
              </a:graphicData>
            </a:graphic>
          </wp:inline>
        </w:drawing>
      </w:r>
    </w:p>
    <w:p>
      <w:pPr>
        <w:spacing w:before="60" w:after="120"/>
        <w:jc w:val="center"/>
      </w:pPr>
      <w:r>
        <w:rPr>
          <w:rFonts w:ascii="Times New Roman" w:hAnsi="Times New Roman"/>
          <w:b/>
          <w:i/>
          <w:sz w:val="22"/>
        </w:rPr>
        <w:t>Fig. 4.2 Smart weld ROI cropper multi-specimen comparison</w:t>
      </w:r>
    </w:p>
    <w:p>
      <w:r>
        <w:br w:type="page"/>
      </w:r>
    </w:p>
    <w:p>
      <w:pPr>
        <w:spacing w:before="0" w:after="80" w:line="276" w:lineRule="auto"/>
      </w:pPr>
      <w:r>
        <w:rPr>
          <w:rFonts w:ascii="Times New Roman" w:hAnsi="Times New Roman"/>
          <w:b/>
          <w:color w:val="000000"/>
          <w:sz w:val="26"/>
        </w:rPr>
        <w:t>FULL MOLTEN DROOP ANOMALY BOUNDARY RETENTION</w:t>
      </w:r>
    </w:p>
    <w:p>
      <w:pPr>
        <w:spacing w:before="0" w:after="100" w:line="276" w:lineRule="auto"/>
        <w:jc w:val="both"/>
      </w:pPr>
      <w:r>
        <w:rPr>
          <w:rFonts w:ascii="Times New Roman" w:hAnsi="Times New Roman"/>
          <w:b w:val="0"/>
          <w:i w:val="0"/>
          <w:color w:val="000000"/>
          <w:sz w:val="24"/>
        </w:rPr>
        <w:t>Figure 4.3 demonstrates the critical importance of bounding box inflation. Conventional cropping severs protruding molten dripping defects, falsely inflating solidity metrics. Our adaptive padding margin (+15% horizontal, +25% vertical) guarantees complete droop capture without truncation.</w:t>
      </w:r>
    </w:p>
    <w:p>
      <w:pPr>
        <w:spacing w:before="80" w:after="80"/>
        <w:jc w:val="center"/>
      </w:pPr>
      <w:r>
        <w:drawing>
          <wp:inline xmlns:a="http://schemas.openxmlformats.org/drawingml/2006/main" xmlns:pic="http://schemas.openxmlformats.org/drawingml/2006/picture">
            <wp:extent cx="5303520" cy="2581566"/>
            <wp:docPr id="10" name="Picture 10"/>
            <wp:cNvGraphicFramePr>
              <a:graphicFrameLocks noChangeAspect="1"/>
            </wp:cNvGraphicFramePr>
            <a:graphic>
              <a:graphicData uri="http://schemas.openxmlformats.org/drawingml/2006/picture">
                <pic:pic>
                  <pic:nvPicPr>
                    <pic:cNvPr id="0" name="fig_drip_preservation.jpg"/>
                    <pic:cNvPicPr/>
                  </pic:nvPicPr>
                  <pic:blipFill>
                    <a:blip r:embed="rId18"/>
                    <a:stretch>
                      <a:fillRect/>
                    </a:stretch>
                  </pic:blipFill>
                  <pic:spPr>
                    <a:xfrm>
                      <a:off x="0" y="0"/>
                      <a:ext cx="5303520" cy="2581566"/>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without clipping</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w:t>
      </w:r>
    </w:p>
    <w:p>
      <w:pPr>
        <w:spacing w:before="0" w:after="100" w:line="276" w:lineRule="auto"/>
        <w:jc w:val="both"/>
      </w:pPr>
      <w:r>
        <w:rPr>
          <w:rFonts w:ascii="Times New Roman" w:hAnsi="Times New Roman"/>
          <w:b w:val="0"/>
          <w:i w:val="0"/>
          <w:color w:val="000000"/>
          <w:sz w:val="24"/>
        </w:rPr>
        <w:t>4.4.1 Intensity and Density Descriptors:</w:t>
        <w:br/>
        <w:t>- Mean Luminance: mu = (1/N) Sum I_i</w:t>
        <w:br/>
        <w:t>- Standard Deviation: sigma = sqrt[ (1/N) Sum (I_i - mu)^2 ]</w:t>
        <w:br/>
        <w:t>- Intensity Skewness: gamma_1 = (1/N sigma^3) Sum (I_i - mu)^3</w:t>
        <w:br/>
        <w:t>- Intensity Kurtosis: beta_2 = (1/N sigma^4) Sum (I_i - mu)^4</w:t>
        <w:br/>
        <w:t>- Edge Pixel Density: rho = (Count of edge pixels) / (Total ROI Area)</w:t>
      </w:r>
    </w:p>
    <w:p>
      <w:pPr>
        <w:spacing w:before="0" w:after="100" w:line="276" w:lineRule="auto"/>
        <w:jc w:val="both"/>
      </w:pPr>
      <w:r>
        <w:rPr>
          <w:rFonts w:ascii="Times New Roman" w:hAnsi="Times New Roman"/>
          <w:b w:val="0"/>
          <w:i w:val="0"/>
          <w:color w:val="000000"/>
          <w:sz w:val="24"/>
        </w:rPr>
        <w:t>4.4.2 Morphological and Geometric Contours:</w:t>
        <w:br/>
        <w:t>- Contour Area (A) and Perimeter (P)</w:t>
        <w:br/>
        <w:t>- Compactness (Circularity): C = 4*pi*A / P^2</w:t>
        <w:br/>
        <w:t>- Solidity: S = A(Contour) / A(Convex Hull)</w:t>
        <w:br/>
        <w:t>- Aspect Ratio: AR = Width / Height</w:t>
        <w:br/>
        <w:t>- Eccentricity: e = sqrt(1 - b^2 / a^2)</w:t>
      </w:r>
    </w:p>
    <w:p>
      <w:pPr>
        <w:spacing w:before="0" w:after="100" w:line="276" w:lineRule="auto"/>
        <w:jc w:val="both"/>
      </w:pPr>
      <w:r>
        <w:rPr>
          <w:rFonts w:ascii="Times New Roman" w:hAnsi="Times New Roman"/>
          <w:b w:val="0"/>
          <w:i w:val="0"/>
          <w:color w:val="000000"/>
          <w:sz w:val="24"/>
        </w:rPr>
        <w:t>4.4.3 GLCM Haralick Texture Descriptors:</w:t>
        <w:br/>
        <w:t>- Contrast: Sum |i - j|^2 P(i, j)</w:t>
        <w:br/>
        <w:t>- Energy (Angular Second Moment): Sum P(i, j)^2</w:t>
        <w:br/>
        <w:t>- Entropy: -Sum P(i, j) log2(P(i, j))</w:t>
        <w:br/>
        <w:t>- Homogeneity: Sum P(i, j) / (1 + |i - j|)</w:t>
        <w:br/>
        <w:t>- Correlation: Sum (i - mu_i)(j - mu_j) P(i, j) / (sigma_i sigma_j)</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p>
      <w:pPr>
        <w:spacing w:before="80" w:after="120"/>
        <w:ind w:left="576"/>
      </w:pPr>
      <w:r>
        <w:rPr>
          <w:rFonts w:ascii="Times New Roman" w:hAnsi="Times New Roman"/>
          <w:sz w:val="21"/>
        </w:rPr>
        <w:t>// Embedded Decision Tree Classification Logic</w:t>
        <w:br/>
        <w:t>if (solidity &lt;= 0.842) {</w:t>
        <w:br/>
        <w:t xml:space="preserve">    if (glcm_entropy &gt; 4.621) {</w:t>
        <w:br/>
        <w:t xml:space="preserve">        classification = "DEFECTIVE (Molten Drip / Porosity)";</w:t>
        <w:br/>
        <w:t xml:space="preserve">        industrial_tier = TIER_3_SCRAP;</w:t>
        <w:br/>
        <w:t xml:space="preserve">    } else {</w:t>
        <w:br/>
        <w:t xml:space="preserve">        classification = "DEFECTIVE (Cold Joint / Incomplete Fusion)";</w:t>
        <w:br/>
        <w:t xml:space="preserve">        industrial_tier = TIER_2_REWORK;</w:t>
        <w:br/>
        <w:t xml:space="preserve">    }</w:t>
        <w:br/>
        <w:t>} else {</w:t>
        <w:br/>
        <w:t xml:space="preserve">    if (mean_intensity &gt;= 118.4) {</w:t>
        <w:br/>
        <w:t xml:space="preserve">        classification = "GOOD (Uniform Fusion Seam)";</w:t>
        <w:br/>
        <w:t xml:space="preserve">        industrial_tier = TIER_1_ACCEPT;</w:t>
        <w:br/>
        <w:t xml:space="preserve">    } else {</w:t>
        <w:br/>
        <w:t xml:space="preserve">        classification = "DEFECTIVE (Oxidized Discoloration)";</w:t>
        <w:br/>
        <w:t xml:space="preserve">        industrial_tier = TIER_2_REWORK;</w:t>
        <w:br/>
        <w:t xml:space="preserve">    }</w:t>
        <w:br/>
        <w:t>}</w:t>
      </w:r>
    </w:p>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To satisfy shop-floor lean manufacturing mandates, classification outputs are automatically mapped into actionable industrial sorting tiers:</w:t>
      </w:r>
    </w:p>
    <w:tbl>
      <w:tblPr>
        <w:tblW w:type="auto" w:w="0"/>
        <w:jc w:val="center"/>
        <w:tblLook w:firstColumn="1" w:firstRow="1" w:lastColumn="0" w:lastRow="0" w:noHBand="0" w:noVBand="1" w:val="04A0"/>
      </w:tblPr>
      <w:tblGrid>
        <w:gridCol w:w="3250"/>
        <w:gridCol w:w="3250"/>
        <w:gridCol w:w="3250"/>
      </w:tblGrid>
      <w:tr>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DETAILS</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LABEL</w:t>
            </w:r>
          </w:p>
        </w:tc>
        <w:tc>
          <w:tcPr>
            <w:tcW w:type="dxa" w:w="417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SORTING ACTION &amp; INDICATION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 solidity (&gt;0.84), uniform intensity, low GLCM entropy</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GOOD (Accept)</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1: Accept. Route to dynamic rotor balancing line. Green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lack of fusion, localized surface oxidation, slight undercut</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REWORK (Marginal)</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2: Rework. Route to secondary manual TIG welding bay. Amber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Severe molten droop/drip anomaly, deep porosity cluster, structural crack</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SCRAP (Defective)</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3: Scrap. Reject immediately into metal recovery bin. Red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Ambiguous specimen, low confidence consensus across tri-model</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REVIEW</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Hold part on indexing table for QA supervisor physical audit. Flashing buzzer.</w:t>
            </w:r>
          </w:p>
        </w:tc>
      </w:tr>
    </w:tbl>
    <w:p>
      <w:pPr>
        <w:spacing w:before="160" w:after="80" w:line="276" w:lineRule="auto"/>
      </w:pPr>
      <w:r>
        <w:rPr>
          <w:rFonts w:ascii="Times New Roman" w:hAnsi="Times New Roman"/>
          <w:b/>
          <w:color w:val="000000"/>
          <w:sz w:val="26"/>
        </w:rPr>
        <w:t>4.7 OUTPUT INDICATION AND REPORT GENERATION</w:t>
      </w:r>
    </w:p>
    <w:p>
      <w:pPr>
        <w:spacing w:before="0" w:after="100" w:line="276" w:lineRule="auto"/>
        <w:jc w:val="both"/>
      </w:pPr>
      <w:r>
        <w:rPr>
          <w:rFonts w:ascii="Times New Roman" w:hAnsi="Times New Roman"/>
          <w:b w:val="0"/>
          <w:i w:val="0"/>
          <w:color w:val="000000"/>
          <w:sz w:val="24"/>
        </w:rPr>
        <w:t>The system dispatches inspection payloads formatted as JSON REST responses, simultaneously driving industrial digital I/O lines and updating the web dashboard. For every batch, an ISO 9001:2015 tamper-proof certificate is cryptographically signed with a SHA-256 hash for traceability.</w:t>
      </w:r>
    </w:p>
    <w:p>
      <w:r>
        <w:br w:type="page"/>
      </w:r>
    </w:p>
    <w:p>
      <w:pPr>
        <w:spacing w:before="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3.14/3.11 with an asynchronous Flask server. The pipeline seamlessly integrates camera acquisition, saliency-guided Sobel cropping, 15 mathematical feature descriptors, 3-tier industrial sorting, and tamper-proof PDF report generation into a single unified application.</w:t>
      </w:r>
    </w:p>
    <w:p>
      <w:pPr>
        <w:spacing w:before="120" w:after="80" w:line="276" w:lineRule="auto"/>
      </w:pPr>
      <w:r>
        <w:rPr>
          <w:rFonts w:ascii="Times New Roman" w:hAnsi="Times New Roman"/>
          <w:b/>
          <w:color w:val="000000"/>
          <w:sz w:val="26"/>
        </w:rPr>
        <w:t>4.9 IMPORTANT TECHNICAL OBSERVATIONS</w:t>
      </w:r>
    </w:p>
    <w:p>
      <w:pPr>
        <w:pStyle w:val="ListBullet"/>
        <w:spacing w:before="0" w:after="60" w:line="276" w:lineRule="auto"/>
        <w:jc w:val="both"/>
      </w:pPr>
      <w:r>
        <w:rPr>
          <w:rFonts w:ascii="Times New Roman" w:hAnsi="Times New Roman"/>
          <w:color w:val="000000"/>
          <w:sz w:val="24"/>
        </w:rPr>
        <w:t>Bounding box expansion (+15% horizontal, +25% vertical) is strictly mandatory: unpadded bounding boxes clipped 42% of severe molten droplet anomalies, corrupting solidity calculations.</w:t>
      </w:r>
    </w:p>
    <w:p>
      <w:pPr>
        <w:pStyle w:val="ListBullet"/>
        <w:spacing w:before="0" w:after="60" w:line="276" w:lineRule="auto"/>
        <w:jc w:val="both"/>
      </w:pPr>
      <w:r>
        <w:rPr>
          <w:rFonts w:ascii="Times New Roman" w:hAnsi="Times New Roman"/>
          <w:color w:val="000000"/>
          <w:sz w:val="24"/>
        </w:rPr>
        <w:t>GLCM Energy and Entropy exhibit strong collinearity (Pearson r = -0.94), providing redundant but mutually validating measures of weld surface roughness.</w:t>
      </w:r>
    </w:p>
    <w:p>
      <w:pPr>
        <w:pStyle w:val="ListBullet"/>
        <w:spacing w:before="0" w:after="60" w:line="276" w:lineRule="auto"/>
        <w:jc w:val="both"/>
      </w:pPr>
      <w:r>
        <w:rPr>
          <w:rFonts w:ascii="Times New Roman" w:hAnsi="Times New Roman"/>
          <w:color w:val="000000"/>
          <w:sz w:val="24"/>
        </w:rPr>
        <w:t>MobileNetV3 transfer learning benefits strongly from saliency cropping, achieving a +16.1% accuracy gain over raw uncropped input frames.</w:t>
      </w:r>
    </w:p>
    <w:p>
      <w:pPr>
        <w:spacing w:before="120" w:after="80" w:line="276" w:lineRule="auto"/>
      </w:pPr>
      <w:r>
        <w:rPr>
          <w:rFonts w:ascii="Times New Roman" w:hAnsi="Times New Roman"/>
          <w:b/>
          <w:color w:val="000000"/>
          <w:sz w:val="26"/>
        </w:rPr>
        <w:t>4.10 DEEP CONVOLUTIONAL VALIDATION</w:t>
      </w:r>
    </w:p>
    <w:p>
      <w:pPr>
        <w:spacing w:before="0" w:after="100" w:line="276" w:lineRule="auto"/>
        <w:jc w:val="both"/>
      </w:pPr>
      <w:r>
        <w:rPr>
          <w:rFonts w:ascii="Times New Roman" w:hAnsi="Times New Roman"/>
          <w:b w:val="0"/>
          <w:i w:val="0"/>
          <w:color w:val="000000"/>
          <w:sz w:val="24"/>
        </w:rPr>
        <w:t>To complement the hand-crafted mathematical descriptors, a deep convolutional neural network (MobileNetV3-Small) was fine-tuned on the cropped weld dataset. The network acts as a high-capacity visual validator, capturing subtle spatial dependencies that transcend hand-crafted feature formulations.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In the foundational laboratory investigation, signal and image processing routines were implemented in MATLAB Online (matlab.mathworks.com) to examine raw luminance characteristics and spatial intensity distributions. Two primary scripts were authored: badrotorimagemean.m and Statisticalanalysis_goodrotor.m.</w:t>
      </w:r>
    </w:p>
    <w:p>
      <w:pPr>
        <w:spacing w:before="0" w:after="100" w:line="276" w:lineRule="auto"/>
        <w:jc w:val="both"/>
      </w:pPr>
      <w:r>
        <w:rPr>
          <w:rFonts w:ascii="Times New Roman" w:hAnsi="Times New Roman"/>
          <w:b w:val="0"/>
          <w:i w:val="0"/>
          <w:color w:val="000000"/>
          <w:sz w:val="24"/>
        </w:rPr>
        <w:t>The mathematical formulations for 1D spatial intensity profiling are defined by:</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These profiles quantify the boundary transitions between the dark background fixture and the reflective metallic weld seam, establishing empirical thresholds for subsequent computer vision segmentation.</w:t>
      </w:r>
    </w:p>
    <w:p>
      <w:r>
        <w:br w:type="page"/>
      </w:r>
    </w:p>
    <w:p>
      <w:pPr>
        <w:spacing w:before="0" w:after="80" w:line="276" w:lineRule="auto"/>
      </w:pPr>
      <w:r>
        <w:rPr>
          <w:rFonts w:ascii="Times New Roman" w:hAnsi="Times New Roman"/>
          <w:b/>
          <w:color w:val="000000"/>
          <w:sz w:val="26"/>
        </w:rPr>
        <w:t>WEB INSPECTION STUDIO AND AI DIAGNOSTIC DASHBOARD</w:t>
      </w:r>
    </w:p>
    <w:p>
      <w:pPr>
        <w:spacing w:before="0" w:after="100" w:line="276" w:lineRule="auto"/>
        <w:jc w:val="both"/>
      </w:pPr>
      <w:r>
        <w:rPr>
          <w:rFonts w:ascii="Times New Roman" w:hAnsi="Times New Roman"/>
          <w:b w:val="0"/>
          <w:i w:val="0"/>
          <w:color w:val="000000"/>
          <w:sz w:val="24"/>
        </w:rPr>
        <w:t>Figure 5.1 illustrates the responsive HTML5/JavaScript web inspection studio developed for operational deployment. The interface provides interactive canvas ROI verification, real-time diagnostic feature display, multi-model consensus readouts, and one-click ISO certificate generation.</w:t>
      </w:r>
    </w:p>
    <w:p>
      <w:pPr>
        <w:spacing w:before="80" w:after="80"/>
        <w:jc w:val="center"/>
      </w:pPr>
      <w:r>
        <w:drawing>
          <wp:inline xmlns:a="http://schemas.openxmlformats.org/drawingml/2006/main" xmlns:pic="http://schemas.openxmlformats.org/drawingml/2006/picture">
            <wp:extent cx="5669280" cy="4041577"/>
            <wp:docPr id="11" name="Picture 11"/>
            <wp:cNvGraphicFramePr>
              <a:graphicFrameLocks noChangeAspect="1"/>
            </wp:cNvGraphicFramePr>
            <a:graphic>
              <a:graphicData uri="http://schemas.openxmlformats.org/drawingml/2006/picture">
                <pic:pic>
                  <pic:nvPicPr>
                    <pic:cNvPr id="0" name="fig_web_dashboard.png"/>
                    <pic:cNvPicPr/>
                  </pic:nvPicPr>
                  <pic:blipFill>
                    <a:blip r:embed="rId19"/>
                    <a:stretch>
                      <a:fillRect/>
                    </a:stretch>
                  </pic:blipFill>
                  <pic:spPr>
                    <a:xfrm>
                      <a:off x="0" y="0"/>
                      <a:ext cx="5669280" cy="4041577"/>
                    </a:xfrm>
                    <a:prstGeom prst="rect"/>
                  </pic:spPr>
                </pic:pic>
              </a:graphicData>
            </a:graphic>
          </wp:inline>
        </w:drawing>
      </w:r>
    </w:p>
    <w:p>
      <w:pPr>
        <w:spacing w:before="60" w:after="120"/>
        <w:jc w:val="center"/>
      </w:pPr>
      <w:r>
        <w:rPr>
          <w:rFonts w:ascii="Times New Roman" w:hAnsi="Times New Roman"/>
          <w:b/>
          <w:i/>
          <w:sz w:val="22"/>
        </w:rPr>
        <w:t>Fig. 5.1 Web inspection studio and AI diagnostic interface</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model classification predictions (Decision Tree, Random Forest,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0" w:after="80" w:line="276" w:lineRule="auto"/>
      </w:pPr>
      <w:r>
        <w:rPr>
          <w:rFonts w:ascii="Times New Roman" w:hAnsi="Times New Roman"/>
          <w:b/>
          <w:color w:val="000000"/>
          <w:sz w:val="24"/>
        </w:rPr>
        <w:t>5.3 PARAMETERS USED DURING TESTING (TABLE 5.3)</w:t>
      </w:r>
    </w:p>
    <w:p>
      <w:pPr>
        <w:spacing w:before="0" w:after="100" w:line="276" w:lineRule="auto"/>
        <w:jc w:val="both"/>
      </w:pPr>
      <w:r>
        <w:rPr>
          <w:rFonts w:ascii="Times New Roman" w:hAnsi="Times New Roman"/>
          <w:b w:val="0"/>
          <w:i w:val="0"/>
          <w:color w:val="000000"/>
          <w:sz w:val="24"/>
        </w:rPr>
        <w:t>The following parameters were configured and maintained throughout experimental evaluation: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Camera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(RGB, 24-bit)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Illumination Intensity</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(Diffuse Ring LED)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Aperture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Otsu Binarization Threshold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(dynamically calculated per image)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Quantization Levels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Distances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Total Dataset Specimens Tested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physical rotor welds (54 Good, 27 Defective)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Training Epochs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 epochs (early stopping patience = 8)</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Inference Execution Timeout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w:t>
            </w:r>
          </w:p>
        </w:tc>
      </w:tr>
    </w:tbl>
    <w:p>
      <w:r>
        <w:br w:type="page"/>
      </w:r>
    </w:p>
    <w:p>
      <w:pPr>
        <w:spacing w:before="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During experimental trials across all 81 specimens, the saliency Sobel cropper demonstrated superior robustness compared to fixed coordinate cropping. Specifically, on specimens exhibiting massive molten droop anomalies (e.g., bad_1.jpg), the adaptive bounding box dynamically expanded, preserving 100% of the defect area.</w:t>
      </w:r>
    </w:p>
    <w:p>
      <w:pPr>
        <w:spacing w:before="120" w:after="80" w:line="276" w:lineRule="auto"/>
      </w:pPr>
      <w:r>
        <w:rPr>
          <w:rFonts w:ascii="Times New Roman" w:hAnsi="Times New Roman"/>
          <w:b/>
          <w:color w:val="000000"/>
          <w:sz w:val="24"/>
        </w:rPr>
        <w:t>5.5 TEST RECORD (TABLE 5.5 - PART 1)</w:t>
      </w:r>
    </w:p>
    <w:p>
      <w:pPr>
        <w:spacing w:before="0" w:after="100" w:line="276" w:lineRule="auto"/>
        <w:jc w:val="both"/>
      </w:pPr>
      <w:r>
        <w:rPr>
          <w:rFonts w:ascii="Times New Roman" w:hAnsi="Times New Roman"/>
          <w:b w:val="0"/>
          <w:i w:val="0"/>
          <w:color w:val="000000"/>
          <w:sz w:val="24"/>
        </w:rPr>
        <w:t>The following test record documents empirical observations across system modules:</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Images loaded successfully at 4032 x 3024 with full dynamic range. Polarizer eliminated 94% of metallic glare.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Sobel gradient successfully emphasized weld fusion boundaries while suppressing ambient rotor teeth.</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accurately centered in 100% of trials; padding margin prevented clipping of protruding molten droplets.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On severe defect specimens, bounding box expanded downwards by 48 pixels, preserving complete droplet morphology.</w:t>
            </w:r>
          </w:p>
        </w:tc>
      </w:tr>
    </w:tbl>
    <w:p>
      <w:r>
        <w:br w:type="page"/>
      </w:r>
    </w:p>
    <w:p>
      <w:pPr>
        <w:spacing w:before="0" w:after="80" w:line="276" w:lineRule="auto"/>
      </w:pPr>
      <w:r>
        <w:rPr>
          <w:rFonts w:ascii="Times New Roman" w:hAnsi="Times New Roman"/>
          <w:b/>
          <w:color w:val="000000"/>
          <w:sz w:val="24"/>
        </w:rPr>
        <w:t>5.5 TEST RECORD (CONTINUED - TABLE 5.5 PART 2)</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All 15 descriptors calculated in 18.4 ms per image. Zero NaN or division-by-zero errors encountered.</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tree achieved 80.2% accuracy. Solidity correctly routed 100% of severe droop anomalies to Defective.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on 5-fold cross-validation.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categorized parts into Accept (Tier 1), Rework (Tier 2), and Scrap (Tier 3) with zero fatal escapes.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HTML5 canvas rendering verified. SHA-256 hashed ISO certificates successfully generated and downloaded.</w:t>
            </w:r>
          </w:p>
        </w:tc>
      </w:tr>
    </w:tbl>
    <w:p>
      <w:r>
        <w:br w:type="page"/>
      </w:r>
    </w:p>
    <w:p>
      <w:pPr>
        <w:spacing w:before="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Experimental validation was conducted across the standardized 81-sample rotor weld dataset under controlled laboratory lighting. The performance metrics reported reflect rigorous 5-fold cross-validation to prevent optimistic data leakage. The system was verified for real-time responsiveness, achieving a complete per-specimen execution time under 85 ms.</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rigorously analyze the underlying data distribution and validate feature separability, diagnostic visual projections were generated using Python in a Jupyter environment. The procedure includes:</w:t>
      </w:r>
    </w:p>
    <w:p>
      <w:pPr>
        <w:pStyle w:val="ListBullet"/>
        <w:spacing w:before="0" w:after="60" w:line="276" w:lineRule="auto"/>
        <w:jc w:val="both"/>
      </w:pPr>
      <w:r>
        <w:rPr>
          <w:rFonts w:ascii="Times New Roman" w:hAnsi="Times New Roman"/>
          <w:color w:val="000000"/>
          <w:sz w:val="24"/>
        </w:rPr>
        <w:t>1. Extracting 15-dimensional feature vectors across all 81 rotor weld specimens.</w:t>
      </w:r>
    </w:p>
    <w:p>
      <w:pPr>
        <w:pStyle w:val="ListBullet"/>
        <w:spacing w:before="0" w:after="60" w:line="276" w:lineRule="auto"/>
        <w:jc w:val="both"/>
      </w:pPr>
      <w:r>
        <w:rPr>
          <w:rFonts w:ascii="Times New Roman" w:hAnsi="Times New Roman"/>
          <w:color w:val="000000"/>
          <w:sz w:val="24"/>
        </w:rPr>
        <w:t>2. Computing comparative boxplots to contrast raw full-frame distributions against saliency-cropped distributions.</w:t>
      </w:r>
    </w:p>
    <w:p>
      <w:pPr>
        <w:pStyle w:val="ListBullet"/>
        <w:spacing w:before="0" w:after="60" w:line="276" w:lineRule="auto"/>
        <w:jc w:val="both"/>
      </w:pPr>
      <w:r>
        <w:rPr>
          <w:rFonts w:ascii="Times New Roman" w:hAnsi="Times New Roman"/>
          <w:color w:val="000000"/>
          <w:sz w:val="24"/>
        </w:rPr>
        <w:t>3. Applying 2D Principal Component Analysis (PCA) to project high-dimensional feature spaces onto orthogonal eigenvectors.</w:t>
      </w:r>
    </w:p>
    <w:p>
      <w:pPr>
        <w:pStyle w:val="ListBullet"/>
        <w:spacing w:before="0" w:after="60" w:line="276" w:lineRule="auto"/>
        <w:jc w:val="both"/>
      </w:pPr>
      <w:r>
        <w:rPr>
          <w:rFonts w:ascii="Times New Roman" w:hAnsi="Times New Roman"/>
          <w:color w:val="000000"/>
          <w:sz w:val="24"/>
        </w:rPr>
        <w:t>4. Plotting PCA feature loading vectors to determine the directional contribution of each mathematical descriptor.</w:t>
      </w:r>
    </w:p>
    <w:p>
      <w:pPr>
        <w:pStyle w:val="ListBullet"/>
        <w:spacing w:before="0" w:after="60" w:line="276" w:lineRule="auto"/>
        <w:jc w:val="both"/>
      </w:pPr>
      <w:r>
        <w:rPr>
          <w:rFonts w:ascii="Times New Roman" w:hAnsi="Times New Roman"/>
          <w:color w:val="000000"/>
          <w:sz w:val="24"/>
        </w:rPr>
        <w:t>5. Calculating a 15 x 15 Pearson correlation matrix to quantify collinearity and inter-descriptor coupling.</w:t>
      </w:r>
    </w:p>
    <w:p>
      <w:r>
        <w:br w:type="page"/>
      </w:r>
    </w:p>
    <w:p>
      <w:pPr>
        <w:spacing w:before="80" w:after="80"/>
        <w:jc w:val="center"/>
      </w:pPr>
      <w:r>
        <w:drawing>
          <wp:inline xmlns:a="http://schemas.openxmlformats.org/drawingml/2006/main" xmlns:pic="http://schemas.openxmlformats.org/drawingml/2006/picture">
            <wp:extent cx="4937760" cy="2962656"/>
            <wp:docPr id="12" name="Picture 12"/>
            <wp:cNvGraphicFramePr>
              <a:graphicFrameLocks noChangeAspect="1"/>
            </wp:cNvGraphicFramePr>
            <a:graphic>
              <a:graphicData uri="http://schemas.openxmlformats.org/drawingml/2006/picture">
                <pic:pic>
                  <pic:nvPicPr>
                    <pic:cNvPr id="0" name="fig_feature_distribution.png"/>
                    <pic:cNvPicPr/>
                  </pic:nvPicPr>
                  <pic:blipFill>
                    <a:blip r:embed="rId20"/>
                    <a:stretch>
                      <a:fillRect/>
                    </a:stretch>
                  </pic:blipFill>
                  <pic:spPr>
                    <a:xfrm>
                      <a:off x="0" y="0"/>
                      <a:ext cx="4937760" cy="2962656"/>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w:t>
      </w:r>
    </w:p>
    <w:p>
      <w:pPr>
        <w:spacing w:before="80" w:after="80"/>
        <w:jc w:val="center"/>
      </w:pPr>
      <w:r>
        <w:drawing>
          <wp:inline xmlns:a="http://schemas.openxmlformats.org/drawingml/2006/main" xmlns:pic="http://schemas.openxmlformats.org/drawingml/2006/picture">
            <wp:extent cx="4754880" cy="3674225"/>
            <wp:docPr id="13" name="Picture 13"/>
            <wp:cNvGraphicFramePr>
              <a:graphicFrameLocks noChangeAspect="1"/>
            </wp:cNvGraphicFramePr>
            <a:graphic>
              <a:graphicData uri="http://schemas.openxmlformats.org/drawingml/2006/picture">
                <pic:pic>
                  <pic:nvPicPr>
                    <pic:cNvPr id="0" name="fig_pca_clusters.png"/>
                    <pic:cNvPicPr/>
                  </pic:nvPicPr>
                  <pic:blipFill>
                    <a:blip r:embed="rId21"/>
                    <a:stretch>
                      <a:fillRect/>
                    </a:stretch>
                  </pic:blipFill>
                  <pic:spPr>
                    <a:xfrm>
                      <a:off x="0" y="0"/>
                      <a:ext cx="4754880" cy="3674225"/>
                    </a:xfrm>
                    <a:prstGeom prst="rect"/>
                  </pic:spPr>
                </pic:pic>
              </a:graphicData>
            </a:graphic>
          </wp:inline>
        </w:drawing>
      </w:r>
    </w:p>
    <w:p>
      <w:pPr>
        <w:spacing w:before="60" w:after="120"/>
        <w:jc w:val="center"/>
      </w:pPr>
      <w:r>
        <w:rPr>
          <w:rFonts w:ascii="Times New Roman" w:hAnsi="Times New Roman"/>
          <w:b/>
          <w:i/>
          <w:sz w:val="22"/>
        </w:rPr>
        <w:t>Fig. 5.3 2D Principal Component Analysis (PCA) cluster separation</w:t>
      </w:r>
    </w:p>
    <w:p>
      <w:pPr>
        <w:spacing w:before="80" w:after="80"/>
        <w:jc w:val="center"/>
      </w:pPr>
      <w:r>
        <w:drawing>
          <wp:inline xmlns:a="http://schemas.openxmlformats.org/drawingml/2006/main" xmlns:pic="http://schemas.openxmlformats.org/drawingml/2006/picture">
            <wp:extent cx="4754880" cy="1901952"/>
            <wp:docPr id="14" name="Picture 14"/>
            <wp:cNvGraphicFramePr>
              <a:graphicFrameLocks noChangeAspect="1"/>
            </wp:cNvGraphicFramePr>
            <a:graphic>
              <a:graphicData uri="http://schemas.openxmlformats.org/drawingml/2006/picture">
                <pic:pic>
                  <pic:nvPicPr>
                    <pic:cNvPr id="0" name="fig_pca_loadings.png"/>
                    <pic:cNvPicPr/>
                  </pic:nvPicPr>
                  <pic:blipFill>
                    <a:blip r:embed="rId22"/>
                    <a:stretch>
                      <a:fillRect/>
                    </a:stretch>
                  </pic:blipFill>
                  <pic:spPr>
                    <a:xfrm>
                      <a:off x="0" y="0"/>
                      <a:ext cx="4754880" cy="1901952"/>
                    </a:xfrm>
                    <a:prstGeom prst="rect"/>
                  </pic:spPr>
                </pic:pic>
              </a:graphicData>
            </a:graphic>
          </wp:inline>
        </w:drawing>
      </w:r>
    </w:p>
    <w:p>
      <w:pPr>
        <w:spacing w:before="60" w:after="120"/>
        <w:jc w:val="center"/>
      </w:pPr>
      <w:r>
        <w:rPr>
          <w:rFonts w:ascii="Times New Roman" w:hAnsi="Times New Roman"/>
          <w:b/>
          <w:i/>
          <w:sz w:val="22"/>
        </w:rPr>
        <w:t>Fig. 5.4 PCA feature loading vectors biplot</w:t>
      </w:r>
    </w:p>
    <w:p>
      <w:r>
        <w:br w:type="page"/>
      </w:r>
    </w:p>
    <w:p>
      <w:pPr>
        <w:spacing w:before="80" w:after="80"/>
        <w:jc w:val="center"/>
      </w:pPr>
      <w:r>
        <w:drawing>
          <wp:inline xmlns:a="http://schemas.openxmlformats.org/drawingml/2006/main" xmlns:pic="http://schemas.openxmlformats.org/drawingml/2006/picture">
            <wp:extent cx="4937760" cy="4232366"/>
            <wp:docPr id="15" name="Picture 15"/>
            <wp:cNvGraphicFramePr>
              <a:graphicFrameLocks noChangeAspect="1"/>
            </wp:cNvGraphicFramePr>
            <a:graphic>
              <a:graphicData uri="http://schemas.openxmlformats.org/drawingml/2006/picture">
                <pic:pic>
                  <pic:nvPicPr>
                    <pic:cNvPr id="0" name="fig_correlation_matrix.png"/>
                    <pic:cNvPicPr/>
                  </pic:nvPicPr>
                  <pic:blipFill>
                    <a:blip r:embed="rId23"/>
                    <a:stretch>
                      <a:fillRect/>
                    </a:stretch>
                  </pic:blipFill>
                  <pic:spPr>
                    <a:xfrm>
                      <a:off x="0" y="0"/>
                      <a:ext cx="4937760" cy="4232366"/>
                    </a:xfrm>
                    <a:prstGeom prst="rect"/>
                  </pic:spPr>
                </pic:pic>
              </a:graphicData>
            </a:graphic>
          </wp:inline>
        </w:drawing>
      </w:r>
    </w:p>
    <w:p>
      <w:pPr>
        <w:spacing w:before="60" w:after="120"/>
        <w:jc w:val="center"/>
      </w:pPr>
      <w:r>
        <w:rPr>
          <w:rFonts w:ascii="Times New Roman" w:hAnsi="Times New Roman"/>
          <w:b/>
          <w:i/>
          <w:sz w:val="22"/>
        </w:rPr>
        <w:t>Fig. 5.5 Pearson correlation heatmap matrix</w:t>
      </w:r>
    </w:p>
    <w:p>
      <w:pPr>
        <w:spacing w:before="0" w:after="100" w:line="276" w:lineRule="auto"/>
        <w:jc w:val="both"/>
      </w:pPr>
      <w:r>
        <w:rPr>
          <w:rFonts w:ascii="Times New Roman" w:hAnsi="Times New Roman"/>
          <w:b w:val="0"/>
          <w:i w:val="0"/>
          <w:color w:val="000000"/>
          <w:sz w:val="24"/>
        </w:rPr>
        <w:t>The Pearson correlation heatmap reveals that GLCM Energy and Entropy exhibit near-perfect negative collinearity (r = -0.94). Solidity demonstrates strong negative correlation with contour perimeter and aspect ratio, confirming its potency as a primary discriminator for molten droop defects.</w:t>
      </w:r>
    </w:p>
    <w:p>
      <w:r>
        <w:br w:type="page"/>
      </w:r>
    </w:p>
    <w:p>
      <w:pPr>
        <w:spacing w:before="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preliminary empirical baselines, the rotor specimens were analyzed in MATLAB Online. Figure 5.6 illustrates defective rotor image ingestion and row-wise mean computation (badrotorimagemean.m), yielding an overall image mean of 147.65.</w:t>
      </w:r>
    </w:p>
    <w:p>
      <w:pPr>
        <w:spacing w:before="80" w:after="80"/>
        <w:jc w:val="center"/>
      </w:pPr>
      <w:r>
        <w:drawing>
          <wp:inline xmlns:a="http://schemas.openxmlformats.org/drawingml/2006/main" xmlns:pic="http://schemas.openxmlformats.org/drawingml/2006/picture">
            <wp:extent cx="5029200" cy="2907506"/>
            <wp:docPr id="16" name="Picture 16"/>
            <wp:cNvGraphicFramePr>
              <a:graphicFrameLocks noChangeAspect="1"/>
            </wp:cNvGraphicFramePr>
            <a:graphic>
              <a:graphicData uri="http://schemas.openxmlformats.org/drawingml/2006/picture">
                <pic:pic>
                  <pic:nvPicPr>
                    <pic:cNvPr id="0" name="matlab_bad_rotor_mean.jpg"/>
                    <pic:cNvPicPr/>
                  </pic:nvPicPr>
                  <pic:blipFill>
                    <a:blip r:embed="rId24"/>
                    <a:stretch>
                      <a:fillRect/>
                    </a:stretch>
                  </pic:blipFill>
                  <pic:spPr>
                    <a:xfrm>
                      <a:off x="0" y="0"/>
                      <a:ext cx="5029200" cy="2907506"/>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80" w:after="80"/>
        <w:jc w:val="center"/>
      </w:pPr>
      <w:r>
        <w:drawing>
          <wp:inline xmlns:a="http://schemas.openxmlformats.org/drawingml/2006/main" xmlns:pic="http://schemas.openxmlformats.org/drawingml/2006/picture">
            <wp:extent cx="5029200" cy="2897684"/>
            <wp:docPr id="17" name="Picture 17"/>
            <wp:cNvGraphicFramePr>
              <a:graphicFrameLocks noChangeAspect="1"/>
            </wp:cNvGraphicFramePr>
            <a:graphic>
              <a:graphicData uri="http://schemas.openxmlformats.org/drawingml/2006/picture">
                <pic:pic>
                  <pic:nvPicPr>
                    <pic:cNvPr id="0" name="matlab_good_rotor_stats_rgb.jpg"/>
                    <pic:cNvPicPr/>
                  </pic:nvPicPr>
                  <pic:blipFill>
                    <a:blip r:embed="rId25"/>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in command window</w:t>
      </w:r>
    </w:p>
    <w:p>
      <w:r>
        <w:br w:type="page"/>
      </w:r>
    </w:p>
    <w:p>
      <w:pPr>
        <w:spacing w:before="80" w:after="80"/>
        <w:jc w:val="center"/>
      </w:pPr>
      <w:r>
        <w:drawing>
          <wp:inline xmlns:a="http://schemas.openxmlformats.org/drawingml/2006/main" xmlns:pic="http://schemas.openxmlformats.org/drawingml/2006/picture">
            <wp:extent cx="5029200" cy="2897684"/>
            <wp:docPr id="18" name="Picture 18"/>
            <wp:cNvGraphicFramePr>
              <a:graphicFrameLocks noChangeAspect="1"/>
            </wp:cNvGraphicFramePr>
            <a:graphic>
              <a:graphicData uri="http://schemas.openxmlformats.org/drawingml/2006/picture">
                <pic:pic>
                  <pic:nvPicPr>
                    <pic:cNvPr id="0" name="matlab_good_rotor_histogram.jpg"/>
                    <pic:cNvPicPr/>
                  </pic:nvPicPr>
                  <pic:blipFill>
                    <a:blip r:embed="rId26"/>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80" w:after="80"/>
        <w:jc w:val="center"/>
      </w:pPr>
      <w:r>
        <w:drawing>
          <wp:inline xmlns:a="http://schemas.openxmlformats.org/drawingml/2006/main" xmlns:pic="http://schemas.openxmlformats.org/drawingml/2006/picture">
            <wp:extent cx="5029200" cy="2892772"/>
            <wp:docPr id="19" name="Picture 19"/>
            <wp:cNvGraphicFramePr>
              <a:graphicFrameLocks noChangeAspect="1"/>
            </wp:cNvGraphicFramePr>
            <a:graphic>
              <a:graphicData uri="http://schemas.openxmlformats.org/drawingml/2006/picture">
                <pic:pic>
                  <pic:nvPicPr>
                    <pic:cNvPr id="0" name="matlab_good_row_mean.jpg"/>
                    <pic:cNvPicPr/>
                  </pic:nvPicPr>
                  <pic:blipFill>
                    <a:blip r:embed="rId27"/>
                    <a:stretch>
                      <a:fillRect/>
                    </a:stretch>
                  </pic:blipFill>
                  <pic:spPr>
                    <a:xfrm>
                      <a:off x="0" y="0"/>
                      <a:ext cx="5029200" cy="2892772"/>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r>
        <w:br w:type="page"/>
      </w:r>
    </w:p>
    <w:p>
      <w:pPr>
        <w:spacing w:before="80" w:after="80"/>
        <w:jc w:val="center"/>
      </w:pPr>
      <w:r>
        <w:drawing>
          <wp:inline xmlns:a="http://schemas.openxmlformats.org/drawingml/2006/main" xmlns:pic="http://schemas.openxmlformats.org/drawingml/2006/picture">
            <wp:extent cx="5029200" cy="2897684"/>
            <wp:docPr id="20" name="Picture 20"/>
            <wp:cNvGraphicFramePr>
              <a:graphicFrameLocks noChangeAspect="1"/>
            </wp:cNvGraphicFramePr>
            <a:graphic>
              <a:graphicData uri="http://schemas.openxmlformats.org/drawingml/2006/picture">
                <pic:pic>
                  <pic:nvPicPr>
                    <pic:cNvPr id="0" name="matlab_good_col_mean.jpg"/>
                    <pic:cNvPicPr/>
                  </pic:nvPicPr>
                  <pic:blipFill>
                    <a:blip r:embed="rId28"/>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80" w:after="80"/>
        <w:jc w:val="center"/>
      </w:pPr>
      <w:r>
        <w:drawing>
          <wp:inline xmlns:a="http://schemas.openxmlformats.org/drawingml/2006/main" xmlns:pic="http://schemas.openxmlformats.org/drawingml/2006/picture">
            <wp:extent cx="5029200" cy="2902595"/>
            <wp:docPr id="21" name="Picture 21"/>
            <wp:cNvGraphicFramePr>
              <a:graphicFrameLocks noChangeAspect="1"/>
            </wp:cNvGraphicFramePr>
            <a:graphic>
              <a:graphicData uri="http://schemas.openxmlformats.org/drawingml/2006/picture">
                <pic:pic>
                  <pic:nvPicPr>
                    <pic:cNvPr id="0" name="matlab_good_row_std.jpg"/>
                    <pic:cNvPicPr/>
                  </pic:nvPicPr>
                  <pic:blipFill>
                    <a:blip r:embed="rId29"/>
                    <a:stretch>
                      <a:fillRect/>
                    </a:stretch>
                  </pic:blipFill>
                  <pic:spPr>
                    <a:xfrm>
                      <a:off x="0" y="0"/>
                      <a:ext cx="5029200" cy="2902595"/>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r>
        <w:br w:type="page"/>
      </w:r>
    </w:p>
    <w:p>
      <w:pPr>
        <w:spacing w:before="80" w:after="80"/>
        <w:jc w:val="center"/>
      </w:pPr>
      <w:r>
        <w:drawing>
          <wp:inline xmlns:a="http://schemas.openxmlformats.org/drawingml/2006/main" xmlns:pic="http://schemas.openxmlformats.org/drawingml/2006/picture">
            <wp:extent cx="5029200" cy="2897684"/>
            <wp:docPr id="22" name="Picture 22"/>
            <wp:cNvGraphicFramePr>
              <a:graphicFrameLocks noChangeAspect="1"/>
            </wp:cNvGraphicFramePr>
            <a:graphic>
              <a:graphicData uri="http://schemas.openxmlformats.org/drawingml/2006/picture">
                <pic:pic>
                  <pic:nvPicPr>
                    <pic:cNvPr id="0" name="matlab_good_col_std.jpg"/>
                    <pic:cNvPicPr/>
                  </pic:nvPicPr>
                  <pic:blipFill>
                    <a:blip r:embed="rId30"/>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Physical Insights on Spatial Profiling:</w:t>
        <w:br/>
        <w:t>1. Mode Intensity Isolation: The fixture background produces a dominant peak at intensity 20 in the histogram, confirming that background subtraction can be performed reliably with thresholding.</w:t>
        <w:br/>
        <w:t>2. Active Seam Signature: The row-wise mean profile reveals that the active weld seam exhibits high luminance (140-160) across rows 350-750, whereas non-bead regions decay rapidly toward baseline values.</w:t>
        <w:br/>
        <w:t>3. Edge Sharpness Validation: The column standard deviation profile exhibits sharp spikes at the boundary of the weld crown, validating that gradient edge operators (Sobel) can accurately isolate the seam boundaries.</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Gini-split white-box classifier</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Ensemble of 100 bagging decision trees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74.1%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6"/>
        </w:rPr>
        <w:t>6.4 ANALYSIS OF FEATURE EXTRACTION AND PCA DIMENSIONALITY</w:t>
      </w:r>
    </w:p>
    <w:p>
      <w:pPr>
        <w:spacing w:before="0" w:after="100" w:line="276" w:lineRule="auto"/>
        <w:jc w:val="both"/>
      </w:pPr>
      <w:r>
        <w:rPr>
          <w:rFonts w:ascii="Times New Roman" w:hAnsi="Times New Roman"/>
          <w:b w:val="0"/>
          <w:i w:val="0"/>
          <w:color w:val="000000"/>
          <w:sz w:val="24"/>
        </w:rPr>
        <w:t>Principal Component Analysis demonstrates that the first two principal components capture 74.2% of total cumulative variance (PC1 = 52.6%, PC2 = 21.6%). In the 2D projection space, Good and Defective specimens form distinct, non-overlapping clusters.</w:t>
      </w:r>
    </w:p>
    <w:p>
      <w:pPr>
        <w:spacing w:before="120" w:after="80" w:line="276" w:lineRule="auto"/>
      </w:pPr>
      <w:r>
        <w:rPr>
          <w:rFonts w:ascii="Times New Roman" w:hAnsi="Times New Roman"/>
          <w:b/>
          <w:color w:val="000000"/>
          <w:sz w:val="26"/>
        </w:rPr>
        <w:t>6.5 ANALYSIS OF CLASSIFICATION OUTPUT AND MODEL BENCHMARKING</w:t>
      </w:r>
    </w:p>
    <w:p>
      <w:pPr>
        <w:spacing w:before="0" w:after="100" w:line="276" w:lineRule="auto"/>
        <w:jc w:val="both"/>
      </w:pPr>
      <w:r>
        <w:rPr>
          <w:rFonts w:ascii="Times New Roman" w:hAnsi="Times New Roman"/>
          <w:b w:val="0"/>
          <w:i w:val="0"/>
          <w:color w:val="000000"/>
          <w:sz w:val="24"/>
        </w:rPr>
        <w:t>The white-box Decision Tree achieves 80.2% accuracy with an inference latency of just 2.1 ms. Its initial split on Solidity (threshold = 0.842) cleanly isolates all severe molten droop anomalies.</w:t>
      </w:r>
    </w:p>
    <w:p>
      <w:pPr>
        <w:spacing w:before="80" w:after="80"/>
        <w:jc w:val="center"/>
      </w:pPr>
      <w:r>
        <w:drawing>
          <wp:inline xmlns:a="http://schemas.openxmlformats.org/drawingml/2006/main" xmlns:pic="http://schemas.openxmlformats.org/drawingml/2006/picture">
            <wp:extent cx="5303520" cy="2651760"/>
            <wp:docPr id="23" name="Picture 23"/>
            <wp:cNvGraphicFramePr>
              <a:graphicFrameLocks noChangeAspect="1"/>
            </wp:cNvGraphicFramePr>
            <a:graphic>
              <a:graphicData uri="http://schemas.openxmlformats.org/drawingml/2006/picture">
                <pic:pic>
                  <pic:nvPicPr>
                    <pic:cNvPr id="0" name="fig_decision_tree.png"/>
                    <pic:cNvPicPr/>
                  </pic:nvPicPr>
                  <pic:blipFill>
                    <a:blip r:embed="rId31"/>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4" name="Picture 24"/>
            <wp:cNvGraphicFramePr>
              <a:graphicFrameLocks noChangeAspect="1"/>
            </wp:cNvGraphicFramePr>
            <a:graphic>
              <a:graphicData uri="http://schemas.openxmlformats.org/drawingml/2006/picture">
                <pic:pic>
                  <pic:nvPicPr>
                    <pic:cNvPr id="0" name="fig_confusion_matrix.png"/>
                    <pic:cNvPicPr/>
                  </pic:nvPicPr>
                  <pic:blipFill>
                    <a:blip r:embed="rId32"/>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(100 Trees)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74.1%</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8.6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descriptors whose separability was confirmed through 2D PCA (74.2% variance explained).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jp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