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 showing descriptor contributions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Projecting feature spaces onto orthogonal eigenvectors using 2D Principal Component Analysis (PCA); (4) Computing PCA feature loading vectors to isolate governing defect descriptors;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Principal Component Analysis (PCA) and Feature Loadings</w:t>
      </w:r>
    </w:p>
    <w:p>
      <w:pPr>
        <w:spacing w:before="0" w:after="100" w:line="276" w:lineRule="auto"/>
        <w:jc w:val="both"/>
      </w:pPr>
      <w:r>
        <w:rPr>
          <w:rFonts w:ascii="Times New Roman" w:hAnsi="Times New Roman"/>
          <w:b w:val="0"/>
          <w:i w:val="0"/>
          <w:color w:val="000000"/>
          <w:sz w:val="24"/>
        </w:rPr>
        <w:t>To visualize multi-dimensional feature space separability without loss of variance, 2D Principal Component Analysis was performed across the 15 extracted descriptors. The first two principal components capture 71.1% of total cumulative variance (PC1 = 46.8%, PC2 = 24.3%).</w:t>
      </w:r>
    </w:p>
    <w:p>
      <w:pPr>
        <w:spacing w:before="80" w:after="80"/>
        <w:jc w:val="center"/>
      </w:pPr>
      <w:r>
        <w:drawing>
          <wp:inline xmlns:a="http://schemas.openxmlformats.org/drawingml/2006/main" xmlns:pic="http://schemas.openxmlformats.org/drawingml/2006/picture">
            <wp:extent cx="4937760" cy="3815542"/>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937760" cy="3815542"/>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 of rotor specimens</w:t>
      </w:r>
    </w:p>
    <w:p>
      <w:pPr>
        <w:spacing w:before="80" w:after="80"/>
        <w:jc w:val="center"/>
      </w:pPr>
      <w:r>
        <w:drawing>
          <wp:inline xmlns:a="http://schemas.openxmlformats.org/drawingml/2006/main" xmlns:pic="http://schemas.openxmlformats.org/drawingml/2006/picture">
            <wp:extent cx="4937760" cy="1975104"/>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937760" cy="1975104"/>
                    </a:xfrm>
                    <a:prstGeom prst="rect"/>
                  </pic:spPr>
                </pic:pic>
              </a:graphicData>
            </a:graphic>
          </wp:inline>
        </w:drawing>
      </w:r>
    </w:p>
    <w:p>
      <w:pPr>
        <w:spacing w:before="60" w:after="120"/>
        <w:jc w:val="center"/>
      </w:pPr>
      <w:r>
        <w:rPr>
          <w:rFonts w:ascii="Times New Roman" w:hAnsi="Times New Roman"/>
          <w:b/>
          <w:i/>
          <w:sz w:val="22"/>
        </w:rPr>
        <w:t>Fig. 5.4 PCA feature loading vectors biplot showing descriptor contributions</w:t>
      </w:r>
    </w:p>
    <w:p>
      <w:pPr>
        <w:spacing w:before="0" w:after="100" w:line="276" w:lineRule="auto"/>
        <w:jc w:val="both"/>
      </w:pPr>
      <w:r>
        <w:rPr>
          <w:rFonts w:ascii="Times New Roman" w:hAnsi="Times New Roman"/>
          <w:b w:val="0"/>
          <w:i w:val="0"/>
          <w:color w:val="000000"/>
          <w:sz w:val="24"/>
        </w:rPr>
        <w:t>As shown in Fig. 5.3, sound specimens form a dense, tightly clustered distribution in the lower quadrants, whereas defective specimens disperse widely along the positive PC1 and PC2 axes. The loading vectors biplot (Fig. 5.4) confirms that Solidity, Mean Intensity, and GLCM Energy exert the strongest orthogonal vectors, validating their deployment as primary splitting criteria.</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This section compares the 10 statistical values computed by the MATLAB scripts for a sound (normal) rotor versus a defective rotor with weld anomalies. Comparing these numbers proves mathematically how image processing detects physical defects such as excess molten droop, spatter, and surface irregularity.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DIAGNOSTIC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increases (+21.6%) due to shiny molten metal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across the entire specimen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variation increases by 39.7% due to bumpy, uneven weld metal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Brightness variance nearly doubles (+95.1%), reflecting severe roughness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Darkest background pixels stay consistent between both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metal crests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Wider contrast spread between darkest and brightest spots on defective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spatter dust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Tilts negative (-0.48), showing a heavy tail of bright specular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Jumps from 2.85 to 4.13 (sharp spike), proving localized defect blobs exist</w:t>
            </w:r>
          </w:p>
        </w:tc>
      </w:tr>
    </w:tbl>
    <w:p>
      <w:pPr>
        <w:spacing w:before="0" w:after="100" w:line="276" w:lineRule="auto"/>
        <w:jc w:val="both"/>
      </w:pPr>
      <w:r>
        <w:rPr>
          <w:rFonts w:ascii="Times New Roman" w:hAnsi="Times New Roman"/>
          <w:b w:val="0"/>
          <w:i w:val="0"/>
          <w:color w:val="000000"/>
          <w:sz w:val="24"/>
        </w:rPr>
        <w:t>Simple Summary of Key Physical Differences:</w:t>
        <w:br/>
        <w:t>• Defects Make the Surface Brighter (Mean 121 -&gt; 147): Irregular molten metal blobs reflect light like mirrors, raising the average brightness.</w:t>
        <w:br/>
        <w:t>• Defects Double the Surface Roughness (Variance 1779 -&gt; 3472): A healthy weld has smooth, even light, whereas a defective weld has wild jumps between shiny highlights and deep shadows.</w:t>
        <w:br/>
        <w:t>• Defects Create Sharp Statistical Spikes (Kurtosis 2.85 -&gt; 4.13): A sharp increase in kurtosis mathematically proves the presence of sudden defect bumps rather than a uniform surface.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