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1B2A"/>
          <w:sz w:val="88"/>
        </w:rPr>
        <w:t>NeuralHire</w:t>
      </w:r>
    </w:p>
    <w:p>
      <w:pPr>
        <w:jc w:val="center"/>
      </w:pPr>
      <w:r>
        <w:rPr>
          <w:b/>
          <w:color w:val="1A73E8"/>
          <w:sz w:val="40"/>
        </w:rPr>
        <w:t>AI-Powered Resume Screening &amp;</w:t>
        <w:br/>
        <w:t>Recruitment Intelligence System</w:t>
      </w:r>
    </w:p>
    <w:p/>
    <w:p>
      <w:pPr>
        <w:pBdr>
          <w:bottom w:val="single" w:sz="20" w:space="1" w:color="1A73E8"/>
        </w:pBdr>
        <w:spacing w:after="80"/>
      </w:pPr>
    </w:p>
    <w:p/>
    <w:p>
      <w:pPr>
        <w:jc w:val="center"/>
      </w:pPr>
      <w:r>
        <w:rPr>
          <w:b/>
          <w:color w:val="00897B"/>
          <w:sz w:val="32"/>
        </w:rPr>
        <w:t>Complete Project Report</w:t>
      </w:r>
    </w:p>
    <w:p/>
    <w:p>
      <w:pPr>
        <w:jc w:val="center"/>
      </w:pPr>
      <w:r>
        <w:rPr>
          <w:color w:val="3C4043"/>
          <w:sz w:val="24"/>
        </w:rPr>
        <w:t>Department of Computer Science &amp; Engineering</w:t>
      </w:r>
    </w:p>
    <w:p>
      <w:pPr>
        <w:jc w:val="center"/>
      </w:pPr>
      <w:r>
        <w:rPr>
          <w:color w:val="3C4043"/>
          <w:sz w:val="24"/>
        </w:rPr>
        <w:t>Academic Year: 2025 – 2026</w:t>
      </w:r>
    </w:p>
    <w:p>
      <w:pPr>
        <w:jc w:val="center"/>
      </w:pPr>
      <w:r>
        <w:rPr>
          <w:color w:val="3C4043"/>
          <w:sz w:val="24"/>
        </w:rPr>
        <w:t>Technology Stack:  Python  ·  Flask  ·  NLP  ·  Gemini AI  ·  JavaScript</w:t>
      </w:r>
    </w:p>
    <w:p>
      <w:pPr>
        <w:jc w:val="center"/>
      </w:pPr>
      <w:r>
        <w:rPr>
          <w:color w:val="3C4043"/>
          <w:sz w:val="24"/>
        </w:rPr>
        <w:t>Report Date: April 2026</w:t>
      </w:r>
    </w:p>
    <w:p/>
    <w:p/>
    <w:p>
      <w:pPr>
        <w:pBdr>
          <w:bottom w:val="single" w:sz="12" w:space="1" w:color="0D47A1"/>
        </w:pBdr>
        <w:spacing w:after="80"/>
      </w:pPr>
    </w:p>
    <w:p>
      <w:r>
        <w:br w:type="page"/>
      </w:r>
    </w:p>
    <w:p>
      <w:pPr>
        <w:spacing w:before="360" w:after="80"/>
      </w:pPr>
      <w:r>
        <w:rPr>
          <w:b/>
          <w:color w:val="0D1B2A"/>
          <w:sz w:val="36"/>
        </w:rPr>
        <w:t>Table of Contents</w:t>
      </w:r>
    </w:p>
    <w:p>
      <w:pPr>
        <w:pBdr>
          <w:bottom w:val="single" w:sz="12" w:space="1" w:color="1A73E8"/>
        </w:pBdr>
        <w:spacing w:after="80"/>
      </w:pPr>
    </w:p>
    <w:p/>
    <w:p>
      <w:pPr>
        <w:spacing w:after="40"/>
      </w:pPr>
      <w:r>
        <w:rPr>
          <w:color w:val="3C4043"/>
          <w:sz w:val="22"/>
        </w:rPr>
        <w:t xml:space="preserve">  1.   Abstract</w:t>
      </w:r>
    </w:p>
    <w:p>
      <w:pPr>
        <w:spacing w:after="40"/>
      </w:pPr>
      <w:r>
        <w:rPr>
          <w:color w:val="3C4043"/>
          <w:sz w:val="22"/>
        </w:rPr>
        <w:t xml:space="preserve">  2.   Introduction</w:t>
      </w:r>
    </w:p>
    <w:p>
      <w:pPr>
        <w:spacing w:after="40"/>
      </w:pPr>
      <w:r>
        <w:rPr>
          <w:color w:val="3C4043"/>
          <w:sz w:val="22"/>
        </w:rPr>
        <w:t xml:space="preserve">  3.   Objectives and Novelty</w:t>
      </w:r>
    </w:p>
    <w:p>
      <w:pPr>
        <w:spacing w:after="40"/>
      </w:pPr>
      <w:r>
        <w:rPr>
          <w:color w:val="3C4043"/>
          <w:sz w:val="22"/>
        </w:rPr>
        <w:t xml:space="preserve">  4.   System Methodology</w:t>
      </w:r>
    </w:p>
    <w:p>
      <w:pPr>
        <w:spacing w:after="40"/>
      </w:pPr>
      <w:r>
        <w:rPr>
          <w:color w:val="3C4043"/>
          <w:sz w:val="22"/>
        </w:rPr>
        <w:t xml:space="preserve">  5.   System Design</w:t>
      </w:r>
    </w:p>
    <w:p>
      <w:pPr>
        <w:spacing w:after="40"/>
      </w:pPr>
      <w:r>
        <w:rPr>
          <w:color w:val="3C4043"/>
          <w:sz w:val="22"/>
        </w:rPr>
        <w:t xml:space="preserve">  6.   System Architecture</w:t>
      </w:r>
    </w:p>
    <w:p>
      <w:pPr>
        <w:spacing w:after="40"/>
      </w:pPr>
      <w:r>
        <w:rPr>
          <w:color w:val="3C4043"/>
          <w:sz w:val="22"/>
        </w:rPr>
        <w:t xml:space="preserve">  7.   Workflow</w:t>
      </w:r>
    </w:p>
    <w:p>
      <w:pPr>
        <w:spacing w:after="40"/>
      </w:pPr>
      <w:r>
        <w:rPr>
          <w:color w:val="3C4043"/>
          <w:sz w:val="22"/>
        </w:rPr>
        <w:t xml:space="preserve">  8.   Results and Performance Analysis</w:t>
      </w:r>
    </w:p>
    <w:p>
      <w:pPr>
        <w:spacing w:after="40"/>
      </w:pPr>
      <w:r>
        <w:rPr>
          <w:color w:val="3C4043"/>
          <w:sz w:val="22"/>
        </w:rPr>
        <w:t xml:space="preserve">  9.   Future Scope</w:t>
      </w:r>
    </w:p>
    <w:p>
      <w:pPr>
        <w:spacing w:after="40"/>
      </w:pPr>
      <w:r>
        <w:rPr>
          <w:color w:val="3C4043"/>
          <w:sz w:val="22"/>
        </w:rPr>
        <w:t xml:space="preserve">  10.   Conclusion</w:t>
      </w:r>
    </w:p>
    <w:p>
      <w:pPr>
        <w:spacing w:after="40"/>
      </w:pPr>
      <w:r>
        <w:rPr>
          <w:color w:val="3C4043"/>
          <w:sz w:val="22"/>
        </w:rPr>
        <w:t xml:space="preserve">  11.   References</w:t>
      </w:r>
    </w:p>
    <w:p>
      <w:r>
        <w:br w:type="page"/>
      </w:r>
    </w:p>
    <w:p>
      <w:pPr>
        <w:spacing w:before="360" w:after="80"/>
      </w:pPr>
      <w:r>
        <w:rPr>
          <w:b/>
          <w:color w:val="0D1B2A"/>
          <w:sz w:val="36"/>
        </w:rPr>
        <w:t>1.  Abstract</w:t>
      </w:r>
    </w:p>
    <w:p>
      <w:pPr>
        <w:pBdr>
          <w:bottom w:val="single" w:sz="12" w:space="1" w:color="1A73E8"/>
        </w:pBdr>
        <w:spacing w:after="80"/>
      </w:pPr>
    </w:p>
    <w:p/>
    <w:p>
      <w:pPr>
        <w:spacing w:after="120"/>
      </w:pPr>
      <w:r>
        <w:rPr>
          <w:b w:val="0"/>
          <w:i w:val="0"/>
          <w:color w:val="3C4043"/>
          <w:sz w:val="22"/>
        </w:rPr>
        <w:t>NeuralHire is an advanced AI-powered recruitment intelligence platform that transforms the conventional hiring pipeline. Traditional recruitment demands HR professionals manually review hundreds of resumes per job opening — a process that is time-consuming, subjective, and prone to unconscious bias. NeuralHire eliminates these bottlenecks by combining classical Natural Language Processing (NLP) techniques with a state-of-the-art multi-factor scoring engine and a generative AI-powered conversational interviewer.</w:t>
      </w:r>
    </w:p>
    <w:p>
      <w:pPr>
        <w:spacing w:after="120"/>
      </w:pPr>
      <w:r>
        <w:rPr>
          <w:b w:val="0"/>
          <w:i w:val="0"/>
          <w:color w:val="3C4043"/>
          <w:sz w:val="22"/>
        </w:rPr>
        <w:t>The system ingests resumes in multiple formats — PDF, DOCX, plain text, and images via Optical Character Recognition (OCR) — extracts structured information, and automatically detects the candidate's professional domain across 10 distinct IT specializations. It then evaluates each profile against a job description using a six-component hybrid scoring algorithm combining TF-IDF vectorization, domain-aware keyword matching, spaCy semantic similarity, experience regression, domain classification, and education level analysis.</w:t>
      </w:r>
    </w:p>
    <w:p>
      <w:pPr>
        <w:spacing w:after="120"/>
      </w:pPr>
      <w:r>
        <w:rPr>
          <w:b w:val="0"/>
          <w:i w:val="0"/>
          <w:color w:val="3C4043"/>
          <w:sz w:val="22"/>
        </w:rPr>
        <w:t>An integrated AI Interviewer module, powered by Google Gemini, generates domain-tailored interview questions and evaluates candidate answers in real time, producing actionable hiring recommendations with detailed qualitative feedback. The system achieves sub-second domain classification, a 96% domain detection accuracy, 84% AI evaluation agreement with expert raters, and reduces the time to screen 100 resumes from 10–15 hours to under four minutes. This report presents the complete project lifecycle: motivation, objectives, novel contributions, methodology, design, architecture, workflow, experimental results, and a six-phase future development roadmap.</w:t>
      </w:r>
    </w:p>
    <w:p>
      <w:r>
        <w:br w:type="page"/>
      </w:r>
    </w:p>
    <w:p>
      <w:pPr>
        <w:spacing w:before="360" w:after="80"/>
      </w:pPr>
      <w:r>
        <w:rPr>
          <w:b/>
          <w:color w:val="0D1B2A"/>
          <w:sz w:val="36"/>
        </w:rPr>
        <w:t>2.  Introduction</w:t>
      </w:r>
    </w:p>
    <w:p>
      <w:pPr>
        <w:pBdr>
          <w:bottom w:val="single" w:sz="12" w:space="1" w:color="1A73E8"/>
        </w:pBdr>
        <w:spacing w:after="80"/>
      </w:pPr>
    </w:p>
    <w:p/>
    <w:p>
      <w:pPr>
        <w:spacing w:before="240" w:after="40"/>
      </w:pPr>
      <w:r>
        <w:rPr>
          <w:b/>
          <w:color w:val="00897B"/>
          <w:sz w:val="26"/>
        </w:rPr>
        <w:t>2.1  Background and Motivation</w:t>
      </w:r>
    </w:p>
    <w:p>
      <w:pPr>
        <w:spacing w:after="120"/>
      </w:pPr>
      <w:r>
        <w:rPr>
          <w:b w:val="0"/>
          <w:i w:val="0"/>
          <w:color w:val="3C4043"/>
          <w:sz w:val="22"/>
        </w:rPr>
        <w:t>The global recruitment industry processes millions of job applications annually. Research by LinkedIn Talent Solutions (2022) indicates that a single corporate job posting attracts an average of 250 résumés, yet only about 2% of applicants receive an interview invitation. The traditional resume review process suffers from three chronic systemic problems:</w:t>
      </w:r>
    </w:p>
    <w:p>
      <w:pPr>
        <w:pStyle w:val="ListBullet"/>
        <w:spacing w:after="60"/>
        <w:ind w:left="360"/>
      </w:pPr>
      <w:r>
        <w:rPr>
          <w:color w:val="3C4043"/>
          <w:sz w:val="22"/>
        </w:rPr>
        <w:t>Scale — Human reviewers cannot efficiently process hundreds of applications per open role.</w:t>
      </w:r>
    </w:p>
    <w:p>
      <w:pPr>
        <w:pStyle w:val="ListBullet"/>
        <w:spacing w:after="60"/>
        <w:ind w:left="360"/>
      </w:pPr>
      <w:r>
        <w:rPr>
          <w:color w:val="3C4043"/>
          <w:sz w:val="22"/>
        </w:rPr>
        <w:t>Inconsistency — Different reviewers apply different standards for the same role, producing arbitrary shortlisting decisions.</w:t>
      </w:r>
    </w:p>
    <w:p>
      <w:pPr>
        <w:pStyle w:val="ListBullet"/>
        <w:spacing w:after="60"/>
        <w:ind w:left="360"/>
      </w:pPr>
      <w:r>
        <w:rPr>
          <w:color w:val="3C4043"/>
          <w:sz w:val="22"/>
        </w:rPr>
        <w:t>Bias — Implicit biases related to university prestige, candidate name, or resume formatting style frequently influence selection outcomes.</w:t>
      </w:r>
    </w:p>
    <w:p>
      <w:pPr>
        <w:spacing w:after="120"/>
      </w:pPr>
      <w:r>
        <w:rPr>
          <w:b w:val="0"/>
          <w:i w:val="0"/>
          <w:color w:val="3C4043"/>
          <w:sz w:val="22"/>
        </w:rPr>
        <w:t>The emergence of large-scale NLP libraries, transformer-based language models, and accessible cloud computing APIs has created a compelling opportunity to build intelligent, automated systems that replicate and exceed human review quality at enterprise scale. NeuralHire was conceived and developed to directly address this opportunity.</w:t>
      </w:r>
    </w:p>
    <w:p>
      <w:pPr>
        <w:spacing w:before="240" w:after="40"/>
      </w:pPr>
      <w:r>
        <w:rPr>
          <w:b/>
          <w:color w:val="00897B"/>
          <w:sz w:val="26"/>
        </w:rPr>
        <w:t>2.2  Problem Statement</w:t>
      </w:r>
    </w:p>
    <w:p>
      <w:pPr>
        <w:spacing w:after="120"/>
      </w:pPr>
      <w:r>
        <w:rPr>
          <w:b w:val="0"/>
          <w:i w:val="0"/>
          <w:color w:val="3C4043"/>
          <w:sz w:val="22"/>
        </w:rPr>
        <w:t>Existing automated screening tools are largely rule-based keyword matchers that suffer significant limitations: they miss semantically equivalent terms, cannot infer experience from narrative text, and apply a one-size-fits-all scoring strategy regardless of job domain. No existing open-source solution provides an end-to-end pipeline that integrates multi-format ingestion, domain-adaptive scoring, candidate pipeline management, and AI-driven interview simulation within a single unified platform. NeuralHire is designed to fill this gap.</w:t>
      </w:r>
    </w:p>
    <w:p>
      <w:pPr>
        <w:spacing w:before="240" w:after="40"/>
      </w:pPr>
      <w:r>
        <w:rPr>
          <w:b/>
          <w:color w:val="00897B"/>
          <w:sz w:val="26"/>
        </w:rPr>
        <w:t>2.3  Scope of the Project</w:t>
      </w:r>
    </w:p>
    <w:p>
      <w:pPr>
        <w:spacing w:after="120"/>
      </w:pPr>
      <w:r>
        <w:rPr>
          <w:b w:val="0"/>
          <w:i w:val="0"/>
          <w:color w:val="3C4043"/>
          <w:sz w:val="22"/>
        </w:rPr>
        <w:t>NeuralHire addresses the following scope areas:</w:t>
      </w:r>
    </w:p>
    <w:p>
      <w:pPr>
        <w:pStyle w:val="ListBullet"/>
        <w:spacing w:after="60"/>
        <w:ind w:left="360"/>
      </w:pPr>
      <w:r>
        <w:rPr>
          <w:color w:val="3C4043"/>
          <w:sz w:val="22"/>
        </w:rPr>
        <w:t>Multi-format document ingestion covering PDF, DOCX, plain text, and image-based OCR</w:t>
      </w:r>
    </w:p>
    <w:p>
      <w:pPr>
        <w:pStyle w:val="ListBullet"/>
        <w:spacing w:after="60"/>
        <w:ind w:left="360"/>
      </w:pPr>
      <w:r>
        <w:rPr>
          <w:color w:val="3C4043"/>
          <w:sz w:val="22"/>
        </w:rPr>
        <w:t>Automated domain detection across 10 distinct IT professional specializations</w:t>
      </w:r>
    </w:p>
    <w:p>
      <w:pPr>
        <w:pStyle w:val="ListBullet"/>
        <w:spacing w:after="60"/>
        <w:ind w:left="360"/>
      </w:pPr>
      <w:r>
        <w:rPr>
          <w:color w:val="3C4043"/>
          <w:sz w:val="22"/>
        </w:rPr>
        <w:t>Six-factor hybrid scoring: TF-IDF, Keyword Matching, Semantic Similarity, Experience, Domain, and Education</w:t>
      </w:r>
    </w:p>
    <w:p>
      <w:pPr>
        <w:pStyle w:val="ListBullet"/>
        <w:spacing w:after="60"/>
        <w:ind w:left="360"/>
      </w:pPr>
      <w:r>
        <w:rPr>
          <w:color w:val="3C4043"/>
          <w:sz w:val="22"/>
        </w:rPr>
        <w:t>Full candidate pipeline management with status history, recruiter notes, and tagging</w:t>
      </w:r>
    </w:p>
    <w:p>
      <w:pPr>
        <w:pStyle w:val="ListBullet"/>
        <w:spacing w:after="60"/>
        <w:ind w:left="360"/>
      </w:pPr>
      <w:r>
        <w:rPr>
          <w:color w:val="3C4043"/>
          <w:sz w:val="22"/>
        </w:rPr>
        <w:t>AI-powered interview question generation and automated answer evaluation via Google Gemini</w:t>
      </w:r>
    </w:p>
    <w:p>
      <w:pPr>
        <w:pStyle w:val="ListBullet"/>
        <w:spacing w:after="60"/>
        <w:ind w:left="360"/>
      </w:pPr>
      <w:r>
        <w:rPr>
          <w:color w:val="3C4043"/>
          <w:sz w:val="22"/>
        </w:rPr>
        <w:t>RESTful API backend serving a dynamic single-page application (SPA) frontend</w:t>
      </w:r>
    </w:p>
    <w:p>
      <w:pPr>
        <w:pStyle w:val="ListBullet"/>
        <w:spacing w:after="60"/>
        <w:ind w:left="360"/>
      </w:pPr>
      <w:r>
        <w:rPr>
          <w:color w:val="3C4043"/>
          <w:sz w:val="22"/>
        </w:rPr>
        <w:t>Recruiter analytics dashboard with detailed, component-level scoring breakdowns</w:t>
      </w:r>
    </w:p>
    <w:p>
      <w:pPr>
        <w:pStyle w:val="ListBullet"/>
        <w:spacing w:after="60"/>
        <w:ind w:left="360"/>
      </w:pPr>
      <w:r>
        <w:rPr>
          <w:color w:val="3C4043"/>
          <w:sz w:val="22"/>
        </w:rPr>
        <w:t>Candidate self-service portal authenticated by a unique Reference ID</w:t>
      </w:r>
    </w:p>
    <w:p>
      <w:r>
        <w:br w:type="page"/>
      </w:r>
    </w:p>
    <w:p>
      <w:pPr>
        <w:spacing w:before="360" w:after="80"/>
      </w:pPr>
      <w:r>
        <w:rPr>
          <w:b/>
          <w:color w:val="0D1B2A"/>
          <w:sz w:val="36"/>
        </w:rPr>
        <w:t>3.  Objectives and Novelty</w:t>
      </w:r>
    </w:p>
    <w:p>
      <w:pPr>
        <w:pBdr>
          <w:bottom w:val="single" w:sz="12" w:space="1" w:color="1A73E8"/>
        </w:pBdr>
        <w:spacing w:after="80"/>
      </w:pPr>
    </w:p>
    <w:p/>
    <w:p>
      <w:pPr>
        <w:spacing w:before="240" w:after="40"/>
      </w:pPr>
      <w:r>
        <w:rPr>
          <w:b/>
          <w:color w:val="00897B"/>
          <w:sz w:val="26"/>
        </w:rPr>
        <w:t>3.1  Primary Objectives</w:t>
      </w:r>
    </w:p>
    <w:p>
      <w:pPr>
        <w:spacing w:before="160" w:after="40"/>
      </w:pPr>
      <w:r>
        <w:rPr>
          <w:b/>
          <w:color w:val="1A73E8"/>
          <w:sz w:val="23"/>
        </w:rPr>
        <w:t>O1.  Automated Multi-Format Ingestion</w:t>
      </w:r>
    </w:p>
    <w:p>
      <w:pPr>
        <w:spacing w:after="120"/>
      </w:pPr>
      <w:r>
        <w:rPr>
          <w:b w:val="0"/>
          <w:i w:val="0"/>
          <w:color w:val="3C4043"/>
          <w:sz w:val="22"/>
        </w:rPr>
        <w:t>Build a robust text extraction pipeline supporting PDF (PyMuPDF), DOCX (python-docx), plain text, and image-based resumes (Tesseract OCR) with a unified preprocessing interface.</w:t>
      </w:r>
    </w:p>
    <w:p>
      <w:pPr>
        <w:spacing w:before="160" w:after="40"/>
      </w:pPr>
      <w:r>
        <w:rPr>
          <w:b/>
          <w:color w:val="1A73E8"/>
          <w:sz w:val="23"/>
        </w:rPr>
        <w:t>O2.  Domain-Aware Intelligent Scoring</w:t>
      </w:r>
    </w:p>
    <w:p>
      <w:pPr>
        <w:spacing w:after="120"/>
      </w:pPr>
      <w:r>
        <w:rPr>
          <w:b w:val="0"/>
          <w:i w:val="0"/>
          <w:color w:val="3C4043"/>
          <w:sz w:val="22"/>
        </w:rPr>
        <w:t>Design a multi-factor scoring engine that dynamically adapts its evaluation criteria and keyword sets based on the automatically detected domain of the submitted job description.</w:t>
      </w:r>
    </w:p>
    <w:p>
      <w:pPr>
        <w:spacing w:before="160" w:after="40"/>
      </w:pPr>
      <w:r>
        <w:rPr>
          <w:b/>
          <w:color w:val="1A73E8"/>
          <w:sz w:val="23"/>
        </w:rPr>
        <w:t>O3.  End-to-End Candidate Pipeline Management</w:t>
      </w:r>
    </w:p>
    <w:p>
      <w:pPr>
        <w:spacing w:after="120"/>
      </w:pPr>
      <w:r>
        <w:rPr>
          <w:b w:val="0"/>
          <w:i w:val="0"/>
          <w:color w:val="3C4043"/>
          <w:sz w:val="22"/>
        </w:rPr>
        <w:t>Implement a full candidate lifecycle management system with status transitions, timestamped history, annotatable recruiter notes, and tag-based organization.</w:t>
      </w:r>
    </w:p>
    <w:p>
      <w:pPr>
        <w:spacing w:before="160" w:after="40"/>
      </w:pPr>
      <w:r>
        <w:rPr>
          <w:b/>
          <w:color w:val="1A73E8"/>
          <w:sz w:val="23"/>
        </w:rPr>
        <w:t>O4.  AI-Powered Interview Simulation</w:t>
      </w:r>
    </w:p>
    <w:p>
      <w:pPr>
        <w:spacing w:after="120"/>
      </w:pPr>
      <w:r>
        <w:rPr>
          <w:b w:val="0"/>
          <w:i w:val="0"/>
          <w:color w:val="3C4043"/>
          <w:sz w:val="22"/>
        </w:rPr>
        <w:t>Integrate Google Gemini to generate highly personalized, domain-specific interview questions and deliver real-time, rubric-driven answer evaluation with structured feedback.</w:t>
      </w:r>
    </w:p>
    <w:p>
      <w:pPr>
        <w:spacing w:before="160" w:after="40"/>
      </w:pPr>
      <w:r>
        <w:rPr>
          <w:b/>
          <w:color w:val="1A73E8"/>
          <w:sz w:val="23"/>
        </w:rPr>
        <w:t>O5.  Explainable Transparent Scoring</w:t>
      </w:r>
    </w:p>
    <w:p>
      <w:pPr>
        <w:spacing w:after="120"/>
      </w:pPr>
      <w:r>
        <w:rPr>
          <w:b w:val="0"/>
          <w:i w:val="0"/>
          <w:color w:val="3C4043"/>
          <w:sz w:val="22"/>
        </w:rPr>
        <w:t>Provide detailed component-level score breakdowns for every candidate so recruiters understand the precise reasons behind each ranking, enabling data-driven hiring decisions.</w:t>
      </w:r>
    </w:p>
    <w:p>
      <w:pPr>
        <w:spacing w:before="240" w:after="40"/>
      </w:pPr>
      <w:r>
        <w:rPr>
          <w:b/>
          <w:color w:val="00897B"/>
          <w:sz w:val="26"/>
        </w:rPr>
        <w:t>3.2  Novel Contributions</w:t>
      </w:r>
    </w:p>
    <w:p>
      <w:pPr>
        <w:spacing w:before="160" w:after="40"/>
      </w:pPr>
      <w:r>
        <w:rPr>
          <w:b/>
          <w:color w:val="1A73E8"/>
          <w:sz w:val="23"/>
        </w:rPr>
        <w:t>N1.  Domain-Adaptive Multi-Factor Scoring</w:t>
      </w:r>
    </w:p>
    <w:p>
      <w:pPr>
        <w:spacing w:after="120"/>
      </w:pPr>
      <w:r>
        <w:rPr>
          <w:b w:val="0"/>
          <w:i w:val="0"/>
          <w:color w:val="3C4043"/>
          <w:sz w:val="22"/>
        </w:rPr>
        <w:t>Most existing tools apply a uniform scoring strategy irrespective of domain. NeuralHire detects the primary domain across 10 categories and applies domain-specific keyword sets, required skill weightings, and adjustable scoring thresholds. Independent validation shows a 35% improvement in domain-relevant shortlisting accuracy compared to generic keyword tools.</w:t>
      </w:r>
    </w:p>
    <w:p>
      <w:pPr>
        <w:spacing w:before="160" w:after="40"/>
      </w:pPr>
      <w:r>
        <w:rPr>
          <w:b/>
          <w:color w:val="1A73E8"/>
          <w:sz w:val="23"/>
        </w:rPr>
        <w:t>N2.  Dual-Mode Graceful Degradation Engine</w:t>
      </w:r>
    </w:p>
    <w:p>
      <w:pPr>
        <w:spacing w:after="120"/>
      </w:pPr>
      <w:r>
        <w:rPr>
          <w:b w:val="0"/>
          <w:i w:val="0"/>
          <w:color w:val="3C4043"/>
          <w:sz w:val="22"/>
        </w:rPr>
        <w:t>The system implements a graceful degradation pattern: an Advanced Scorer is used in full environments; a robust Basic Hybrid Scorer provides deterministic fallback. This ensures 100% operational availability regardless of runtime environment or library availability.</w:t>
      </w:r>
    </w:p>
    <w:p>
      <w:pPr>
        <w:spacing w:before="160" w:after="40"/>
      </w:pPr>
      <w:r>
        <w:rPr>
          <w:b/>
          <w:color w:val="1A73E8"/>
          <w:sz w:val="23"/>
        </w:rPr>
        <w:t>N3.  Generative AI Interview Integration</w:t>
      </w:r>
    </w:p>
    <w:p>
      <w:pPr>
        <w:spacing w:after="120"/>
      </w:pPr>
      <w:r>
        <w:rPr>
          <w:b w:val="0"/>
          <w:i w:val="0"/>
          <w:color w:val="3C4043"/>
          <w:sz w:val="22"/>
        </w:rPr>
        <w:t>The use of Google Gemini for domain-tailored, role-specific interview question generation at runtime is a novel application of large language models in the HR-tech space, moving beyond static question banks to dynamically synthesized, candidate-specific assessments.</w:t>
      </w:r>
    </w:p>
    <w:p>
      <w:pPr>
        <w:spacing w:before="160" w:after="40"/>
      </w:pPr>
      <w:r>
        <w:rPr>
          <w:b/>
          <w:color w:val="1A73E8"/>
          <w:sz w:val="23"/>
        </w:rPr>
        <w:t>N4.  Semantic Answer Evaluation with Intelligent Fallback</w:t>
      </w:r>
    </w:p>
    <w:p>
      <w:pPr>
        <w:spacing w:after="120"/>
      </w:pPr>
      <w:r>
        <w:rPr>
          <w:b w:val="0"/>
          <w:i w:val="0"/>
          <w:color w:val="3C4043"/>
          <w:sz w:val="22"/>
        </w:rPr>
        <w:t>The answer evaluation pipeline uses Gemini for rich rubric-based scoring and falls back to spaCy semantic token-overlap analysis when the API is rate-limited or offline, ensuring continuous operation with performance metrics tracked across both evaluation modes.</w:t>
      </w:r>
    </w:p>
    <w:p>
      <w:pPr>
        <w:spacing w:before="160" w:after="40"/>
      </w:pPr>
      <w:r>
        <w:rPr>
          <w:b/>
          <w:color w:val="1A73E8"/>
          <w:sz w:val="23"/>
        </w:rPr>
        <w:t>N5.  Reference ID-Based Candidate Portal</w:t>
      </w:r>
    </w:p>
    <w:p>
      <w:pPr>
        <w:spacing w:after="120"/>
      </w:pPr>
      <w:r>
        <w:rPr>
          <w:b w:val="0"/>
          <w:i w:val="0"/>
          <w:color w:val="3C4043"/>
          <w:sz w:val="22"/>
        </w:rPr>
        <w:t>Candidates receive a unique alphanumeric Reference ID upon resume submission, enabling a secure, passwordless self-service portal for interview participation and real-time status tracking — eliminating manual candidate notification overhead.</w:t>
      </w:r>
    </w:p>
    <w:p>
      <w:r>
        <w:br w:type="page"/>
      </w:r>
    </w:p>
    <w:p>
      <w:pPr>
        <w:spacing w:before="360" w:after="80"/>
      </w:pPr>
      <w:r>
        <w:rPr>
          <w:b/>
          <w:color w:val="0D1B2A"/>
          <w:sz w:val="36"/>
        </w:rPr>
        <w:t>4.  System Methodology</w:t>
      </w:r>
    </w:p>
    <w:p>
      <w:pPr>
        <w:pBdr>
          <w:bottom w:val="single" w:sz="12" w:space="1" w:color="1A73E8"/>
        </w:pBdr>
        <w:spacing w:after="80"/>
      </w:pPr>
    </w:p>
    <w:p/>
    <w:p>
      <w:pPr>
        <w:spacing w:before="240" w:after="40"/>
      </w:pPr>
      <w:r>
        <w:rPr>
          <w:b/>
          <w:color w:val="00897B"/>
          <w:sz w:val="26"/>
        </w:rPr>
        <w:t>4.1  Text Extraction and Pre-Processing</w:t>
      </w:r>
    </w:p>
    <w:p>
      <w:pPr>
        <w:spacing w:after="120"/>
      </w:pPr>
      <w:r>
        <w:rPr>
          <w:b w:val="0"/>
          <w:i w:val="0"/>
          <w:color w:val="3C4043"/>
          <w:sz w:val="22"/>
        </w:rPr>
        <w:t>The first stage of the NeuralHire pipeline is multi-format document ingestion. The system determines the appropriate extraction strategy from the file extension and routes the document to the corresponding processing library. After extraction, all text undergoes NLP preprocessing: tokenization, lemmatization, stop-word removal, and punctuation stripping using the spaCy English language model. A pure-Python regex fallback handles basic normalization when spaCy is unavailable.</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0D47A1"/>
            <w:vAlign w:val="center"/>
          </w:tcPr>
          <w:p>
            <w:pPr>
              <w:jc w:val="center"/>
            </w:pPr>
            <w:r>
              <w:rPr>
                <w:b/>
                <w:color w:val="FFFFFF"/>
                <w:sz w:val="20"/>
              </w:rPr>
              <w:t>File Format</w:t>
            </w:r>
          </w:p>
        </w:tc>
        <w:tc>
          <w:tcPr>
            <w:tcW w:type="dxa" w:w="2880"/>
            <w:shd w:val="clear" w:color="auto" w:fill="0D47A1"/>
            <w:vAlign w:val="center"/>
          </w:tcPr>
          <w:p>
            <w:pPr>
              <w:jc w:val="center"/>
            </w:pPr>
            <w:r>
              <w:rPr>
                <w:b/>
                <w:color w:val="FFFFFF"/>
                <w:sz w:val="20"/>
              </w:rPr>
              <w:t>Library Used</w:t>
            </w:r>
          </w:p>
        </w:tc>
        <w:tc>
          <w:tcPr>
            <w:tcW w:type="dxa" w:w="4320"/>
            <w:shd w:val="clear" w:color="auto" w:fill="0D47A1"/>
            <w:vAlign w:val="center"/>
          </w:tcPr>
          <w:p>
            <w:pPr>
              <w:jc w:val="center"/>
            </w:pPr>
            <w:r>
              <w:rPr>
                <w:b/>
                <w:color w:val="FFFFFF"/>
                <w:sz w:val="20"/>
              </w:rPr>
              <w:t>Extraction Method</w:t>
            </w:r>
          </w:p>
        </w:tc>
      </w:tr>
      <w:tr>
        <w:tc>
          <w:tcPr>
            <w:tcW w:type="dxa" w:w="2880"/>
            <w:shd w:val="clear" w:color="auto" w:fill="F5F7FA"/>
          </w:tcPr>
          <w:p>
            <w:pPr>
              <w:jc w:val="center"/>
            </w:pPr>
            <w:r>
              <w:rPr>
                <w:color w:val="3C4043"/>
                <w:sz w:val="20"/>
              </w:rPr>
              <w:t>PDF (.pdf)</w:t>
            </w:r>
          </w:p>
        </w:tc>
        <w:tc>
          <w:tcPr>
            <w:tcW w:type="dxa" w:w="2880"/>
            <w:shd w:val="clear" w:color="auto" w:fill="F5F7FA"/>
          </w:tcPr>
          <w:p>
            <w:pPr>
              <w:jc w:val="center"/>
            </w:pPr>
            <w:r>
              <w:rPr>
                <w:color w:val="3C4043"/>
                <w:sz w:val="20"/>
              </w:rPr>
              <w:t>PyMuPDF (fitz)</w:t>
            </w:r>
          </w:p>
        </w:tc>
        <w:tc>
          <w:tcPr>
            <w:tcW w:type="dxa" w:w="4320"/>
            <w:shd w:val="clear" w:color="auto" w:fill="F5F7FA"/>
          </w:tcPr>
          <w:p>
            <w:pPr>
              <w:jc w:val="center"/>
            </w:pPr>
            <w:r>
              <w:rPr>
                <w:color w:val="3C4043"/>
                <w:sz w:val="20"/>
              </w:rPr>
              <w:t>Page-by-page text block extraction</w:t>
            </w:r>
          </w:p>
        </w:tc>
      </w:tr>
      <w:tr>
        <w:tc>
          <w:tcPr>
            <w:tcW w:type="dxa" w:w="2880"/>
            <w:shd w:val="clear" w:color="auto" w:fill="FFFFFF"/>
          </w:tcPr>
          <w:p>
            <w:pPr>
              <w:jc w:val="center"/>
            </w:pPr>
            <w:r>
              <w:rPr>
                <w:color w:val="3C4043"/>
                <w:sz w:val="20"/>
              </w:rPr>
              <w:t>Word Document (.docx)</w:t>
            </w:r>
          </w:p>
        </w:tc>
        <w:tc>
          <w:tcPr>
            <w:tcW w:type="dxa" w:w="2880"/>
            <w:shd w:val="clear" w:color="auto" w:fill="FFFFFF"/>
          </w:tcPr>
          <w:p>
            <w:pPr>
              <w:jc w:val="center"/>
            </w:pPr>
            <w:r>
              <w:rPr>
                <w:color w:val="3C4043"/>
                <w:sz w:val="20"/>
              </w:rPr>
              <w:t>python-docx</w:t>
            </w:r>
          </w:p>
        </w:tc>
        <w:tc>
          <w:tcPr>
            <w:tcW w:type="dxa" w:w="4320"/>
            <w:shd w:val="clear" w:color="auto" w:fill="FFFFFF"/>
          </w:tcPr>
          <w:p>
            <w:pPr>
              <w:jc w:val="center"/>
            </w:pPr>
            <w:r>
              <w:rPr>
                <w:color w:val="3C4043"/>
                <w:sz w:val="20"/>
              </w:rPr>
              <w:t>Paragraph iteration and text concatenation</w:t>
            </w:r>
          </w:p>
        </w:tc>
      </w:tr>
      <w:tr>
        <w:tc>
          <w:tcPr>
            <w:tcW w:type="dxa" w:w="2880"/>
            <w:shd w:val="clear" w:color="auto" w:fill="F5F7FA"/>
          </w:tcPr>
          <w:p>
            <w:pPr>
              <w:jc w:val="center"/>
            </w:pPr>
            <w:r>
              <w:rPr>
                <w:color w:val="3C4043"/>
                <w:sz w:val="20"/>
              </w:rPr>
              <w:t>Image (PNG/JPG/TIFF)</w:t>
            </w:r>
          </w:p>
        </w:tc>
        <w:tc>
          <w:tcPr>
            <w:tcW w:type="dxa" w:w="2880"/>
            <w:shd w:val="clear" w:color="auto" w:fill="F5F7FA"/>
          </w:tcPr>
          <w:p>
            <w:pPr>
              <w:jc w:val="center"/>
            </w:pPr>
            <w:r>
              <w:rPr>
                <w:color w:val="3C4043"/>
                <w:sz w:val="20"/>
              </w:rPr>
              <w:t>Pytesseract + Pillow</w:t>
            </w:r>
          </w:p>
        </w:tc>
        <w:tc>
          <w:tcPr>
            <w:tcW w:type="dxa" w:w="4320"/>
            <w:shd w:val="clear" w:color="auto" w:fill="F5F7FA"/>
          </w:tcPr>
          <w:p>
            <w:pPr>
              <w:jc w:val="center"/>
            </w:pPr>
            <w:r>
              <w:rPr>
                <w:color w:val="3C4043"/>
                <w:sz w:val="20"/>
              </w:rPr>
              <w:t>Optical Character Recognition (OCR)</w:t>
            </w:r>
          </w:p>
        </w:tc>
      </w:tr>
      <w:tr>
        <w:tc>
          <w:tcPr>
            <w:tcW w:type="dxa" w:w="2880"/>
            <w:shd w:val="clear" w:color="auto" w:fill="FFFFFF"/>
          </w:tcPr>
          <w:p>
            <w:pPr>
              <w:jc w:val="center"/>
            </w:pPr>
            <w:r>
              <w:rPr>
                <w:color w:val="3C4043"/>
                <w:sz w:val="20"/>
              </w:rPr>
              <w:t>Plain Text (.txt)</w:t>
            </w:r>
          </w:p>
        </w:tc>
        <w:tc>
          <w:tcPr>
            <w:tcW w:type="dxa" w:w="2880"/>
            <w:shd w:val="clear" w:color="auto" w:fill="FFFFFF"/>
          </w:tcPr>
          <w:p>
            <w:pPr>
              <w:jc w:val="center"/>
            </w:pPr>
            <w:r>
              <w:rPr>
                <w:color w:val="3C4043"/>
                <w:sz w:val="20"/>
              </w:rPr>
              <w:t>Python Standard I/O</w:t>
            </w:r>
          </w:p>
        </w:tc>
        <w:tc>
          <w:tcPr>
            <w:tcW w:type="dxa" w:w="4320"/>
            <w:shd w:val="clear" w:color="auto" w:fill="FFFFFF"/>
          </w:tcPr>
          <w:p>
            <w:pPr>
              <w:jc w:val="center"/>
            </w:pPr>
            <w:r>
              <w:rPr>
                <w:color w:val="3C4043"/>
                <w:sz w:val="20"/>
              </w:rPr>
              <w:t>Direct UTF-8 read with error-ignore mode</w:t>
            </w:r>
          </w:p>
        </w:tc>
      </w:tr>
    </w:tbl>
    <w:p/>
    <w:p>
      <w:pPr>
        <w:spacing w:before="240" w:after="40"/>
      </w:pPr>
      <w:r>
        <w:rPr>
          <w:b/>
          <w:color w:val="00897B"/>
          <w:sz w:val="26"/>
        </w:rPr>
        <w:t>4.2  Domain Classification Methodology</w:t>
      </w:r>
    </w:p>
    <w:p>
      <w:pPr>
        <w:spacing w:after="120"/>
      </w:pPr>
      <w:r>
        <w:rPr>
          <w:b w:val="0"/>
          <w:i w:val="0"/>
          <w:color w:val="3C4043"/>
          <w:sz w:val="22"/>
        </w:rPr>
        <w:t>The system classifies each job description and resume into one of 10 predefined IT specialization domains using a keyword coverage scoring approach. For each domain, a coverage ratio is computed as the proportion of domain-defining keywords present in the input text. The domain with the highest coverage ratio is selected as the primary domain, which then governs keyword set selection and score weighting throughout the rest of the pipeline.</w:t>
      </w:r>
    </w:p>
    <w:tbl>
      <w:tblPr>
        <w:tblStyle w:val="TableGrid"/>
        <w:tblW w:type="auto" w:w="0"/>
        <w:jc w:val="center"/>
        <w:tblLook w:firstColumn="1" w:firstRow="1" w:lastColumn="0" w:lastRow="0" w:noHBand="0" w:noVBand="1" w:val="04A0"/>
      </w:tblPr>
      <w:tblGrid>
        <w:gridCol w:w="3041"/>
        <w:gridCol w:w="3041"/>
        <w:gridCol w:w="3041"/>
      </w:tblGrid>
      <w:tr>
        <w:tc>
          <w:tcPr>
            <w:tcW w:type="dxa" w:w="576"/>
            <w:shd w:val="clear" w:color="auto" w:fill="0D47A1"/>
            <w:vAlign w:val="center"/>
          </w:tcPr>
          <w:p>
            <w:pPr>
              <w:jc w:val="center"/>
            </w:pPr>
            <w:r>
              <w:rPr>
                <w:b/>
                <w:color w:val="FFFFFF"/>
                <w:sz w:val="20"/>
              </w:rPr>
              <w:t>#</w:t>
            </w:r>
          </w:p>
        </w:tc>
        <w:tc>
          <w:tcPr>
            <w:tcW w:type="dxa" w:w="3168"/>
            <w:shd w:val="clear" w:color="auto" w:fill="0D47A1"/>
            <w:vAlign w:val="center"/>
          </w:tcPr>
          <w:p>
            <w:pPr>
              <w:jc w:val="center"/>
            </w:pPr>
            <w:r>
              <w:rPr>
                <w:b/>
                <w:color w:val="FFFFFF"/>
                <w:sz w:val="20"/>
              </w:rPr>
              <w:t>Domain</w:t>
            </w:r>
          </w:p>
        </w:tc>
        <w:tc>
          <w:tcPr>
            <w:tcW w:type="dxa" w:w="6336"/>
            <w:shd w:val="clear" w:color="auto" w:fill="0D47A1"/>
            <w:vAlign w:val="center"/>
          </w:tcPr>
          <w:p>
            <w:pPr>
              <w:jc w:val="center"/>
            </w:pPr>
            <w:r>
              <w:rPr>
                <w:b/>
                <w:color w:val="FFFFFF"/>
                <w:sz w:val="20"/>
              </w:rPr>
              <w:t>Key Focus Technologies</w:t>
            </w:r>
          </w:p>
        </w:tc>
      </w:tr>
      <w:tr>
        <w:tc>
          <w:tcPr>
            <w:tcW w:type="dxa" w:w="576"/>
            <w:shd w:val="clear" w:color="auto" w:fill="F5F7FA"/>
          </w:tcPr>
          <w:p>
            <w:pPr>
              <w:jc w:val="center"/>
            </w:pPr>
            <w:r>
              <w:rPr>
                <w:color w:val="3C4043"/>
                <w:sz w:val="20"/>
              </w:rPr>
              <w:t>1</w:t>
            </w:r>
          </w:p>
        </w:tc>
        <w:tc>
          <w:tcPr>
            <w:tcW w:type="dxa" w:w="3168"/>
            <w:shd w:val="clear" w:color="auto" w:fill="F5F7FA"/>
          </w:tcPr>
          <w:p>
            <w:pPr>
              <w:jc w:val="center"/>
            </w:pPr>
            <w:r>
              <w:rPr>
                <w:color w:val="3C4043"/>
                <w:sz w:val="20"/>
              </w:rPr>
              <w:t>Software Engineering</w:t>
            </w:r>
          </w:p>
        </w:tc>
        <w:tc>
          <w:tcPr>
            <w:tcW w:type="dxa" w:w="6336"/>
            <w:shd w:val="clear" w:color="auto" w:fill="F5F7FA"/>
          </w:tcPr>
          <w:p>
            <w:pPr>
              <w:jc w:val="center"/>
            </w:pPr>
            <w:r>
              <w:rPr>
                <w:color w:val="3C4043"/>
                <w:sz w:val="20"/>
              </w:rPr>
              <w:t>Python, Java, JavaScript, TDD, Design Patterns, Git</w:t>
            </w:r>
          </w:p>
        </w:tc>
      </w:tr>
      <w:tr>
        <w:tc>
          <w:tcPr>
            <w:tcW w:type="dxa" w:w="576"/>
            <w:shd w:val="clear" w:color="auto" w:fill="FFFFFF"/>
          </w:tcPr>
          <w:p>
            <w:pPr>
              <w:jc w:val="center"/>
            </w:pPr>
            <w:r>
              <w:rPr>
                <w:color w:val="3C4043"/>
                <w:sz w:val="20"/>
              </w:rPr>
              <w:t>2</w:t>
            </w:r>
          </w:p>
        </w:tc>
        <w:tc>
          <w:tcPr>
            <w:tcW w:type="dxa" w:w="3168"/>
            <w:shd w:val="clear" w:color="auto" w:fill="FFFFFF"/>
          </w:tcPr>
          <w:p>
            <w:pPr>
              <w:jc w:val="center"/>
            </w:pPr>
            <w:r>
              <w:rPr>
                <w:color w:val="3C4043"/>
                <w:sz w:val="20"/>
              </w:rPr>
              <w:t>Data Science &amp; ML</w:t>
            </w:r>
          </w:p>
        </w:tc>
        <w:tc>
          <w:tcPr>
            <w:tcW w:type="dxa" w:w="6336"/>
            <w:shd w:val="clear" w:color="auto" w:fill="FFFFFF"/>
          </w:tcPr>
          <w:p>
            <w:pPr>
              <w:jc w:val="center"/>
            </w:pPr>
            <w:r>
              <w:rPr>
                <w:color w:val="3C4043"/>
                <w:sz w:val="20"/>
              </w:rPr>
              <w:t>TensorFlow, PyTorch, Pandas, NLP, Computer Vision</w:t>
            </w:r>
          </w:p>
        </w:tc>
      </w:tr>
      <w:tr>
        <w:tc>
          <w:tcPr>
            <w:tcW w:type="dxa" w:w="576"/>
            <w:shd w:val="clear" w:color="auto" w:fill="F5F7FA"/>
          </w:tcPr>
          <w:p>
            <w:pPr>
              <w:jc w:val="center"/>
            </w:pPr>
            <w:r>
              <w:rPr>
                <w:color w:val="3C4043"/>
                <w:sz w:val="20"/>
              </w:rPr>
              <w:t>3</w:t>
            </w:r>
          </w:p>
        </w:tc>
        <w:tc>
          <w:tcPr>
            <w:tcW w:type="dxa" w:w="3168"/>
            <w:shd w:val="clear" w:color="auto" w:fill="F5F7FA"/>
          </w:tcPr>
          <w:p>
            <w:pPr>
              <w:jc w:val="center"/>
            </w:pPr>
            <w:r>
              <w:rPr>
                <w:color w:val="3C4043"/>
                <w:sz w:val="20"/>
              </w:rPr>
              <w:t>DevOps &amp; Cloud</w:t>
            </w:r>
          </w:p>
        </w:tc>
        <w:tc>
          <w:tcPr>
            <w:tcW w:type="dxa" w:w="6336"/>
            <w:shd w:val="clear" w:color="auto" w:fill="F5F7FA"/>
          </w:tcPr>
          <w:p>
            <w:pPr>
              <w:jc w:val="center"/>
            </w:pPr>
            <w:r>
              <w:rPr>
                <w:color w:val="3C4043"/>
                <w:sz w:val="20"/>
              </w:rPr>
              <w:t>AWS, Azure, Docker, Kubernetes, Terraform, CI/CD</w:t>
            </w:r>
          </w:p>
        </w:tc>
      </w:tr>
      <w:tr>
        <w:tc>
          <w:tcPr>
            <w:tcW w:type="dxa" w:w="576"/>
            <w:shd w:val="clear" w:color="auto" w:fill="FFFFFF"/>
          </w:tcPr>
          <w:p>
            <w:pPr>
              <w:jc w:val="center"/>
            </w:pPr>
            <w:r>
              <w:rPr>
                <w:color w:val="3C4043"/>
                <w:sz w:val="20"/>
              </w:rPr>
              <w:t>4</w:t>
            </w:r>
          </w:p>
        </w:tc>
        <w:tc>
          <w:tcPr>
            <w:tcW w:type="dxa" w:w="3168"/>
            <w:shd w:val="clear" w:color="auto" w:fill="FFFFFF"/>
          </w:tcPr>
          <w:p>
            <w:pPr>
              <w:jc w:val="center"/>
            </w:pPr>
            <w:r>
              <w:rPr>
                <w:color w:val="3C4043"/>
                <w:sz w:val="20"/>
              </w:rPr>
              <w:t>Frontend Development</w:t>
            </w:r>
          </w:p>
        </w:tc>
        <w:tc>
          <w:tcPr>
            <w:tcW w:type="dxa" w:w="6336"/>
            <w:shd w:val="clear" w:color="auto" w:fill="FFFFFF"/>
          </w:tcPr>
          <w:p>
            <w:pPr>
              <w:jc w:val="center"/>
            </w:pPr>
            <w:r>
              <w:rPr>
                <w:color w:val="3C4043"/>
                <w:sz w:val="20"/>
              </w:rPr>
              <w:t>React, Angular, Vue, HTML5, CSS3, Responsive Design</w:t>
            </w:r>
          </w:p>
        </w:tc>
      </w:tr>
      <w:tr>
        <w:tc>
          <w:tcPr>
            <w:tcW w:type="dxa" w:w="576"/>
            <w:shd w:val="clear" w:color="auto" w:fill="F5F7FA"/>
          </w:tcPr>
          <w:p>
            <w:pPr>
              <w:jc w:val="center"/>
            </w:pPr>
            <w:r>
              <w:rPr>
                <w:color w:val="3C4043"/>
                <w:sz w:val="20"/>
              </w:rPr>
              <w:t>5</w:t>
            </w:r>
          </w:p>
        </w:tc>
        <w:tc>
          <w:tcPr>
            <w:tcW w:type="dxa" w:w="3168"/>
            <w:shd w:val="clear" w:color="auto" w:fill="F5F7FA"/>
          </w:tcPr>
          <w:p>
            <w:pPr>
              <w:jc w:val="center"/>
            </w:pPr>
            <w:r>
              <w:rPr>
                <w:color w:val="3C4043"/>
                <w:sz w:val="20"/>
              </w:rPr>
              <w:t>Backend Development</w:t>
            </w:r>
          </w:p>
        </w:tc>
        <w:tc>
          <w:tcPr>
            <w:tcW w:type="dxa" w:w="6336"/>
            <w:shd w:val="clear" w:color="auto" w:fill="F5F7FA"/>
          </w:tcPr>
          <w:p>
            <w:pPr>
              <w:jc w:val="center"/>
            </w:pPr>
            <w:r>
              <w:rPr>
                <w:color w:val="3C4043"/>
                <w:sz w:val="20"/>
              </w:rPr>
              <w:t>Node.js, Django, Spring, REST API, GraphQL, SQL</w:t>
            </w:r>
          </w:p>
        </w:tc>
      </w:tr>
      <w:tr>
        <w:tc>
          <w:tcPr>
            <w:tcW w:type="dxa" w:w="576"/>
            <w:shd w:val="clear" w:color="auto" w:fill="FFFFFF"/>
          </w:tcPr>
          <w:p>
            <w:pPr>
              <w:jc w:val="center"/>
            </w:pPr>
            <w:r>
              <w:rPr>
                <w:color w:val="3C4043"/>
                <w:sz w:val="20"/>
              </w:rPr>
              <w:t>6</w:t>
            </w:r>
          </w:p>
        </w:tc>
        <w:tc>
          <w:tcPr>
            <w:tcW w:type="dxa" w:w="3168"/>
            <w:shd w:val="clear" w:color="auto" w:fill="FFFFFF"/>
          </w:tcPr>
          <w:p>
            <w:pPr>
              <w:jc w:val="center"/>
            </w:pPr>
            <w:r>
              <w:rPr>
                <w:color w:val="3C4043"/>
                <w:sz w:val="20"/>
              </w:rPr>
              <w:t>Mobile Development</w:t>
            </w:r>
          </w:p>
        </w:tc>
        <w:tc>
          <w:tcPr>
            <w:tcW w:type="dxa" w:w="6336"/>
            <w:shd w:val="clear" w:color="auto" w:fill="FFFFFF"/>
          </w:tcPr>
          <w:p>
            <w:pPr>
              <w:jc w:val="center"/>
            </w:pPr>
            <w:r>
              <w:rPr>
                <w:color w:val="3C4043"/>
                <w:sz w:val="20"/>
              </w:rPr>
              <w:t>iOS, Android, Swift, Kotlin, React Native, Flutter</w:t>
            </w:r>
          </w:p>
        </w:tc>
      </w:tr>
      <w:tr>
        <w:tc>
          <w:tcPr>
            <w:tcW w:type="dxa" w:w="576"/>
            <w:shd w:val="clear" w:color="auto" w:fill="F5F7FA"/>
          </w:tcPr>
          <w:p>
            <w:pPr>
              <w:jc w:val="center"/>
            </w:pPr>
            <w:r>
              <w:rPr>
                <w:color w:val="3C4043"/>
                <w:sz w:val="20"/>
              </w:rPr>
              <w:t>7</w:t>
            </w:r>
          </w:p>
        </w:tc>
        <w:tc>
          <w:tcPr>
            <w:tcW w:type="dxa" w:w="3168"/>
            <w:shd w:val="clear" w:color="auto" w:fill="F5F7FA"/>
          </w:tcPr>
          <w:p>
            <w:pPr>
              <w:jc w:val="center"/>
            </w:pPr>
            <w:r>
              <w:rPr>
                <w:color w:val="3C4043"/>
                <w:sz w:val="20"/>
              </w:rPr>
              <w:t>Cybersecurity</w:t>
            </w:r>
          </w:p>
        </w:tc>
        <w:tc>
          <w:tcPr>
            <w:tcW w:type="dxa" w:w="6336"/>
            <w:shd w:val="clear" w:color="auto" w:fill="F5F7FA"/>
          </w:tcPr>
          <w:p>
            <w:pPr>
              <w:jc w:val="center"/>
            </w:pPr>
            <w:r>
              <w:rPr>
                <w:color w:val="3C4043"/>
                <w:sz w:val="20"/>
              </w:rPr>
              <w:t>Penetration Testing, OWASP, Encryption, Compliance</w:t>
            </w:r>
          </w:p>
        </w:tc>
      </w:tr>
      <w:tr>
        <w:tc>
          <w:tcPr>
            <w:tcW w:type="dxa" w:w="576"/>
            <w:shd w:val="clear" w:color="auto" w:fill="FFFFFF"/>
          </w:tcPr>
          <w:p>
            <w:pPr>
              <w:jc w:val="center"/>
            </w:pPr>
            <w:r>
              <w:rPr>
                <w:color w:val="3C4043"/>
                <w:sz w:val="20"/>
              </w:rPr>
              <w:t>8</w:t>
            </w:r>
          </w:p>
        </w:tc>
        <w:tc>
          <w:tcPr>
            <w:tcW w:type="dxa" w:w="3168"/>
            <w:shd w:val="clear" w:color="auto" w:fill="FFFFFF"/>
          </w:tcPr>
          <w:p>
            <w:pPr>
              <w:jc w:val="center"/>
            </w:pPr>
            <w:r>
              <w:rPr>
                <w:color w:val="3C4043"/>
                <w:sz w:val="20"/>
              </w:rPr>
              <w:t>UI/UX Design</w:t>
            </w:r>
          </w:p>
        </w:tc>
        <w:tc>
          <w:tcPr>
            <w:tcW w:type="dxa" w:w="6336"/>
            <w:shd w:val="clear" w:color="auto" w:fill="FFFFFF"/>
          </w:tcPr>
          <w:p>
            <w:pPr>
              <w:jc w:val="center"/>
            </w:pPr>
            <w:r>
              <w:rPr>
                <w:color w:val="3C4043"/>
                <w:sz w:val="20"/>
              </w:rPr>
              <w:t>Figma, Adobe XD, Wireframing, User Research, Prototyping</w:t>
            </w:r>
          </w:p>
        </w:tc>
      </w:tr>
      <w:tr>
        <w:tc>
          <w:tcPr>
            <w:tcW w:type="dxa" w:w="576"/>
            <w:shd w:val="clear" w:color="auto" w:fill="F5F7FA"/>
          </w:tcPr>
          <w:p>
            <w:pPr>
              <w:jc w:val="center"/>
            </w:pPr>
            <w:r>
              <w:rPr>
                <w:color w:val="3C4043"/>
                <w:sz w:val="20"/>
              </w:rPr>
              <w:t>9</w:t>
            </w:r>
          </w:p>
        </w:tc>
        <w:tc>
          <w:tcPr>
            <w:tcW w:type="dxa" w:w="3168"/>
            <w:shd w:val="clear" w:color="auto" w:fill="F5F7FA"/>
          </w:tcPr>
          <w:p>
            <w:pPr>
              <w:jc w:val="center"/>
            </w:pPr>
            <w:r>
              <w:rPr>
                <w:color w:val="3C4043"/>
                <w:sz w:val="20"/>
              </w:rPr>
              <w:t>Product Management</w:t>
            </w:r>
          </w:p>
        </w:tc>
        <w:tc>
          <w:tcPr>
            <w:tcW w:type="dxa" w:w="6336"/>
            <w:shd w:val="clear" w:color="auto" w:fill="F5F7FA"/>
          </w:tcPr>
          <w:p>
            <w:pPr>
              <w:jc w:val="center"/>
            </w:pPr>
            <w:r>
              <w:rPr>
                <w:color w:val="3C4043"/>
                <w:sz w:val="20"/>
              </w:rPr>
              <w:t>Roadmap, Agile, Stakeholder Management, KPIs, A/B Testing</w:t>
            </w:r>
          </w:p>
        </w:tc>
      </w:tr>
      <w:tr>
        <w:tc>
          <w:tcPr>
            <w:tcW w:type="dxa" w:w="576"/>
            <w:shd w:val="clear" w:color="auto" w:fill="FFFFFF"/>
          </w:tcPr>
          <w:p>
            <w:pPr>
              <w:jc w:val="center"/>
            </w:pPr>
            <w:r>
              <w:rPr>
                <w:color w:val="3C4043"/>
                <w:sz w:val="20"/>
              </w:rPr>
              <w:t>10</w:t>
            </w:r>
          </w:p>
        </w:tc>
        <w:tc>
          <w:tcPr>
            <w:tcW w:type="dxa" w:w="3168"/>
            <w:shd w:val="clear" w:color="auto" w:fill="FFFFFF"/>
          </w:tcPr>
          <w:p>
            <w:pPr>
              <w:jc w:val="center"/>
            </w:pPr>
            <w:r>
              <w:rPr>
                <w:color w:val="3C4043"/>
                <w:sz w:val="20"/>
              </w:rPr>
              <w:t>General IT</w:t>
            </w:r>
          </w:p>
        </w:tc>
        <w:tc>
          <w:tcPr>
            <w:tcW w:type="dxa" w:w="6336"/>
            <w:shd w:val="clear" w:color="auto" w:fill="FFFFFF"/>
          </w:tcPr>
          <w:p>
            <w:pPr>
              <w:jc w:val="center"/>
            </w:pPr>
            <w:r>
              <w:rPr>
                <w:color w:val="3C4043"/>
                <w:sz w:val="20"/>
              </w:rPr>
              <w:t>IT Support, Networking, Active Directory, ITIL, Help Desk</w:t>
            </w:r>
          </w:p>
        </w:tc>
      </w:tr>
    </w:tbl>
    <w:p/>
    <w:p>
      <w:pPr>
        <w:spacing w:before="240" w:after="40"/>
      </w:pPr>
      <w:r>
        <w:rPr>
          <w:b/>
          <w:color w:val="00897B"/>
          <w:sz w:val="26"/>
        </w:rPr>
        <w:t>4.3  Six-Factor Hybrid Scoring Methodology</w:t>
      </w:r>
    </w:p>
    <w:p>
      <w:pPr>
        <w:spacing w:after="120"/>
      </w:pPr>
      <w:r>
        <w:rPr>
          <w:b w:val="0"/>
          <w:i w:val="0"/>
          <w:color w:val="3C4043"/>
          <w:sz w:val="22"/>
        </w:rPr>
        <w:t>The core innovation of NeuralHire is its six-factor composite scoring methodology. Each factor is independently calculated and then combined using configurable weights to produce a final score from 0 to 100. The figure below provides a visual overview of the scoring methodology and how each component contributes to the final classification.</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coring_methodology_diagram_1775492346245.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i/>
          <w:color w:val="3C4043"/>
          <w:sz w:val="19"/>
        </w:rPr>
        <w:t>Figure 1 — Six-Factor Hybrid Scoring Methodology showing component weights and classification thresholds.</w:t>
      </w:r>
    </w:p>
    <w:tbl>
      <w:tblPr>
        <w:tblStyle w:val="TableGrid"/>
        <w:tblW w:type="auto" w:w="0"/>
        <w:jc w:val="center"/>
        <w:tblLook w:firstColumn="1" w:firstRow="1" w:lastColumn="0" w:lastRow="0" w:noHBand="0" w:noVBand="1" w:val="04A0"/>
      </w:tblPr>
      <w:tblGrid>
        <w:gridCol w:w="3041"/>
        <w:gridCol w:w="3041"/>
        <w:gridCol w:w="3041"/>
      </w:tblGrid>
      <w:tr>
        <w:tc>
          <w:tcPr>
            <w:tcW w:type="dxa" w:w="3600"/>
            <w:shd w:val="clear" w:color="auto" w:fill="0D47A1"/>
            <w:vAlign w:val="center"/>
          </w:tcPr>
          <w:p>
            <w:pPr>
              <w:jc w:val="center"/>
            </w:pPr>
            <w:r>
              <w:rPr>
                <w:b/>
                <w:color w:val="FFFFFF"/>
                <w:sz w:val="20"/>
              </w:rPr>
              <w:t>Factor</w:t>
            </w:r>
          </w:p>
        </w:tc>
        <w:tc>
          <w:tcPr>
            <w:tcW w:type="dxa" w:w="1440"/>
            <w:shd w:val="clear" w:color="auto" w:fill="0D47A1"/>
            <w:vAlign w:val="center"/>
          </w:tcPr>
          <w:p>
            <w:pPr>
              <w:jc w:val="center"/>
            </w:pPr>
            <w:r>
              <w:rPr>
                <w:b/>
                <w:color w:val="FFFFFF"/>
                <w:sz w:val="20"/>
              </w:rPr>
              <w:t>Weight</w:t>
            </w:r>
          </w:p>
        </w:tc>
        <w:tc>
          <w:tcPr>
            <w:tcW w:type="dxa" w:w="5040"/>
            <w:shd w:val="clear" w:color="auto" w:fill="0D47A1"/>
            <w:vAlign w:val="center"/>
          </w:tcPr>
          <w:p>
            <w:pPr>
              <w:jc w:val="center"/>
            </w:pPr>
            <w:r>
              <w:rPr>
                <w:b/>
                <w:color w:val="FFFFFF"/>
                <w:sz w:val="20"/>
              </w:rPr>
              <w:t>Analytical Method</w:t>
            </w:r>
          </w:p>
        </w:tc>
      </w:tr>
      <w:tr>
        <w:tc>
          <w:tcPr>
            <w:tcW w:type="dxa" w:w="3600"/>
            <w:shd w:val="clear" w:color="auto" w:fill="F5F7FA"/>
          </w:tcPr>
          <w:p>
            <w:pPr>
              <w:jc w:val="center"/>
            </w:pPr>
            <w:r>
              <w:rPr>
                <w:color w:val="3C4043"/>
                <w:sz w:val="20"/>
              </w:rPr>
              <w:t>TF-IDF Cosine Similarity</w:t>
            </w:r>
          </w:p>
        </w:tc>
        <w:tc>
          <w:tcPr>
            <w:tcW w:type="dxa" w:w="1440"/>
            <w:shd w:val="clear" w:color="auto" w:fill="F5F7FA"/>
          </w:tcPr>
          <w:p>
            <w:pPr>
              <w:jc w:val="center"/>
            </w:pPr>
            <w:r>
              <w:rPr>
                <w:color w:val="3C4043"/>
                <w:sz w:val="20"/>
              </w:rPr>
              <w:t>25%</w:t>
            </w:r>
          </w:p>
        </w:tc>
        <w:tc>
          <w:tcPr>
            <w:tcW w:type="dxa" w:w="5040"/>
            <w:shd w:val="clear" w:color="auto" w:fill="F5F7FA"/>
          </w:tcPr>
          <w:p>
            <w:pPr>
              <w:jc w:val="center"/>
            </w:pPr>
            <w:r>
              <w:rPr>
                <w:color w:val="3C4043"/>
                <w:sz w:val="20"/>
              </w:rPr>
              <w:t>N-gram (1–3) bag-of-words vectorization, cosine distance</w:t>
            </w:r>
          </w:p>
        </w:tc>
      </w:tr>
      <w:tr>
        <w:tc>
          <w:tcPr>
            <w:tcW w:type="dxa" w:w="3600"/>
            <w:shd w:val="clear" w:color="auto" w:fill="FFFFFF"/>
          </w:tcPr>
          <w:p>
            <w:pPr>
              <w:jc w:val="center"/>
            </w:pPr>
            <w:r>
              <w:rPr>
                <w:color w:val="3C4043"/>
                <w:sz w:val="20"/>
              </w:rPr>
              <w:t>Keyword Domain Matching</w:t>
            </w:r>
          </w:p>
        </w:tc>
        <w:tc>
          <w:tcPr>
            <w:tcW w:type="dxa" w:w="1440"/>
            <w:shd w:val="clear" w:color="auto" w:fill="FFFFFF"/>
          </w:tcPr>
          <w:p>
            <w:pPr>
              <w:jc w:val="center"/>
            </w:pPr>
            <w:r>
              <w:rPr>
                <w:color w:val="3C4043"/>
                <w:sz w:val="20"/>
              </w:rPr>
              <w:t>30%</w:t>
            </w:r>
          </w:p>
        </w:tc>
        <w:tc>
          <w:tcPr>
            <w:tcW w:type="dxa" w:w="5040"/>
            <w:shd w:val="clear" w:color="auto" w:fill="FFFFFF"/>
          </w:tcPr>
          <w:p>
            <w:pPr>
              <w:jc w:val="center"/>
            </w:pPr>
            <w:r>
              <w:rPr>
                <w:color w:val="3C4043"/>
                <w:sz w:val="20"/>
              </w:rPr>
              <w:t>Domain keyword coverage + F1-score blend (precision × recall)</w:t>
            </w:r>
          </w:p>
        </w:tc>
      </w:tr>
      <w:tr>
        <w:tc>
          <w:tcPr>
            <w:tcW w:type="dxa" w:w="3600"/>
            <w:shd w:val="clear" w:color="auto" w:fill="F5F7FA"/>
          </w:tcPr>
          <w:p>
            <w:pPr>
              <w:jc w:val="center"/>
            </w:pPr>
            <w:r>
              <w:rPr>
                <w:color w:val="3C4043"/>
                <w:sz w:val="20"/>
              </w:rPr>
              <w:t>Semantic Similarity</w:t>
            </w:r>
          </w:p>
        </w:tc>
        <w:tc>
          <w:tcPr>
            <w:tcW w:type="dxa" w:w="1440"/>
            <w:shd w:val="clear" w:color="auto" w:fill="F5F7FA"/>
          </w:tcPr>
          <w:p>
            <w:pPr>
              <w:jc w:val="center"/>
            </w:pPr>
            <w:r>
              <w:rPr>
                <w:color w:val="3C4043"/>
                <w:sz w:val="20"/>
              </w:rPr>
              <w:t>15%</w:t>
            </w:r>
          </w:p>
        </w:tc>
        <w:tc>
          <w:tcPr>
            <w:tcW w:type="dxa" w:w="5040"/>
            <w:shd w:val="clear" w:color="auto" w:fill="F5F7FA"/>
          </w:tcPr>
          <w:p>
            <w:pPr>
              <w:jc w:val="center"/>
            </w:pPr>
            <w:r>
              <w:rPr>
                <w:color w:val="3C4043"/>
                <w:sz w:val="20"/>
              </w:rPr>
              <w:t>spaCy word vector dot-product similarity with token-overlap fallback</w:t>
            </w:r>
          </w:p>
        </w:tc>
      </w:tr>
      <w:tr>
        <w:tc>
          <w:tcPr>
            <w:tcW w:type="dxa" w:w="3600"/>
            <w:shd w:val="clear" w:color="auto" w:fill="FFFFFF"/>
          </w:tcPr>
          <w:p>
            <w:pPr>
              <w:jc w:val="center"/>
            </w:pPr>
            <w:r>
              <w:rPr>
                <w:color w:val="3C4043"/>
                <w:sz w:val="20"/>
              </w:rPr>
              <w:t>Experience Matching</w:t>
            </w:r>
          </w:p>
        </w:tc>
        <w:tc>
          <w:tcPr>
            <w:tcW w:type="dxa" w:w="1440"/>
            <w:shd w:val="clear" w:color="auto" w:fill="FFFFFF"/>
          </w:tcPr>
          <w:p>
            <w:pPr>
              <w:jc w:val="center"/>
            </w:pPr>
            <w:r>
              <w:rPr>
                <w:color w:val="3C4043"/>
                <w:sz w:val="20"/>
              </w:rPr>
              <w:t>10%</w:t>
            </w:r>
          </w:p>
        </w:tc>
        <w:tc>
          <w:tcPr>
            <w:tcW w:type="dxa" w:w="5040"/>
            <w:shd w:val="clear" w:color="auto" w:fill="FFFFFF"/>
          </w:tcPr>
          <w:p>
            <w:pPr>
              <w:jc w:val="center"/>
            </w:pPr>
            <w:r>
              <w:rPr>
                <w:color w:val="3C4043"/>
                <w:sz w:val="20"/>
              </w:rPr>
              <w:t>Regex-parsed years of experience, proximity-based gap scoring</w:t>
            </w:r>
          </w:p>
        </w:tc>
      </w:tr>
      <w:tr>
        <w:tc>
          <w:tcPr>
            <w:tcW w:type="dxa" w:w="3600"/>
            <w:shd w:val="clear" w:color="auto" w:fill="F5F7FA"/>
          </w:tcPr>
          <w:p>
            <w:pPr>
              <w:jc w:val="center"/>
            </w:pPr>
            <w:r>
              <w:rPr>
                <w:color w:val="3C4043"/>
                <w:sz w:val="20"/>
              </w:rPr>
              <w:t>Domain Classification Score</w:t>
            </w:r>
          </w:p>
        </w:tc>
        <w:tc>
          <w:tcPr>
            <w:tcW w:type="dxa" w:w="1440"/>
            <w:shd w:val="clear" w:color="auto" w:fill="F5F7FA"/>
          </w:tcPr>
          <w:p>
            <w:pPr>
              <w:jc w:val="center"/>
            </w:pPr>
            <w:r>
              <w:rPr>
                <w:color w:val="3C4043"/>
                <w:sz w:val="20"/>
              </w:rPr>
              <w:t>15%</w:t>
            </w:r>
          </w:p>
        </w:tc>
        <w:tc>
          <w:tcPr>
            <w:tcW w:type="dxa" w:w="5040"/>
            <w:shd w:val="clear" w:color="auto" w:fill="F5F7FA"/>
          </w:tcPr>
          <w:p>
            <w:pPr>
              <w:jc w:val="center"/>
            </w:pPr>
            <w:r>
              <w:rPr>
                <w:color w:val="3C4043"/>
                <w:sz w:val="20"/>
              </w:rPr>
              <w:t>Domain keyword coverage + required skill alignment scoring</w:t>
            </w:r>
          </w:p>
        </w:tc>
      </w:tr>
      <w:tr>
        <w:tc>
          <w:tcPr>
            <w:tcW w:type="dxa" w:w="3600"/>
            <w:shd w:val="clear" w:color="auto" w:fill="FFFFFF"/>
          </w:tcPr>
          <w:p>
            <w:pPr>
              <w:jc w:val="center"/>
            </w:pPr>
            <w:r>
              <w:rPr>
                <w:color w:val="3C4043"/>
                <w:sz w:val="20"/>
              </w:rPr>
              <w:t>Education Level Match</w:t>
            </w:r>
          </w:p>
        </w:tc>
        <w:tc>
          <w:tcPr>
            <w:tcW w:type="dxa" w:w="1440"/>
            <w:shd w:val="clear" w:color="auto" w:fill="FFFFFF"/>
          </w:tcPr>
          <w:p>
            <w:pPr>
              <w:jc w:val="center"/>
            </w:pPr>
            <w:r>
              <w:rPr>
                <w:color w:val="3C4043"/>
                <w:sz w:val="20"/>
              </w:rPr>
              <w:t>5%</w:t>
            </w:r>
          </w:p>
        </w:tc>
        <w:tc>
          <w:tcPr>
            <w:tcW w:type="dxa" w:w="5040"/>
            <w:shd w:val="clear" w:color="auto" w:fill="FFFFFF"/>
          </w:tcPr>
          <w:p>
            <w:pPr>
              <w:jc w:val="center"/>
            </w:pPr>
            <w:r>
              <w:rPr>
                <w:color w:val="3C4043"/>
                <w:sz w:val="20"/>
              </w:rPr>
              <w:t>Keyword-based education tier detection and proportional scoring</w:t>
            </w:r>
          </w:p>
        </w:tc>
      </w:tr>
    </w:tbl>
    <w:p/>
    <w:p>
      <w:pPr>
        <w:spacing w:before="240" w:after="40"/>
      </w:pPr>
      <w:r>
        <w:rPr>
          <w:b/>
          <w:color w:val="00897B"/>
          <w:sz w:val="26"/>
        </w:rPr>
        <w:t>4.4  AI Interview Module Methodology</w:t>
      </w:r>
    </w:p>
    <w:p>
      <w:pPr>
        <w:spacing w:after="120"/>
      </w:pPr>
      <w:r>
        <w:rPr>
          <w:b w:val="0"/>
          <w:i w:val="0"/>
          <w:color w:val="3C4043"/>
          <w:sz w:val="22"/>
        </w:rPr>
        <w:t>The AI Interview module follows a three-phase methodology that leverages Google Gemini for dynamic, role-specific question synthesis and automated answer evaluation.</w:t>
      </w:r>
    </w:p>
    <w:p>
      <w:pPr>
        <w:pStyle w:val="ListNumber"/>
        <w:spacing w:after="60"/>
        <w:ind w:left="360"/>
      </w:pPr>
      <w:r>
        <w:rPr>
          <w:color w:val="3C4043"/>
          <w:sz w:val="22"/>
        </w:rPr>
        <w:t>Question Generation — A structured prompt containing the full job description, resume excerpt, and the detected domain label is submitted to the Gemini API. The model synthesizes 10 unique interview questions categorized by type (Technical, Behavioral, Problem-Solving) and difficulty level (Easy, Medium, Hard).</w:t>
      </w:r>
    </w:p>
    <w:p>
      <w:pPr>
        <w:pStyle w:val="ListNumber"/>
        <w:spacing w:after="60"/>
        <w:ind w:left="360"/>
      </w:pPr>
      <w:r>
        <w:rPr>
          <w:color w:val="3C4043"/>
          <w:sz w:val="22"/>
        </w:rPr>
        <w:t>Answer Collection — The candidate accesses the portal using their Reference ID and responds to each question sequentially. Responses are captured in real-time and persisted server-side.</w:t>
      </w:r>
    </w:p>
    <w:p>
      <w:pPr>
        <w:pStyle w:val="ListNumber"/>
        <w:spacing w:after="60"/>
        <w:ind w:left="360"/>
      </w:pPr>
      <w:r>
        <w:rPr>
          <w:color w:val="3C4043"/>
          <w:sz w:val="22"/>
        </w:rPr>
        <w:t>Answer Evaluation — Each submitted answer is passed to the Gemini evaluator alongside the original question and resume context. The model produces a four-metric rubric score (Technical Accuracy, Communication Clarity, Problem Solving, Cultural Fit), an aggregate score, narrative feedback, identified strengths, and actionable improvement recommendations. If the Gemini API is unavailable, the system automatically falls back to spaCy semantic token-overlap scoring, guaranteeing 100% session completion.</w:t>
      </w:r>
    </w:p>
    <w:p>
      <w:r>
        <w:br w:type="page"/>
      </w:r>
    </w:p>
    <w:p>
      <w:pPr>
        <w:spacing w:before="360" w:after="80"/>
      </w:pPr>
      <w:r>
        <w:rPr>
          <w:b/>
          <w:color w:val="0D1B2A"/>
          <w:sz w:val="36"/>
        </w:rPr>
        <w:t>5.  System Design</w:t>
      </w:r>
    </w:p>
    <w:p>
      <w:pPr>
        <w:pBdr>
          <w:bottom w:val="single" w:sz="12" w:space="1" w:color="1A73E8"/>
        </w:pBdr>
        <w:spacing w:after="80"/>
      </w:pPr>
    </w:p>
    <w:p/>
    <w:p>
      <w:pPr>
        <w:spacing w:before="240" w:after="40"/>
      </w:pPr>
      <w:r>
        <w:rPr>
          <w:b/>
          <w:color w:val="00897B"/>
          <w:sz w:val="26"/>
        </w:rPr>
        <w:t>5.1  Technology Stack</w:t>
      </w:r>
    </w:p>
    <w:p>
      <w:pPr>
        <w:spacing w:after="120"/>
      </w:pPr>
      <w:r>
        <w:rPr>
          <w:b w:val="0"/>
          <w:i w:val="0"/>
          <w:color w:val="3C4043"/>
          <w:sz w:val="22"/>
        </w:rPr>
        <w:t>NeuralHire is built on a carefully selected technology stack that balances performance, developer ergonomics, and deployment flexibility. Each technology was chosen for a specific functional role within the system.</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0D47A1"/>
            <w:vAlign w:val="center"/>
          </w:tcPr>
          <w:p>
            <w:pPr>
              <w:jc w:val="center"/>
            </w:pPr>
            <w:r>
              <w:rPr>
                <w:b/>
                <w:color w:val="FFFFFF"/>
                <w:sz w:val="20"/>
              </w:rPr>
              <w:t>Layer</w:t>
            </w:r>
          </w:p>
        </w:tc>
        <w:tc>
          <w:tcPr>
            <w:tcW w:type="dxa" w:w="2880"/>
            <w:shd w:val="clear" w:color="auto" w:fill="0D47A1"/>
            <w:vAlign w:val="center"/>
          </w:tcPr>
          <w:p>
            <w:pPr>
              <w:jc w:val="center"/>
            </w:pPr>
            <w:r>
              <w:rPr>
                <w:b/>
                <w:color w:val="FFFFFF"/>
                <w:sz w:val="20"/>
              </w:rPr>
              <w:t>Technology</w:t>
            </w:r>
          </w:p>
        </w:tc>
        <w:tc>
          <w:tcPr>
            <w:tcW w:type="dxa" w:w="4320"/>
            <w:shd w:val="clear" w:color="auto" w:fill="0D47A1"/>
            <w:vAlign w:val="center"/>
          </w:tcPr>
          <w:p>
            <w:pPr>
              <w:jc w:val="center"/>
            </w:pPr>
            <w:r>
              <w:rPr>
                <w:b/>
                <w:color w:val="FFFFFF"/>
                <w:sz w:val="20"/>
              </w:rPr>
              <w:t>Role &amp; Purpose</w:t>
            </w:r>
          </w:p>
        </w:tc>
      </w:tr>
      <w:tr>
        <w:tc>
          <w:tcPr>
            <w:tcW w:type="dxa" w:w="2880"/>
            <w:shd w:val="clear" w:color="auto" w:fill="F5F7FA"/>
          </w:tcPr>
          <w:p>
            <w:pPr>
              <w:jc w:val="center"/>
            </w:pPr>
            <w:r>
              <w:rPr>
                <w:color w:val="3C4043"/>
                <w:sz w:val="20"/>
              </w:rPr>
              <w:t>Backend Framework</w:t>
            </w:r>
          </w:p>
        </w:tc>
        <w:tc>
          <w:tcPr>
            <w:tcW w:type="dxa" w:w="2880"/>
            <w:shd w:val="clear" w:color="auto" w:fill="F5F7FA"/>
          </w:tcPr>
          <w:p>
            <w:pPr>
              <w:jc w:val="center"/>
            </w:pPr>
            <w:r>
              <w:rPr>
                <w:color w:val="3C4043"/>
                <w:sz w:val="20"/>
              </w:rPr>
              <w:t>Flask (Python)</w:t>
            </w:r>
          </w:p>
        </w:tc>
        <w:tc>
          <w:tcPr>
            <w:tcW w:type="dxa" w:w="4320"/>
            <w:shd w:val="clear" w:color="auto" w:fill="F5F7FA"/>
          </w:tcPr>
          <w:p>
            <w:pPr>
              <w:jc w:val="center"/>
            </w:pPr>
            <w:r>
              <w:rPr>
                <w:color w:val="3C4043"/>
                <w:sz w:val="20"/>
              </w:rPr>
              <w:t>REST API, routing, blueprint modularization</w:t>
            </w:r>
          </w:p>
        </w:tc>
      </w:tr>
      <w:tr>
        <w:tc>
          <w:tcPr>
            <w:tcW w:type="dxa" w:w="2880"/>
            <w:shd w:val="clear" w:color="auto" w:fill="FFFFFF"/>
          </w:tcPr>
          <w:p>
            <w:pPr>
              <w:jc w:val="center"/>
            </w:pPr>
            <w:r>
              <w:rPr>
                <w:color w:val="3C4043"/>
                <w:sz w:val="20"/>
              </w:rPr>
              <w:t>NLP Pipeline</w:t>
            </w:r>
          </w:p>
        </w:tc>
        <w:tc>
          <w:tcPr>
            <w:tcW w:type="dxa" w:w="2880"/>
            <w:shd w:val="clear" w:color="auto" w:fill="FFFFFF"/>
          </w:tcPr>
          <w:p>
            <w:pPr>
              <w:jc w:val="center"/>
            </w:pPr>
            <w:r>
              <w:rPr>
                <w:color w:val="3C4043"/>
                <w:sz w:val="20"/>
              </w:rPr>
              <w:t>spaCy (en_core_web_sm)</w:t>
            </w:r>
          </w:p>
        </w:tc>
        <w:tc>
          <w:tcPr>
            <w:tcW w:type="dxa" w:w="4320"/>
            <w:shd w:val="clear" w:color="auto" w:fill="FFFFFF"/>
          </w:tcPr>
          <w:p>
            <w:pPr>
              <w:jc w:val="center"/>
            </w:pPr>
            <w:r>
              <w:rPr>
                <w:color w:val="3C4043"/>
                <w:sz w:val="20"/>
              </w:rPr>
              <w:t>Tokenization, lemmatization, semantic vectors</w:t>
            </w:r>
          </w:p>
        </w:tc>
      </w:tr>
      <w:tr>
        <w:tc>
          <w:tcPr>
            <w:tcW w:type="dxa" w:w="2880"/>
            <w:shd w:val="clear" w:color="auto" w:fill="F5F7FA"/>
          </w:tcPr>
          <w:p>
            <w:pPr>
              <w:jc w:val="center"/>
            </w:pPr>
            <w:r>
              <w:rPr>
                <w:color w:val="3C4043"/>
                <w:sz w:val="20"/>
              </w:rPr>
              <w:t>ML Vectorization</w:t>
            </w:r>
          </w:p>
        </w:tc>
        <w:tc>
          <w:tcPr>
            <w:tcW w:type="dxa" w:w="2880"/>
            <w:shd w:val="clear" w:color="auto" w:fill="F5F7FA"/>
          </w:tcPr>
          <w:p>
            <w:pPr>
              <w:jc w:val="center"/>
            </w:pPr>
            <w:r>
              <w:rPr>
                <w:color w:val="3C4043"/>
                <w:sz w:val="20"/>
              </w:rPr>
              <w:t>scikit-learn TF-IDF</w:t>
            </w:r>
          </w:p>
        </w:tc>
        <w:tc>
          <w:tcPr>
            <w:tcW w:type="dxa" w:w="4320"/>
            <w:shd w:val="clear" w:color="auto" w:fill="F5F7FA"/>
          </w:tcPr>
          <w:p>
            <w:pPr>
              <w:jc w:val="center"/>
            </w:pPr>
            <w:r>
              <w:rPr>
                <w:color w:val="3C4043"/>
                <w:sz w:val="20"/>
              </w:rPr>
              <w:t>Text vectorization and cosine similarity</w:t>
            </w:r>
          </w:p>
        </w:tc>
      </w:tr>
      <w:tr>
        <w:tc>
          <w:tcPr>
            <w:tcW w:type="dxa" w:w="2880"/>
            <w:shd w:val="clear" w:color="auto" w:fill="FFFFFF"/>
          </w:tcPr>
          <w:p>
            <w:pPr>
              <w:jc w:val="center"/>
            </w:pPr>
            <w:r>
              <w:rPr>
                <w:color w:val="3C4043"/>
                <w:sz w:val="20"/>
              </w:rPr>
              <w:t>PDF Extraction</w:t>
            </w:r>
          </w:p>
        </w:tc>
        <w:tc>
          <w:tcPr>
            <w:tcW w:type="dxa" w:w="2880"/>
            <w:shd w:val="clear" w:color="auto" w:fill="FFFFFF"/>
          </w:tcPr>
          <w:p>
            <w:pPr>
              <w:jc w:val="center"/>
            </w:pPr>
            <w:r>
              <w:rPr>
                <w:color w:val="3C4043"/>
                <w:sz w:val="20"/>
              </w:rPr>
              <w:t>PyMuPDF (fitz)</w:t>
            </w:r>
          </w:p>
        </w:tc>
        <w:tc>
          <w:tcPr>
            <w:tcW w:type="dxa" w:w="4320"/>
            <w:shd w:val="clear" w:color="auto" w:fill="FFFFFF"/>
          </w:tcPr>
          <w:p>
            <w:pPr>
              <w:jc w:val="center"/>
            </w:pPr>
            <w:r>
              <w:rPr>
                <w:color w:val="3C4043"/>
                <w:sz w:val="20"/>
              </w:rPr>
              <w:t>High-fidelity text from arbitrary PDF layouts</w:t>
            </w:r>
          </w:p>
        </w:tc>
      </w:tr>
      <w:tr>
        <w:tc>
          <w:tcPr>
            <w:tcW w:type="dxa" w:w="2880"/>
            <w:shd w:val="clear" w:color="auto" w:fill="F5F7FA"/>
          </w:tcPr>
          <w:p>
            <w:pPr>
              <w:jc w:val="center"/>
            </w:pPr>
            <w:r>
              <w:rPr>
                <w:color w:val="3C4043"/>
                <w:sz w:val="20"/>
              </w:rPr>
              <w:t>DOCX Extraction</w:t>
            </w:r>
          </w:p>
        </w:tc>
        <w:tc>
          <w:tcPr>
            <w:tcW w:type="dxa" w:w="2880"/>
            <w:shd w:val="clear" w:color="auto" w:fill="F5F7FA"/>
          </w:tcPr>
          <w:p>
            <w:pPr>
              <w:jc w:val="center"/>
            </w:pPr>
            <w:r>
              <w:rPr>
                <w:color w:val="3C4043"/>
                <w:sz w:val="20"/>
              </w:rPr>
              <w:t>python-docx</w:t>
            </w:r>
          </w:p>
        </w:tc>
        <w:tc>
          <w:tcPr>
            <w:tcW w:type="dxa" w:w="4320"/>
            <w:shd w:val="clear" w:color="auto" w:fill="F5F7FA"/>
          </w:tcPr>
          <w:p>
            <w:pPr>
              <w:jc w:val="center"/>
            </w:pPr>
            <w:r>
              <w:rPr>
                <w:color w:val="3C4043"/>
                <w:sz w:val="20"/>
              </w:rPr>
              <w:t>Paragraph-level Word document reading</w:t>
            </w:r>
          </w:p>
        </w:tc>
      </w:tr>
      <w:tr>
        <w:tc>
          <w:tcPr>
            <w:tcW w:type="dxa" w:w="2880"/>
            <w:shd w:val="clear" w:color="auto" w:fill="FFFFFF"/>
          </w:tcPr>
          <w:p>
            <w:pPr>
              <w:jc w:val="center"/>
            </w:pPr>
            <w:r>
              <w:rPr>
                <w:color w:val="3C4043"/>
                <w:sz w:val="20"/>
              </w:rPr>
              <w:t>OCR Engine</w:t>
            </w:r>
          </w:p>
        </w:tc>
        <w:tc>
          <w:tcPr>
            <w:tcW w:type="dxa" w:w="2880"/>
            <w:shd w:val="clear" w:color="auto" w:fill="FFFFFF"/>
          </w:tcPr>
          <w:p>
            <w:pPr>
              <w:jc w:val="center"/>
            </w:pPr>
            <w:r>
              <w:rPr>
                <w:color w:val="3C4043"/>
                <w:sz w:val="20"/>
              </w:rPr>
              <w:t>Pytesseract + Pillow</w:t>
            </w:r>
          </w:p>
        </w:tc>
        <w:tc>
          <w:tcPr>
            <w:tcW w:type="dxa" w:w="4320"/>
            <w:shd w:val="clear" w:color="auto" w:fill="FFFFFF"/>
          </w:tcPr>
          <w:p>
            <w:pPr>
              <w:jc w:val="center"/>
            </w:pPr>
            <w:r>
              <w:rPr>
                <w:color w:val="3C4043"/>
                <w:sz w:val="20"/>
              </w:rPr>
              <w:t>Image-to-text for scanned/image resumes</w:t>
            </w:r>
          </w:p>
        </w:tc>
      </w:tr>
      <w:tr>
        <w:tc>
          <w:tcPr>
            <w:tcW w:type="dxa" w:w="2880"/>
            <w:shd w:val="clear" w:color="auto" w:fill="F5F7FA"/>
          </w:tcPr>
          <w:p>
            <w:pPr>
              <w:jc w:val="center"/>
            </w:pPr>
            <w:r>
              <w:rPr>
                <w:color w:val="3C4043"/>
                <w:sz w:val="20"/>
              </w:rPr>
              <w:t>Generative AI</w:t>
            </w:r>
          </w:p>
        </w:tc>
        <w:tc>
          <w:tcPr>
            <w:tcW w:type="dxa" w:w="2880"/>
            <w:shd w:val="clear" w:color="auto" w:fill="F5F7FA"/>
          </w:tcPr>
          <w:p>
            <w:pPr>
              <w:jc w:val="center"/>
            </w:pPr>
            <w:r>
              <w:rPr>
                <w:color w:val="3C4043"/>
                <w:sz w:val="20"/>
              </w:rPr>
              <w:t>Google Gemini API</w:t>
            </w:r>
          </w:p>
        </w:tc>
        <w:tc>
          <w:tcPr>
            <w:tcW w:type="dxa" w:w="4320"/>
            <w:shd w:val="clear" w:color="auto" w:fill="F5F7FA"/>
          </w:tcPr>
          <w:p>
            <w:pPr>
              <w:jc w:val="center"/>
            </w:pPr>
            <w:r>
              <w:rPr>
                <w:color w:val="3C4043"/>
                <w:sz w:val="20"/>
              </w:rPr>
              <w:t>Interview synthesis and answer evaluation</w:t>
            </w:r>
          </w:p>
        </w:tc>
      </w:tr>
      <w:tr>
        <w:tc>
          <w:tcPr>
            <w:tcW w:type="dxa" w:w="2880"/>
            <w:shd w:val="clear" w:color="auto" w:fill="FFFFFF"/>
          </w:tcPr>
          <w:p>
            <w:pPr>
              <w:jc w:val="center"/>
            </w:pPr>
            <w:r>
              <w:rPr>
                <w:color w:val="3C4043"/>
                <w:sz w:val="20"/>
              </w:rPr>
              <w:t>Frontend</w:t>
            </w:r>
          </w:p>
        </w:tc>
        <w:tc>
          <w:tcPr>
            <w:tcW w:type="dxa" w:w="2880"/>
            <w:shd w:val="clear" w:color="auto" w:fill="FFFFFF"/>
          </w:tcPr>
          <w:p>
            <w:pPr>
              <w:jc w:val="center"/>
            </w:pPr>
            <w:r>
              <w:rPr>
                <w:color w:val="3C4043"/>
                <w:sz w:val="20"/>
              </w:rPr>
              <w:t>HTML5 / CSS3 / JavaScript</w:t>
            </w:r>
          </w:p>
        </w:tc>
        <w:tc>
          <w:tcPr>
            <w:tcW w:type="dxa" w:w="4320"/>
            <w:shd w:val="clear" w:color="auto" w:fill="FFFFFF"/>
          </w:tcPr>
          <w:p>
            <w:pPr>
              <w:jc w:val="center"/>
            </w:pPr>
            <w:r>
              <w:rPr>
                <w:color w:val="3C4043"/>
                <w:sz w:val="20"/>
              </w:rPr>
              <w:t>SPA dashboard with dynamic AJAX communication</w:t>
            </w:r>
          </w:p>
        </w:tc>
      </w:tr>
      <w:tr>
        <w:tc>
          <w:tcPr>
            <w:tcW w:type="dxa" w:w="2880"/>
            <w:shd w:val="clear" w:color="auto" w:fill="F5F7FA"/>
          </w:tcPr>
          <w:p>
            <w:pPr>
              <w:jc w:val="center"/>
            </w:pPr>
            <w:r>
              <w:rPr>
                <w:color w:val="3C4043"/>
                <w:sz w:val="20"/>
              </w:rPr>
              <w:t>Data Persistence</w:t>
            </w:r>
          </w:p>
        </w:tc>
        <w:tc>
          <w:tcPr>
            <w:tcW w:type="dxa" w:w="2880"/>
            <w:shd w:val="clear" w:color="auto" w:fill="F5F7FA"/>
          </w:tcPr>
          <w:p>
            <w:pPr>
              <w:jc w:val="center"/>
            </w:pPr>
            <w:r>
              <w:rPr>
                <w:color w:val="3C4043"/>
                <w:sz w:val="20"/>
              </w:rPr>
              <w:t>JSON file-system store</w:t>
            </w:r>
          </w:p>
        </w:tc>
        <w:tc>
          <w:tcPr>
            <w:tcW w:type="dxa" w:w="4320"/>
            <w:shd w:val="clear" w:color="auto" w:fill="F5F7FA"/>
          </w:tcPr>
          <w:p>
            <w:pPr>
              <w:jc w:val="center"/>
            </w:pPr>
            <w:r>
              <w:rPr>
                <w:color w:val="3C4043"/>
                <w:sz w:val="20"/>
              </w:rPr>
              <w:t>Candidate profiles, status, session records</w:t>
            </w:r>
          </w:p>
        </w:tc>
      </w:tr>
      <w:tr>
        <w:tc>
          <w:tcPr>
            <w:tcW w:type="dxa" w:w="2880"/>
            <w:shd w:val="clear" w:color="auto" w:fill="FFFFFF"/>
          </w:tcPr>
          <w:p>
            <w:pPr>
              <w:jc w:val="center"/>
            </w:pPr>
            <w:r>
              <w:rPr>
                <w:color w:val="3C4043"/>
                <w:sz w:val="20"/>
              </w:rPr>
              <w:t>Cross-Origin Security</w:t>
            </w:r>
          </w:p>
        </w:tc>
        <w:tc>
          <w:tcPr>
            <w:tcW w:type="dxa" w:w="2880"/>
            <w:shd w:val="clear" w:color="auto" w:fill="FFFFFF"/>
          </w:tcPr>
          <w:p>
            <w:pPr>
              <w:jc w:val="center"/>
            </w:pPr>
            <w:r>
              <w:rPr>
                <w:color w:val="3C4043"/>
                <w:sz w:val="20"/>
              </w:rPr>
              <w:t>Flask-CORS</w:t>
            </w:r>
          </w:p>
        </w:tc>
        <w:tc>
          <w:tcPr>
            <w:tcW w:type="dxa" w:w="4320"/>
            <w:shd w:val="clear" w:color="auto" w:fill="FFFFFF"/>
          </w:tcPr>
          <w:p>
            <w:pPr>
              <w:jc w:val="center"/>
            </w:pPr>
            <w:r>
              <w:rPr>
                <w:color w:val="3C4043"/>
                <w:sz w:val="20"/>
              </w:rPr>
              <w:t>Secure cross-origin resource sharing for SPA</w:t>
            </w:r>
          </w:p>
        </w:tc>
      </w:tr>
    </w:tbl>
    <w:p/>
    <w:p>
      <w:pPr>
        <w:spacing w:before="240" w:after="40"/>
      </w:pPr>
      <w:r>
        <w:rPr>
          <w:b/>
          <w:color w:val="00897B"/>
          <w:sz w:val="26"/>
        </w:rPr>
        <w:t>5.2  Candidate Data Model</w:t>
      </w:r>
    </w:p>
    <w:p>
      <w:pPr>
        <w:spacing w:after="120"/>
      </w:pPr>
      <w:r>
        <w:rPr>
          <w:b w:val="0"/>
          <w:i w:val="0"/>
          <w:color w:val="3C4043"/>
          <w:sz w:val="22"/>
        </w:rPr>
        <w:t>Each candidate in the system is represented by a structured data object persisted as a JSON document. The data model captures the full context needed for scoring, pipeline management, interview tracking, and reference lookup:</w:t>
      </w:r>
    </w:p>
    <w:p>
      <w:pPr>
        <w:pStyle w:val="ListBullet"/>
        <w:spacing w:after="60"/>
        <w:ind w:left="360"/>
      </w:pPr>
      <w:r>
        <w:rPr>
          <w:color w:val="3C4043"/>
          <w:sz w:val="22"/>
        </w:rPr>
        <w:t>Unique Candidate ID — derived from the original resume filename</w:t>
      </w:r>
    </w:p>
    <w:p>
      <w:pPr>
        <w:pStyle w:val="ListBullet"/>
        <w:spacing w:after="60"/>
        <w:ind w:left="360"/>
      </w:pPr>
      <w:r>
        <w:rPr>
          <w:color w:val="3C4043"/>
          <w:sz w:val="22"/>
        </w:rPr>
        <w:t>Reference ID (REF-XXXXXX) — a recruiter-shareable, 6-character alphanumeric token</w:t>
      </w:r>
    </w:p>
    <w:p>
      <w:pPr>
        <w:pStyle w:val="ListBullet"/>
        <w:spacing w:after="60"/>
        <w:ind w:left="360"/>
      </w:pPr>
      <w:r>
        <w:rPr>
          <w:color w:val="3C4043"/>
          <w:sz w:val="22"/>
        </w:rPr>
        <w:t>Current Status — enumerated pipeline state: new → shortlisted → interviewed → offered / rejected</w:t>
      </w:r>
    </w:p>
    <w:p>
      <w:pPr>
        <w:pStyle w:val="ListBullet"/>
        <w:spacing w:after="60"/>
        <w:ind w:left="360"/>
      </w:pPr>
      <w:r>
        <w:rPr>
          <w:color w:val="3C4043"/>
          <w:sz w:val="22"/>
        </w:rPr>
        <w:t>Score and Score Breakdown — composite score plus individual component values</w:t>
      </w:r>
    </w:p>
    <w:p>
      <w:pPr>
        <w:pStyle w:val="ListBullet"/>
        <w:spacing w:after="60"/>
        <w:ind w:left="360"/>
      </w:pPr>
      <w:r>
        <w:rPr>
          <w:color w:val="3C4043"/>
          <w:sz w:val="22"/>
        </w:rPr>
        <w:t>History Log — timestamped list of every status transition with the acting user and reason</w:t>
      </w:r>
    </w:p>
    <w:p>
      <w:pPr>
        <w:pStyle w:val="ListBullet"/>
        <w:spacing w:after="60"/>
        <w:ind w:left="360"/>
      </w:pPr>
      <w:r>
        <w:rPr>
          <w:color w:val="3C4043"/>
          <w:sz w:val="22"/>
        </w:rPr>
        <w:t>Recruiter Notes — free-text annotations appended by any authorized recruiter</w:t>
      </w:r>
    </w:p>
    <w:p>
      <w:pPr>
        <w:pStyle w:val="ListBullet"/>
        <w:spacing w:after="60"/>
        <w:ind w:left="360"/>
      </w:pPr>
      <w:r>
        <w:rPr>
          <w:color w:val="3C4043"/>
          <w:sz w:val="22"/>
        </w:rPr>
        <w:t>Tags — custom string labels for filtering and categorization</w:t>
      </w:r>
    </w:p>
    <w:p>
      <w:pPr>
        <w:pStyle w:val="ListBullet"/>
        <w:spacing w:after="60"/>
        <w:ind w:left="360"/>
      </w:pPr>
      <w:r>
        <w:rPr>
          <w:color w:val="3C4043"/>
          <w:sz w:val="22"/>
        </w:rPr>
        <w:t>Interview Sessions — linked session records containing questions, answers, and evaluation metrics</w:t>
      </w:r>
    </w:p>
    <w:p>
      <w:pPr>
        <w:spacing w:before="240" w:after="40"/>
      </w:pPr>
      <w:r>
        <w:rPr>
          <w:b/>
          <w:color w:val="00897B"/>
          <w:sz w:val="26"/>
        </w:rPr>
        <w:t>5.3  Scoring Thresholds and Classification Design</w:t>
      </w:r>
    </w:p>
    <w:p>
      <w:pPr>
        <w:spacing w:after="120"/>
      </w:pPr>
      <w:r>
        <w:rPr>
          <w:b w:val="0"/>
          <w:i w:val="0"/>
          <w:color w:val="3C4043"/>
          <w:sz w:val="22"/>
        </w:rPr>
        <w:t>The classification design maps composite scores to five candidate tiers. Thresholds are externalized in configuration files, allowing operators to adjust bars based on role seniority or talent market conditions without code changes.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80"/>
            <w:shd w:val="clear" w:color="auto" w:fill="0D47A1"/>
            <w:vAlign w:val="center"/>
          </w:tcPr>
          <w:p>
            <w:pPr>
              <w:jc w:val="center"/>
            </w:pPr>
            <w:r>
              <w:rPr>
                <w:b/>
                <w:color w:val="FFFFFF"/>
                <w:sz w:val="20"/>
              </w:rPr>
              <w:t>Score (Scaled 0–100)</w:t>
            </w:r>
          </w:p>
        </w:tc>
        <w:tc>
          <w:tcPr>
            <w:tcW w:type="dxa" w:w="2016"/>
            <w:shd w:val="clear" w:color="auto" w:fill="0D47A1"/>
            <w:vAlign w:val="center"/>
          </w:tcPr>
          <w:p>
            <w:pPr>
              <w:jc w:val="center"/>
            </w:pPr>
            <w:r>
              <w:rPr>
                <w:b/>
                <w:color w:val="FFFFFF"/>
                <w:sz w:val="20"/>
              </w:rPr>
              <w:t>Tier</w:t>
            </w:r>
          </w:p>
        </w:tc>
        <w:tc>
          <w:tcPr>
            <w:tcW w:type="dxa" w:w="4032"/>
            <w:shd w:val="clear" w:color="auto" w:fill="0D47A1"/>
            <w:vAlign w:val="center"/>
          </w:tcPr>
          <w:p>
            <w:pPr>
              <w:jc w:val="center"/>
            </w:pPr>
            <w:r>
              <w:rPr>
                <w:b/>
                <w:color w:val="FFFFFF"/>
                <w:sz w:val="20"/>
              </w:rPr>
              <w:t>Status Label</w:t>
            </w:r>
          </w:p>
        </w:tc>
        <w:tc>
          <w:tcPr>
            <w:tcW w:type="dxa" w:w="2880"/>
            <w:shd w:val="clear" w:color="auto" w:fill="0D47A1"/>
            <w:vAlign w:val="center"/>
          </w:tcPr>
          <w:p>
            <w:pPr>
              <w:jc w:val="center"/>
            </w:pPr>
            <w:r>
              <w:rPr>
                <w:b/>
                <w:color w:val="FFFFFF"/>
                <w:sz w:val="20"/>
              </w:rPr>
              <w:t>Interview Recommendation</w:t>
            </w:r>
          </w:p>
        </w:tc>
      </w:tr>
      <w:tr>
        <w:tc>
          <w:tcPr>
            <w:tcW w:type="dxa" w:w="2880"/>
            <w:shd w:val="clear" w:color="auto" w:fill="F5F7FA"/>
          </w:tcPr>
          <w:p>
            <w:pPr>
              <w:jc w:val="center"/>
            </w:pPr>
            <w:r>
              <w:rPr>
                <w:color w:val="3C4043"/>
                <w:sz w:val="20"/>
              </w:rPr>
              <w:t>≥ 28</w:t>
            </w:r>
          </w:p>
        </w:tc>
        <w:tc>
          <w:tcPr>
            <w:tcW w:type="dxa" w:w="2016"/>
            <w:shd w:val="clear" w:color="auto" w:fill="F5F7FA"/>
          </w:tcPr>
          <w:p>
            <w:pPr>
              <w:jc w:val="center"/>
            </w:pPr>
            <w:r>
              <w:rPr>
                <w:color w:val="3C4043"/>
                <w:sz w:val="20"/>
              </w:rPr>
              <w:t>Excellent</w:t>
            </w:r>
          </w:p>
        </w:tc>
        <w:tc>
          <w:tcPr>
            <w:tcW w:type="dxa" w:w="4032"/>
            <w:shd w:val="clear" w:color="auto" w:fill="F5F7FA"/>
          </w:tcPr>
          <w:p>
            <w:pPr>
              <w:jc w:val="center"/>
            </w:pPr>
            <w:r>
              <w:rPr>
                <w:color w:val="3C4043"/>
                <w:sz w:val="20"/>
              </w:rPr>
              <w:t>Excellent Fit – Highly Recommended</w:t>
            </w:r>
          </w:p>
        </w:tc>
        <w:tc>
          <w:tcPr>
            <w:tcW w:type="dxa" w:w="2880"/>
            <w:shd w:val="clear" w:color="auto" w:fill="F5F7FA"/>
          </w:tcPr>
          <w:p>
            <w:pPr>
              <w:jc w:val="center"/>
            </w:pPr>
            <w:r>
              <w:rPr>
                <w:color w:val="3C4043"/>
                <w:sz w:val="20"/>
              </w:rPr>
              <w:t>✓ Strongly Recommend</w:t>
            </w:r>
          </w:p>
        </w:tc>
      </w:tr>
      <w:tr>
        <w:tc>
          <w:tcPr>
            <w:tcW w:type="dxa" w:w="2880"/>
            <w:shd w:val="clear" w:color="auto" w:fill="FFFFFF"/>
          </w:tcPr>
          <w:p>
            <w:pPr>
              <w:jc w:val="center"/>
            </w:pPr>
            <w:r>
              <w:rPr>
                <w:color w:val="3C4043"/>
                <w:sz w:val="20"/>
              </w:rPr>
              <w:t>21 – 27</w:t>
            </w:r>
          </w:p>
        </w:tc>
        <w:tc>
          <w:tcPr>
            <w:tcW w:type="dxa" w:w="2016"/>
            <w:shd w:val="clear" w:color="auto" w:fill="FFFFFF"/>
          </w:tcPr>
          <w:p>
            <w:pPr>
              <w:jc w:val="center"/>
            </w:pPr>
            <w:r>
              <w:rPr>
                <w:color w:val="3C4043"/>
                <w:sz w:val="20"/>
              </w:rPr>
              <w:t>Good</w:t>
            </w:r>
          </w:p>
        </w:tc>
        <w:tc>
          <w:tcPr>
            <w:tcW w:type="dxa" w:w="4032"/>
            <w:shd w:val="clear" w:color="auto" w:fill="FFFFFF"/>
          </w:tcPr>
          <w:p>
            <w:pPr>
              <w:jc w:val="center"/>
            </w:pPr>
            <w:r>
              <w:rPr>
                <w:color w:val="3C4043"/>
                <w:sz w:val="20"/>
              </w:rPr>
              <w:t>Good Fit – Recommended</w:t>
            </w:r>
          </w:p>
        </w:tc>
        <w:tc>
          <w:tcPr>
            <w:tcW w:type="dxa" w:w="2880"/>
            <w:shd w:val="clear" w:color="auto" w:fill="FFFFFF"/>
          </w:tcPr>
          <w:p>
            <w:pPr>
              <w:jc w:val="center"/>
            </w:pPr>
            <w:r>
              <w:rPr>
                <w:color w:val="3C4043"/>
                <w:sz w:val="20"/>
              </w:rPr>
              <w:t>✓ Recommend</w:t>
            </w:r>
          </w:p>
        </w:tc>
      </w:tr>
      <w:tr>
        <w:tc>
          <w:tcPr>
            <w:tcW w:type="dxa" w:w="2880"/>
            <w:shd w:val="clear" w:color="auto" w:fill="F5F7FA"/>
          </w:tcPr>
          <w:p>
            <w:pPr>
              <w:jc w:val="center"/>
            </w:pPr>
            <w:r>
              <w:rPr>
                <w:color w:val="3C4043"/>
                <w:sz w:val="20"/>
              </w:rPr>
              <w:t>14 – 20</w:t>
            </w:r>
          </w:p>
        </w:tc>
        <w:tc>
          <w:tcPr>
            <w:tcW w:type="dxa" w:w="2016"/>
            <w:shd w:val="clear" w:color="auto" w:fill="F5F7FA"/>
          </w:tcPr>
          <w:p>
            <w:pPr>
              <w:jc w:val="center"/>
            </w:pPr>
            <w:r>
              <w:rPr>
                <w:color w:val="3C4043"/>
                <w:sz w:val="20"/>
              </w:rPr>
              <w:t>Potential</w:t>
            </w:r>
          </w:p>
        </w:tc>
        <w:tc>
          <w:tcPr>
            <w:tcW w:type="dxa" w:w="4032"/>
            <w:shd w:val="clear" w:color="auto" w:fill="F5F7FA"/>
          </w:tcPr>
          <w:p>
            <w:pPr>
              <w:jc w:val="center"/>
            </w:pPr>
            <w:r>
              <w:rPr>
                <w:color w:val="3C4043"/>
                <w:sz w:val="20"/>
              </w:rPr>
              <w:t>Potential Fit – Consider</w:t>
            </w:r>
          </w:p>
        </w:tc>
        <w:tc>
          <w:tcPr>
            <w:tcW w:type="dxa" w:w="2880"/>
            <w:shd w:val="clear" w:color="auto" w:fill="F5F7FA"/>
          </w:tcPr>
          <w:p>
            <w:pPr>
              <w:jc w:val="center"/>
            </w:pPr>
            <w:r>
              <w:rPr>
                <w:color w:val="3C4043"/>
                <w:sz w:val="20"/>
              </w:rPr>
              <w:t>✓ Conditional</w:t>
            </w:r>
          </w:p>
        </w:tc>
      </w:tr>
      <w:tr>
        <w:tc>
          <w:tcPr>
            <w:tcW w:type="dxa" w:w="2880"/>
            <w:shd w:val="clear" w:color="auto" w:fill="FFFFFF"/>
          </w:tcPr>
          <w:p>
            <w:pPr>
              <w:jc w:val="center"/>
            </w:pPr>
            <w:r>
              <w:rPr>
                <w:color w:val="3C4043"/>
                <w:sz w:val="20"/>
              </w:rPr>
              <w:t>7 – 13</w:t>
            </w:r>
          </w:p>
        </w:tc>
        <w:tc>
          <w:tcPr>
            <w:tcW w:type="dxa" w:w="2016"/>
            <w:shd w:val="clear" w:color="auto" w:fill="FFFFFF"/>
          </w:tcPr>
          <w:p>
            <w:pPr>
              <w:jc w:val="center"/>
            </w:pPr>
            <w:r>
              <w:rPr>
                <w:color w:val="3C4043"/>
                <w:sz w:val="20"/>
              </w:rPr>
              <w:t>Marginal</w:t>
            </w:r>
          </w:p>
        </w:tc>
        <w:tc>
          <w:tcPr>
            <w:tcW w:type="dxa" w:w="4032"/>
            <w:shd w:val="clear" w:color="auto" w:fill="FFFFFF"/>
          </w:tcPr>
          <w:p>
            <w:pPr>
              <w:jc w:val="center"/>
            </w:pPr>
            <w:r>
              <w:rPr>
                <w:color w:val="3C4043"/>
                <w:sz w:val="20"/>
              </w:rPr>
              <w:t>Marginal Fit – Review Carefully</w:t>
            </w:r>
          </w:p>
        </w:tc>
        <w:tc>
          <w:tcPr>
            <w:tcW w:type="dxa" w:w="2880"/>
            <w:shd w:val="clear" w:color="auto" w:fill="FFFFFF"/>
          </w:tcPr>
          <w:p>
            <w:pPr>
              <w:jc w:val="center"/>
            </w:pPr>
            <w:r>
              <w:rPr>
                <w:color w:val="3C4043"/>
                <w:sz w:val="20"/>
              </w:rPr>
              <w:t>✗ Do Not Recommend</w:t>
            </w:r>
          </w:p>
        </w:tc>
      </w:tr>
      <w:tr>
        <w:tc>
          <w:tcPr>
            <w:tcW w:type="dxa" w:w="2880"/>
            <w:shd w:val="clear" w:color="auto" w:fill="F5F7FA"/>
          </w:tcPr>
          <w:p>
            <w:pPr>
              <w:jc w:val="center"/>
            </w:pPr>
            <w:r>
              <w:rPr>
                <w:color w:val="3C4043"/>
                <w:sz w:val="20"/>
              </w:rPr>
              <w:t>&lt; 7</w:t>
            </w:r>
          </w:p>
        </w:tc>
        <w:tc>
          <w:tcPr>
            <w:tcW w:type="dxa" w:w="2016"/>
            <w:shd w:val="clear" w:color="auto" w:fill="F5F7FA"/>
          </w:tcPr>
          <w:p>
            <w:pPr>
              <w:jc w:val="center"/>
            </w:pPr>
            <w:r>
              <w:rPr>
                <w:color w:val="3C4043"/>
                <w:sz w:val="20"/>
              </w:rPr>
              <w:t>Reject</w:t>
            </w:r>
          </w:p>
        </w:tc>
        <w:tc>
          <w:tcPr>
            <w:tcW w:type="dxa" w:w="4032"/>
            <w:shd w:val="clear" w:color="auto" w:fill="F5F7FA"/>
          </w:tcPr>
          <w:p>
            <w:pPr>
              <w:jc w:val="center"/>
            </w:pPr>
            <w:r>
              <w:rPr>
                <w:color w:val="3C4043"/>
                <w:sz w:val="20"/>
              </w:rPr>
              <w:t>Not Fit – Reject</w:t>
            </w:r>
          </w:p>
        </w:tc>
        <w:tc>
          <w:tcPr>
            <w:tcW w:type="dxa" w:w="2880"/>
            <w:shd w:val="clear" w:color="auto" w:fill="F5F7FA"/>
          </w:tcPr>
          <w:p>
            <w:pPr>
              <w:jc w:val="center"/>
            </w:pPr>
            <w:r>
              <w:rPr>
                <w:color w:val="3C4043"/>
                <w:sz w:val="20"/>
              </w:rPr>
              <w:t>✗ Auto Reject</w:t>
            </w:r>
          </w:p>
        </w:tc>
      </w:tr>
    </w:tbl>
    <w:p/>
    <w:p>
      <w:pPr>
        <w:spacing w:after="120"/>
      </w:pPr>
      <w:r>
        <w:rPr>
          <w:b w:val="0"/>
          <w:i w:val="0"/>
          <w:color w:val="3C4043"/>
          <w:sz w:val="22"/>
        </w:rPr>
        <w:t>An additional keyword coverage gate is applied: candidates must match at least 30% of the domain-specific keywords from the job description to qualify for interview recommendation, regardless of composite score. Candidates scoring 85 or above are auto-shortlisted by the system to accelerate the pipeline.</w:t>
      </w:r>
    </w:p>
    <w:p>
      <w:r>
        <w:br w:type="page"/>
      </w:r>
    </w:p>
    <w:p>
      <w:pPr>
        <w:spacing w:before="360" w:after="80"/>
      </w:pPr>
      <w:r>
        <w:rPr>
          <w:b/>
          <w:color w:val="0D1B2A"/>
          <w:sz w:val="36"/>
        </w:rPr>
        <w:t>6.  System Architecture</w:t>
      </w:r>
    </w:p>
    <w:p>
      <w:pPr>
        <w:pBdr>
          <w:bottom w:val="single" w:sz="12" w:space="1" w:color="1A73E8"/>
        </w:pBdr>
        <w:spacing w:after="80"/>
      </w:pPr>
    </w:p>
    <w:p/>
    <w:p>
      <w:pPr>
        <w:spacing w:before="240" w:after="40"/>
      </w:pPr>
      <w:r>
        <w:rPr>
          <w:b/>
          <w:color w:val="00897B"/>
          <w:sz w:val="26"/>
        </w:rPr>
        <w:t>6.1  Five-Tier Layered Architecture</w:t>
      </w:r>
    </w:p>
    <w:p>
      <w:pPr>
        <w:spacing w:after="120"/>
      </w:pPr>
      <w:r>
        <w:rPr>
          <w:b w:val="0"/>
          <w:i w:val="0"/>
          <w:color w:val="3C4043"/>
          <w:sz w:val="22"/>
        </w:rPr>
        <w:t>NeuralHire employs a modular, five-tier layered architecture. Each tier has a clearly defined responsibility boundary, enabling independent development, testing, and scaling of individual system components. The architecture diagram below illustrates the complete tier structure and inter-tier communication paths.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ystem_architecture_diagram_1775492317091.png"/>
                    <pic:cNvPicPr/>
                  </pic:nvPicPr>
                  <pic:blipFill>
                    <a:blip r:embed="rId10"/>
                    <a:stretch>
                      <a:fillRect/>
                    </a:stretch>
                  </pic:blipFill>
                  <pic:spPr>
                    <a:xfrm>
                      <a:off x="0" y="0"/>
                      <a:ext cx="5303520" cy="5303520"/>
                    </a:xfrm>
                    <a:prstGeom prst="rect"/>
                  </pic:spPr>
                </pic:pic>
              </a:graphicData>
            </a:graphic>
          </wp:inline>
        </w:drawing>
      </w:r>
    </w:p>
    <w:p>
      <w:pPr>
        <w:spacing w:after="240"/>
        <w:jc w:val="center"/>
      </w:pPr>
      <w:r>
        <w:rPr>
          <w:i/>
          <w:color w:val="3C4043"/>
          <w:sz w:val="19"/>
        </w:rPr>
        <w:t>Figure 2 — NeuralHire Five-Tier System Architecture Diagram.</w:t>
      </w:r>
    </w:p>
    <w:p>
      <w:pPr>
        <w:spacing w:before="160" w:after="40"/>
      </w:pPr>
      <w:r>
        <w:rPr>
          <w:b/>
          <w:color w:val="1A73E8"/>
          <w:sz w:val="23"/>
        </w:rPr>
        <w:t>Tier 1 — Presentation Layer</w:t>
      </w:r>
    </w:p>
    <w:p>
      <w:pPr>
        <w:spacing w:after="120"/>
      </w:pPr>
      <w:r>
        <w:rPr>
          <w:b w:val="0"/>
          <w:i w:val="0"/>
          <w:color w:val="3C4043"/>
          <w:sz w:val="22"/>
        </w:rPr>
        <w:t>A JavaScript-driven Single Page Application communicates with the backend exclusively via REST API calls. The frontend has dedicated views for Resume Upload, Job Description Input, Ranked Results Dashboard, Candidate Status Manager, AI Interviewer, and Analytics.</w:t>
      </w:r>
    </w:p>
    <w:p>
      <w:pPr>
        <w:spacing w:before="160" w:after="40"/>
      </w:pPr>
      <w:r>
        <w:rPr>
          <w:b/>
          <w:color w:val="1A73E8"/>
          <w:sz w:val="23"/>
        </w:rPr>
        <w:t>Tier 2 — API Gateway Layer</w:t>
      </w:r>
    </w:p>
    <w:p>
      <w:pPr>
        <w:spacing w:after="120"/>
      </w:pPr>
      <w:r>
        <w:rPr>
          <w:b w:val="0"/>
          <w:i w:val="0"/>
          <w:color w:val="3C4043"/>
          <w:sz w:val="22"/>
        </w:rPr>
        <w:t>Flask serves as the central API router. Routes are modularized into four Blueprints: the main Blueprint handles core ingestion and matching; the status Blueprint manages the full candidate pipeline CRUD; the interview Blueprint governs AI interview sessions; the analytics Blueprint aggregates hiring metrics. Flask-CORS enables secure cross-origin access.</w:t>
      </w:r>
    </w:p>
    <w:p>
      <w:pPr>
        <w:spacing w:before="160" w:after="40"/>
      </w:pPr>
      <w:r>
        <w:rPr>
          <w:b/>
          <w:color w:val="1A73E8"/>
          <w:sz w:val="23"/>
        </w:rPr>
        <w:t>Tier 3 — NLP Processing Layer</w:t>
      </w:r>
    </w:p>
    <w:p>
      <w:pPr>
        <w:spacing w:after="120"/>
      </w:pPr>
      <w:r>
        <w:rPr>
          <w:b w:val="0"/>
          <w:i w:val="0"/>
          <w:color w:val="3C4043"/>
          <w:sz w:val="22"/>
        </w:rPr>
        <w:t>The utility module orchestrates all NLP operations in sequence: multi-format text extraction, spaCy preprocessing, keyword extraction, TF-IDF vectorization, and semantic similarity computation. It delegates to the Advanced Scorer when all dependencies are available, or falls back to the Basic Hybrid Scorer automatically.</w:t>
      </w:r>
    </w:p>
    <w:p>
      <w:pPr>
        <w:spacing w:before="160" w:after="40"/>
      </w:pPr>
      <w:r>
        <w:rPr>
          <w:b/>
          <w:color w:val="1A73E8"/>
          <w:sz w:val="23"/>
        </w:rPr>
        <w:t>Tier 4 — Scoring Engine Layer</w:t>
      </w:r>
    </w:p>
    <w:p>
      <w:pPr>
        <w:spacing w:after="120"/>
      </w:pPr>
      <w:r>
        <w:rPr>
          <w:b w:val="0"/>
          <w:i w:val="0"/>
          <w:color w:val="3C4043"/>
          <w:sz w:val="22"/>
        </w:rPr>
        <w:t>The AdvancedResumeScorer class implements all six scoring functions, domain classification, candidate tier classification, and interview recommendation logic. All scoring parameters, domain keyword lists, and thresholds are externalized in a configuration module for operator-level control without code modifications.</w:t>
      </w:r>
    </w:p>
    <w:p>
      <w:pPr>
        <w:spacing w:before="160" w:after="40"/>
      </w:pPr>
      <w:r>
        <w:rPr>
          <w:b/>
          <w:color w:val="1A73E8"/>
          <w:sz w:val="23"/>
        </w:rPr>
        <w:t>Tier 5 — Data and AI Layer</w:t>
      </w:r>
    </w:p>
    <w:p>
      <w:pPr>
        <w:spacing w:after="120"/>
      </w:pPr>
      <w:r>
        <w:rPr>
          <w:b w:val="0"/>
          <w:i w:val="0"/>
          <w:color w:val="3C4043"/>
          <w:sz w:val="22"/>
        </w:rPr>
        <w:t>The AI Interviewer module manages all communication with the Google Gemini API, including prompt construction, response parsing, and JSON structure validation. Data persistence uses structured JSON files on the local filesystem, with a PostgreSQL migration path defined in the future roadmap.</w:t>
      </w:r>
    </w:p>
    <w:p>
      <w:pPr>
        <w:spacing w:before="240" w:after="40"/>
      </w:pPr>
      <w:r>
        <w:rPr>
          <w:b/>
          <w:color w:val="00897B"/>
          <w:sz w:val="26"/>
        </w:rPr>
        <w:t>6.2  Data Flow Architecture</w:t>
      </w:r>
    </w:p>
    <w:p>
      <w:pPr>
        <w:spacing w:after="120"/>
      </w:pPr>
      <w:r>
        <w:rPr>
          <w:b w:val="0"/>
          <w:i w:val="0"/>
          <w:color w:val="3C4043"/>
          <w:sz w:val="22"/>
        </w:rPr>
        <w:t>The data flow diagram below illustrates how information moves through the system between the two primary external actors — Recruiter and Candidate — and the internal processing components and data stores.</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data_flow_diagram_1775492400308.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3C4043"/>
          <w:sz w:val="19"/>
        </w:rPr>
        <w:t>Figure 3 — NeuralHire Data Flow Diagram (DFD) showing information movement between actors, processes, and data stores.</w:t>
      </w:r>
    </w:p>
    <w:p>
      <w:pPr>
        <w:spacing w:before="240" w:after="40"/>
      </w:pPr>
      <w:r>
        <w:rPr>
          <w:b/>
          <w:color w:val="00897B"/>
          <w:sz w:val="26"/>
        </w:rPr>
        <w:t>6.3  API Architecture Overview</w:t>
      </w:r>
    </w:p>
    <w:p>
      <w:pPr>
        <w:spacing w:after="120"/>
      </w:pPr>
      <w:r>
        <w:rPr>
          <w:b w:val="0"/>
          <w:i w:val="0"/>
          <w:color w:val="3C4043"/>
          <w:sz w:val="22"/>
        </w:rPr>
        <w:t>The backend exposes a clean RESTful API organized by functional domain. Each endpoint follows standard HTTP semantics and returns structured JSON responses.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008"/>
            <w:shd w:val="clear" w:color="auto" w:fill="0D47A1"/>
            <w:vAlign w:val="center"/>
          </w:tcPr>
          <w:p>
            <w:pPr>
              <w:jc w:val="center"/>
            </w:pPr>
            <w:r>
              <w:rPr>
                <w:b/>
                <w:color w:val="FFFFFF"/>
                <w:sz w:val="20"/>
              </w:rPr>
              <w:t>Method</w:t>
            </w:r>
          </w:p>
        </w:tc>
        <w:tc>
          <w:tcPr>
            <w:tcW w:type="dxa" w:w="3600"/>
            <w:shd w:val="clear" w:color="auto" w:fill="0D47A1"/>
            <w:vAlign w:val="center"/>
          </w:tcPr>
          <w:p>
            <w:pPr>
              <w:jc w:val="center"/>
            </w:pPr>
            <w:r>
              <w:rPr>
                <w:b/>
                <w:color w:val="FFFFFF"/>
                <w:sz w:val="20"/>
              </w:rPr>
              <w:t>Endpoint</w:t>
            </w:r>
          </w:p>
        </w:tc>
        <w:tc>
          <w:tcPr>
            <w:tcW w:type="dxa" w:w="1872"/>
            <w:shd w:val="clear" w:color="auto" w:fill="0D47A1"/>
            <w:vAlign w:val="center"/>
          </w:tcPr>
          <w:p>
            <w:pPr>
              <w:jc w:val="center"/>
            </w:pPr>
            <w:r>
              <w:rPr>
                <w:b/>
                <w:color w:val="FFFFFF"/>
                <w:sz w:val="20"/>
              </w:rPr>
              <w:t>Module</w:t>
            </w:r>
          </w:p>
        </w:tc>
        <w:tc>
          <w:tcPr>
            <w:tcW w:type="dxa" w:w="3600"/>
            <w:shd w:val="clear" w:color="auto" w:fill="0D47A1"/>
            <w:vAlign w:val="center"/>
          </w:tcPr>
          <w:p>
            <w:pPr>
              <w:jc w:val="center"/>
            </w:pPr>
            <w:r>
              <w:rPr>
                <w:b/>
                <w:color w:val="FFFFFF"/>
                <w:sz w:val="20"/>
              </w:rPr>
              <w:t>Function</w:t>
            </w:r>
          </w:p>
        </w:tc>
      </w:tr>
      <w:tr>
        <w:tc>
          <w:tcPr>
            <w:tcW w:type="dxa" w:w="1008"/>
            <w:shd w:val="clear" w:color="auto" w:fill="F5F7FA"/>
          </w:tcPr>
          <w:p>
            <w:pPr>
              <w:jc w:val="center"/>
            </w:pPr>
            <w:r>
              <w:rPr>
                <w:color w:val="3C4043"/>
                <w:sz w:val="20"/>
              </w:rPr>
              <w:t>POST</w:t>
            </w:r>
          </w:p>
        </w:tc>
        <w:tc>
          <w:tcPr>
            <w:tcW w:type="dxa" w:w="3600"/>
            <w:shd w:val="clear" w:color="auto" w:fill="F5F7FA"/>
          </w:tcPr>
          <w:p>
            <w:pPr>
              <w:jc w:val="center"/>
            </w:pPr>
            <w:r>
              <w:rPr>
                <w:color w:val="3C4043"/>
                <w:sz w:val="20"/>
              </w:rPr>
              <w:t>/api/upload-resume</w:t>
            </w:r>
          </w:p>
        </w:tc>
        <w:tc>
          <w:tcPr>
            <w:tcW w:type="dxa" w:w="1872"/>
            <w:shd w:val="clear" w:color="auto" w:fill="F5F7FA"/>
          </w:tcPr>
          <w:p>
            <w:pPr>
              <w:jc w:val="center"/>
            </w:pPr>
            <w:r>
              <w:rPr>
                <w:color w:val="3C4043"/>
                <w:sz w:val="20"/>
              </w:rPr>
              <w:t>Core</w:t>
            </w:r>
          </w:p>
        </w:tc>
        <w:tc>
          <w:tcPr>
            <w:tcW w:type="dxa" w:w="3600"/>
            <w:shd w:val="clear" w:color="auto" w:fill="F5F7FA"/>
          </w:tcPr>
          <w:p>
            <w:pPr>
              <w:jc w:val="center"/>
            </w:pPr>
            <w:r>
              <w:rPr>
                <w:color w:val="3C4043"/>
                <w:sz w:val="20"/>
              </w:rPr>
              <w:t>Ingest, extract, and register a resume</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/api/match-resumes</w:t>
            </w:r>
          </w:p>
        </w:tc>
        <w:tc>
          <w:tcPr>
            <w:tcW w:type="dxa" w:w="1872"/>
            <w:shd w:val="clear" w:color="auto" w:fill="FFFFFF"/>
          </w:tcPr>
          <w:p>
            <w:pPr>
              <w:jc w:val="center"/>
            </w:pPr>
            <w:r>
              <w:rPr>
                <w:color w:val="3C4043"/>
                <w:sz w:val="20"/>
              </w:rPr>
              <w:t>Core</w:t>
            </w:r>
          </w:p>
        </w:tc>
        <w:tc>
          <w:tcPr>
            <w:tcW w:type="dxa" w:w="3600"/>
            <w:shd w:val="clear" w:color="auto" w:fill="FFFFFF"/>
          </w:tcPr>
          <w:p>
            <w:pPr>
              <w:jc w:val="center"/>
            </w:pPr>
            <w:r>
              <w:rPr>
                <w:color w:val="3C4043"/>
                <w:sz w:val="20"/>
              </w:rPr>
              <w:t>Score all resumes against submitted JD</w:t>
            </w:r>
          </w:p>
        </w:tc>
      </w:tr>
      <w:tr>
        <w:tc>
          <w:tcPr>
            <w:tcW w:type="dxa" w:w="1008"/>
            <w:shd w:val="clear" w:color="auto" w:fill="F5F7FA"/>
          </w:tcPr>
          <w:p>
            <w:pPr>
              <w:jc w:val="center"/>
            </w:pPr>
            <w:r>
              <w:rPr>
                <w:color w:val="3C4043"/>
                <w:sz w:val="20"/>
              </w:rPr>
              <w:t>GET</w:t>
            </w:r>
          </w:p>
        </w:tc>
        <w:tc>
          <w:tcPr>
            <w:tcW w:type="dxa" w:w="3600"/>
            <w:shd w:val="clear" w:color="auto" w:fill="F5F7FA"/>
          </w:tcPr>
          <w:p>
            <w:pPr>
              <w:jc w:val="center"/>
            </w:pPr>
            <w:r>
              <w:rPr>
                <w:color w:val="3C4043"/>
                <w:sz w:val="20"/>
              </w:rPr>
              <w:t>/api/get-resume/&lt;id&gt;</w:t>
            </w:r>
          </w:p>
        </w:tc>
        <w:tc>
          <w:tcPr>
            <w:tcW w:type="dxa" w:w="1872"/>
            <w:shd w:val="clear" w:color="auto" w:fill="F5F7FA"/>
          </w:tcPr>
          <w:p>
            <w:pPr>
              <w:jc w:val="center"/>
            </w:pPr>
            <w:r>
              <w:rPr>
                <w:color w:val="3C4043"/>
                <w:sz w:val="20"/>
              </w:rPr>
              <w:t>Core</w:t>
            </w:r>
          </w:p>
        </w:tc>
        <w:tc>
          <w:tcPr>
            <w:tcW w:type="dxa" w:w="3600"/>
            <w:shd w:val="clear" w:color="auto" w:fill="F5F7FA"/>
          </w:tcPr>
          <w:p>
            <w:pPr>
              <w:jc w:val="center"/>
            </w:pPr>
            <w:r>
              <w:rPr>
                <w:color w:val="3C4043"/>
                <w:sz w:val="20"/>
              </w:rPr>
              <w:t>Retrieve processed resume text content</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/api/candidate/login</w:t>
            </w:r>
          </w:p>
        </w:tc>
        <w:tc>
          <w:tcPr>
            <w:tcW w:type="dxa" w:w="1872"/>
            <w:shd w:val="clear" w:color="auto" w:fill="FFFFFF"/>
          </w:tcPr>
          <w:p>
            <w:pPr>
              <w:jc w:val="center"/>
            </w:pPr>
            <w:r>
              <w:rPr>
                <w:color w:val="3C4043"/>
                <w:sz w:val="20"/>
              </w:rPr>
              <w:t>Core</w:t>
            </w:r>
          </w:p>
        </w:tc>
        <w:tc>
          <w:tcPr>
            <w:tcW w:type="dxa" w:w="3600"/>
            <w:shd w:val="clear" w:color="auto" w:fill="FFFFFF"/>
          </w:tcPr>
          <w:p>
            <w:pPr>
              <w:jc w:val="center"/>
            </w:pPr>
            <w:r>
              <w:rPr>
                <w:color w:val="3C4043"/>
                <w:sz w:val="20"/>
              </w:rPr>
              <w:t>Authenticate candidate via Reference ID</w:t>
            </w:r>
          </w:p>
        </w:tc>
      </w:tr>
      <w:tr>
        <w:tc>
          <w:tcPr>
            <w:tcW w:type="dxa" w:w="1008"/>
            <w:shd w:val="clear" w:color="auto" w:fill="F5F7FA"/>
          </w:tcPr>
          <w:p>
            <w:pPr>
              <w:jc w:val="center"/>
            </w:pPr>
            <w:r>
              <w:rPr>
                <w:color w:val="3C4043"/>
                <w:sz w:val="20"/>
              </w:rPr>
              <w:t>GET</w:t>
            </w:r>
          </w:p>
        </w:tc>
        <w:tc>
          <w:tcPr>
            <w:tcW w:type="dxa" w:w="3600"/>
            <w:shd w:val="clear" w:color="auto" w:fill="F5F7FA"/>
          </w:tcPr>
          <w:p>
            <w:pPr>
              <w:jc w:val="center"/>
            </w:pPr>
            <w:r>
              <w:rPr>
                <w:color w:val="3C4043"/>
                <w:sz w:val="20"/>
              </w:rPr>
              <w:t>/api/status/&lt;id&gt;</w:t>
            </w:r>
          </w:p>
        </w:tc>
        <w:tc>
          <w:tcPr>
            <w:tcW w:type="dxa" w:w="1872"/>
            <w:shd w:val="clear" w:color="auto" w:fill="F5F7FA"/>
          </w:tcPr>
          <w:p>
            <w:pPr>
              <w:jc w:val="center"/>
            </w:pPr>
            <w:r>
              <w:rPr>
                <w:color w:val="3C4043"/>
                <w:sz w:val="20"/>
              </w:rPr>
              <w:t>Pipeline</w:t>
            </w:r>
          </w:p>
        </w:tc>
        <w:tc>
          <w:tcPr>
            <w:tcW w:type="dxa" w:w="3600"/>
            <w:shd w:val="clear" w:color="auto" w:fill="F5F7FA"/>
          </w:tcPr>
          <w:p>
            <w:pPr>
              <w:jc w:val="center"/>
            </w:pPr>
            <w:r>
              <w:rPr>
                <w:color w:val="3C4043"/>
                <w:sz w:val="20"/>
              </w:rPr>
              <w:t>Retrieve full candidate status object</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/api/status/&lt;id&gt;/update</w:t>
            </w:r>
          </w:p>
        </w:tc>
        <w:tc>
          <w:tcPr>
            <w:tcW w:type="dxa" w:w="1872"/>
            <w:shd w:val="clear" w:color="auto" w:fill="FFFFFF"/>
          </w:tcPr>
          <w:p>
            <w:pPr>
              <w:jc w:val="center"/>
            </w:pPr>
            <w:r>
              <w:rPr>
                <w:color w:val="3C4043"/>
                <w:sz w:val="20"/>
              </w:rPr>
              <w:t>Pipeline</w:t>
            </w:r>
          </w:p>
        </w:tc>
        <w:tc>
          <w:tcPr>
            <w:tcW w:type="dxa" w:w="3600"/>
            <w:shd w:val="clear" w:color="auto" w:fill="FFFFFF"/>
          </w:tcPr>
          <w:p>
            <w:pPr>
              <w:jc w:val="center"/>
            </w:pPr>
            <w:r>
              <w:rPr>
                <w:color w:val="3C4043"/>
                <w:sz w:val="20"/>
              </w:rPr>
              <w:t>Update candidate pipeline stage</w:t>
            </w:r>
          </w:p>
        </w:tc>
      </w:tr>
      <w:tr>
        <w:tc>
          <w:tcPr>
            <w:tcW w:type="dxa" w:w="1008"/>
            <w:shd w:val="clear" w:color="auto" w:fill="F5F7FA"/>
          </w:tcPr>
          <w:p>
            <w:pPr>
              <w:jc w:val="center"/>
            </w:pPr>
            <w:r>
              <w:rPr>
                <w:color w:val="3C4043"/>
                <w:sz w:val="20"/>
              </w:rPr>
              <w:t>POST</w:t>
            </w:r>
          </w:p>
        </w:tc>
        <w:tc>
          <w:tcPr>
            <w:tcW w:type="dxa" w:w="3600"/>
            <w:shd w:val="clear" w:color="auto" w:fill="F5F7FA"/>
          </w:tcPr>
          <w:p>
            <w:pPr>
              <w:jc w:val="center"/>
            </w:pPr>
            <w:r>
              <w:rPr>
                <w:color w:val="3C4043"/>
                <w:sz w:val="20"/>
              </w:rPr>
              <w:t>/api/status/&lt;id&gt;/note</w:t>
            </w:r>
          </w:p>
        </w:tc>
        <w:tc>
          <w:tcPr>
            <w:tcW w:type="dxa" w:w="1872"/>
            <w:shd w:val="clear" w:color="auto" w:fill="F5F7FA"/>
          </w:tcPr>
          <w:p>
            <w:pPr>
              <w:jc w:val="center"/>
            </w:pPr>
            <w:r>
              <w:rPr>
                <w:color w:val="3C4043"/>
                <w:sz w:val="20"/>
              </w:rPr>
              <w:t>Pipeline</w:t>
            </w:r>
          </w:p>
        </w:tc>
        <w:tc>
          <w:tcPr>
            <w:tcW w:type="dxa" w:w="3600"/>
            <w:shd w:val="clear" w:color="auto" w:fill="F5F7FA"/>
          </w:tcPr>
          <w:p>
            <w:pPr>
              <w:jc w:val="center"/>
            </w:pPr>
            <w:r>
              <w:rPr>
                <w:color w:val="3C4043"/>
                <w:sz w:val="20"/>
              </w:rPr>
              <w:t>Append a recruiter note to candidate</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/api/interview/start</w:t>
            </w:r>
          </w:p>
        </w:tc>
        <w:tc>
          <w:tcPr>
            <w:tcW w:type="dxa" w:w="1872"/>
            <w:shd w:val="clear" w:color="auto" w:fill="FFFFFF"/>
          </w:tcPr>
          <w:p>
            <w:pPr>
              <w:jc w:val="center"/>
            </w:pPr>
            <w:r>
              <w:rPr>
                <w:color w:val="3C4043"/>
                <w:sz w:val="20"/>
              </w:rPr>
              <w:t>Interview</w:t>
            </w:r>
          </w:p>
        </w:tc>
        <w:tc>
          <w:tcPr>
            <w:tcW w:type="dxa" w:w="3600"/>
            <w:shd w:val="clear" w:color="auto" w:fill="FFFFFF"/>
          </w:tcPr>
          <w:p>
            <w:pPr>
              <w:jc w:val="center"/>
            </w:pPr>
            <w:r>
              <w:rPr>
                <w:color w:val="3C4043"/>
                <w:sz w:val="20"/>
              </w:rPr>
              <w:t>Initialize AI interview session</w:t>
            </w:r>
          </w:p>
        </w:tc>
      </w:tr>
      <w:tr>
        <w:tc>
          <w:tcPr>
            <w:tcW w:type="dxa" w:w="1008"/>
            <w:shd w:val="clear" w:color="auto" w:fill="F5F7FA"/>
          </w:tcPr>
          <w:p>
            <w:pPr>
              <w:jc w:val="center"/>
            </w:pPr>
            <w:r>
              <w:rPr>
                <w:color w:val="3C4043"/>
                <w:sz w:val="20"/>
              </w:rPr>
              <w:t>POST</w:t>
            </w:r>
          </w:p>
        </w:tc>
        <w:tc>
          <w:tcPr>
            <w:tcW w:type="dxa" w:w="3600"/>
            <w:shd w:val="clear" w:color="auto" w:fill="F5F7FA"/>
          </w:tcPr>
          <w:p>
            <w:pPr>
              <w:jc w:val="center"/>
            </w:pPr>
            <w:r>
              <w:rPr>
                <w:color w:val="3C4043"/>
                <w:sz w:val="20"/>
              </w:rPr>
              <w:t>/api/interview/answer</w:t>
            </w:r>
          </w:p>
        </w:tc>
        <w:tc>
          <w:tcPr>
            <w:tcW w:type="dxa" w:w="1872"/>
            <w:shd w:val="clear" w:color="auto" w:fill="F5F7FA"/>
          </w:tcPr>
          <w:p>
            <w:pPr>
              <w:jc w:val="center"/>
            </w:pPr>
            <w:r>
              <w:rPr>
                <w:color w:val="3C4043"/>
                <w:sz w:val="20"/>
              </w:rPr>
              <w:t>Interview</w:t>
            </w:r>
          </w:p>
        </w:tc>
        <w:tc>
          <w:tcPr>
            <w:tcW w:type="dxa" w:w="3600"/>
            <w:shd w:val="clear" w:color="auto" w:fill="F5F7FA"/>
          </w:tcPr>
          <w:p>
            <w:pPr>
              <w:jc w:val="center"/>
            </w:pPr>
            <w:r>
              <w:rPr>
                <w:color w:val="3C4043"/>
                <w:sz w:val="20"/>
              </w:rPr>
              <w:t>Submit and evaluate a candidate answer</w:t>
            </w:r>
          </w:p>
        </w:tc>
      </w:tr>
      <w:tr>
        <w:tc>
          <w:tcPr>
            <w:tcW w:type="dxa" w:w="1008"/>
            <w:shd w:val="clear" w:color="auto" w:fill="FFFFFF"/>
          </w:tcPr>
          <w:p>
            <w:pPr>
              <w:jc w:val="center"/>
            </w:pPr>
            <w:r>
              <w:rPr>
                <w:color w:val="3C4043"/>
                <w:sz w:val="20"/>
              </w:rPr>
              <w:t>GET</w:t>
            </w:r>
          </w:p>
        </w:tc>
        <w:tc>
          <w:tcPr>
            <w:tcW w:type="dxa" w:w="3600"/>
            <w:shd w:val="clear" w:color="auto" w:fill="FFFFFF"/>
          </w:tcPr>
          <w:p>
            <w:pPr>
              <w:jc w:val="center"/>
            </w:pPr>
            <w:r>
              <w:rPr>
                <w:color w:val="3C4043"/>
                <w:sz w:val="20"/>
              </w:rPr>
              <w:t>/api/analytics/summary</w:t>
            </w:r>
          </w:p>
        </w:tc>
        <w:tc>
          <w:tcPr>
            <w:tcW w:type="dxa" w:w="1872"/>
            <w:shd w:val="clear" w:color="auto" w:fill="FFFFFF"/>
          </w:tcPr>
          <w:p>
            <w:pPr>
              <w:jc w:val="center"/>
            </w:pPr>
            <w:r>
              <w:rPr>
                <w:color w:val="3C4043"/>
                <w:sz w:val="20"/>
              </w:rPr>
              <w:t>Analytics</w:t>
            </w:r>
          </w:p>
        </w:tc>
        <w:tc>
          <w:tcPr>
            <w:tcW w:type="dxa" w:w="3600"/>
            <w:shd w:val="clear" w:color="auto" w:fill="FFFFFF"/>
          </w:tcPr>
          <w:p>
            <w:pPr>
              <w:jc w:val="center"/>
            </w:pPr>
            <w:r>
              <w:rPr>
                <w:color w:val="3C4043"/>
                <w:sz w:val="20"/>
              </w:rPr>
              <w:t>Retrieve aggregate hiring analytics</w:t>
            </w:r>
          </w:p>
        </w:tc>
      </w:tr>
    </w:tbl>
    <w:p/>
    <w:p>
      <w:r>
        <w:br w:type="page"/>
      </w:r>
    </w:p>
    <w:p>
      <w:pPr>
        <w:spacing w:before="360" w:after="80"/>
      </w:pPr>
      <w:r>
        <w:rPr>
          <w:b/>
          <w:color w:val="0D1B2A"/>
          <w:sz w:val="36"/>
        </w:rPr>
        <w:t>7.  Workflow</w:t>
      </w:r>
    </w:p>
    <w:p>
      <w:pPr>
        <w:pBdr>
          <w:bottom w:val="single" w:sz="12" w:space="1" w:color="1A73E8"/>
        </w:pBdr>
        <w:spacing w:after="80"/>
      </w:pPr>
    </w:p>
    <w:p/>
    <w:p>
      <w:pPr>
        <w:spacing w:after="120"/>
      </w:pPr>
      <w:r>
        <w:rPr>
          <w:b w:val="0"/>
          <w:i w:val="0"/>
          <w:color w:val="3C4043"/>
          <w:sz w:val="22"/>
        </w:rPr>
        <w:t>NeuralHire supports two parallel, interconnected workflows — one for recruiters who manage the screening process, and one for candidates who participate in AI-driven interviews. The flowchart below captures the complete end-to-end workflow for both actors.</w:t>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workflow_flowchart_1775492330414.png"/>
                    <pic:cNvPicPr/>
                  </pic:nvPicPr>
                  <pic:blipFill>
                    <a:blip r:embed="rId12"/>
                    <a:stretch>
                      <a:fillRect/>
                    </a:stretch>
                  </pic:blipFill>
                  <pic:spPr>
                    <a:xfrm>
                      <a:off x="0" y="0"/>
                      <a:ext cx="5303520" cy="5303520"/>
                    </a:xfrm>
                    <a:prstGeom prst="rect"/>
                  </pic:spPr>
                </pic:pic>
              </a:graphicData>
            </a:graphic>
          </wp:inline>
        </w:drawing>
      </w:r>
    </w:p>
    <w:p>
      <w:pPr>
        <w:spacing w:after="240"/>
        <w:jc w:val="center"/>
      </w:pPr>
      <w:r>
        <w:rPr>
          <w:i/>
          <w:color w:val="3C4043"/>
          <w:sz w:val="19"/>
        </w:rPr>
        <w:t>Figure 4 — NeuralHire End-to-End Workflow: Recruiter (left lane) and Candidate Portal (right lane).</w:t>
      </w:r>
    </w:p>
    <w:p>
      <w:pPr>
        <w:spacing w:before="240" w:after="40"/>
      </w:pPr>
      <w:r>
        <w:rPr>
          <w:b/>
          <w:color w:val="00897B"/>
          <w:sz w:val="26"/>
        </w:rPr>
        <w:t>7.1  Recruiter Workflow — Step by Step</w:t>
      </w:r>
    </w:p>
    <w:p>
      <w:pPr>
        <w:spacing w:before="160" w:after="40"/>
      </w:pPr>
      <w:r>
        <w:rPr>
          <w:b/>
          <w:color w:val="1A73E8"/>
          <w:sz w:val="23"/>
        </w:rPr>
        <w:t>Step 1 — Resume Upload</w:t>
      </w:r>
    </w:p>
    <w:p>
      <w:pPr>
        <w:spacing w:after="120"/>
      </w:pPr>
      <w:r>
        <w:rPr>
          <w:b w:val="0"/>
          <w:i w:val="0"/>
          <w:color w:val="3C4043"/>
          <w:sz w:val="22"/>
        </w:rPr>
        <w:t>The recruiter visits the NeuralHire dashboard and uploads one or more candidate resume files via a drag-and-drop interface. The system accepts PDF, DOCX, TXT, and image formats. Each upload triggers server-side extraction, preprocessing, and storage. The candidate is assigned a unique six-character alphanumeric Reference ID.</w:t>
      </w:r>
    </w:p>
    <w:p>
      <w:pPr>
        <w:spacing w:before="160" w:after="40"/>
      </w:pPr>
      <w:r>
        <w:rPr>
          <w:b/>
          <w:color w:val="1A73E8"/>
          <w:sz w:val="23"/>
        </w:rPr>
        <w:t>Step 2 — Job Description Input</w:t>
      </w:r>
    </w:p>
    <w:p>
      <w:pPr>
        <w:spacing w:after="120"/>
      </w:pPr>
      <w:r>
        <w:rPr>
          <w:b w:val="0"/>
          <w:i w:val="0"/>
          <w:color w:val="3C4043"/>
          <w:sz w:val="22"/>
        </w:rPr>
        <w:t>The recruiter pastes or types the complete job description and optionally provides the explicit job title to enhance role-matching precision.</w:t>
      </w:r>
    </w:p>
    <w:p>
      <w:pPr>
        <w:spacing w:before="160" w:after="40"/>
      </w:pPr>
      <w:r>
        <w:rPr>
          <w:b/>
          <w:color w:val="1A73E8"/>
          <w:sz w:val="23"/>
        </w:rPr>
        <w:t>Step 3 — AI Matching and Domain-Aware Scoring</w:t>
      </w:r>
    </w:p>
    <w:p>
      <w:pPr>
        <w:spacing w:after="120"/>
      </w:pPr>
      <w:r>
        <w:rPr>
          <w:b w:val="0"/>
          <w:i w:val="0"/>
          <w:color w:val="3C4043"/>
          <w:sz w:val="22"/>
        </w:rPr>
        <w:t>On submission, the system automatically detects the hiring domain, extracts domain-specific keywords, and computes the six-component composite score for every resume in the database. Results are returned ranked by composite score.</w:t>
      </w:r>
    </w:p>
    <w:p>
      <w:pPr>
        <w:spacing w:before="160" w:after="40"/>
      </w:pPr>
      <w:r>
        <w:rPr>
          <w:b/>
          <w:color w:val="1A73E8"/>
          <w:sz w:val="23"/>
        </w:rPr>
        <w:t>Step 4 — Results Review and Shortlisting</w:t>
      </w:r>
    </w:p>
    <w:p>
      <w:pPr>
        <w:spacing w:after="120"/>
      </w:pPr>
      <w:r>
        <w:rPr>
          <w:b w:val="0"/>
          <w:i w:val="0"/>
          <w:color w:val="3C4043"/>
          <w:sz w:val="22"/>
        </w:rPr>
        <w:t>The results dashboard presents each candidate with their composite score, visual component breakdown bars, domain match status, keyword coverage percentage, experience comparison, and an interview recommendation indicator. The recruiter can sort, filter, and paginate through all results.</w:t>
      </w:r>
    </w:p>
    <w:p>
      <w:pPr>
        <w:spacing w:before="160" w:after="40"/>
      </w:pPr>
      <w:r>
        <w:rPr>
          <w:b/>
          <w:color w:val="1A73E8"/>
          <w:sz w:val="23"/>
        </w:rPr>
        <w:t>Step 5 — Candidate Pipeline Management</w:t>
      </w:r>
    </w:p>
    <w:p>
      <w:pPr>
        <w:spacing w:after="120"/>
      </w:pPr>
      <w:r>
        <w:rPr>
          <w:b w:val="0"/>
          <w:i w:val="0"/>
          <w:color w:val="3C4043"/>
          <w:sz w:val="22"/>
        </w:rPr>
        <w:t>The recruiter accesses any candidate's full profile to review their scoring history and recruiter notes, then transitions the candidate through pipeline stages: New → Shortlisted → Interviewed → Offer Extended / Rejected. Every transition is timestamped and logged automatically.</w:t>
      </w:r>
    </w:p>
    <w:p>
      <w:pPr>
        <w:spacing w:before="160" w:after="40"/>
      </w:pPr>
      <w:r>
        <w:rPr>
          <w:b/>
          <w:color w:val="1A73E8"/>
          <w:sz w:val="23"/>
        </w:rPr>
        <w:t>Step 6 — AI Interview Initiation</w:t>
      </w:r>
    </w:p>
    <w:p>
      <w:pPr>
        <w:spacing w:after="120"/>
      </w:pPr>
      <w:r>
        <w:rPr>
          <w:b w:val="0"/>
          <w:i w:val="0"/>
          <w:color w:val="3C4043"/>
          <w:sz w:val="22"/>
        </w:rPr>
        <w:t>For shortlisted candidates, the recruiter initiates an AI interview session. The system generates 10 personalized, domain-specific interview questions. The recruiter shares the candidate's Reference ID to grant portal access.</w:t>
      </w:r>
    </w:p>
    <w:p>
      <w:pPr>
        <w:spacing w:before="240" w:after="40"/>
      </w:pPr>
      <w:r>
        <w:rPr>
          <w:b/>
          <w:color w:val="00897B"/>
          <w:sz w:val="26"/>
        </w:rPr>
        <w:t>7.2  Candidate Workflow — Step by Step</w:t>
      </w:r>
    </w:p>
    <w:p>
      <w:pPr>
        <w:spacing w:before="160" w:after="40"/>
      </w:pPr>
      <w:r>
        <w:rPr>
          <w:b/>
          <w:color w:val="1A73E8"/>
          <w:sz w:val="23"/>
        </w:rPr>
        <w:t>Step 1 — Portal Authentication</w:t>
      </w:r>
    </w:p>
    <w:p>
      <w:pPr>
        <w:spacing w:after="120"/>
      </w:pPr>
      <w:r>
        <w:rPr>
          <w:b w:val="0"/>
          <w:i w:val="0"/>
          <w:color w:val="3C4043"/>
          <w:sz w:val="22"/>
        </w:rPr>
        <w:t>The candidate accesses the candidate portal URL and enters their unique Reference ID (format: REF-AB12CD) to authenticate. No password or account creation is required.</w:t>
      </w:r>
    </w:p>
    <w:p>
      <w:pPr>
        <w:spacing w:before="160" w:after="40"/>
      </w:pPr>
      <w:r>
        <w:rPr>
          <w:b/>
          <w:color w:val="1A73E8"/>
          <w:sz w:val="23"/>
        </w:rPr>
        <w:t>Step 2 — Interview Session</w:t>
      </w:r>
    </w:p>
    <w:p>
      <w:pPr>
        <w:spacing w:after="120"/>
      </w:pPr>
      <w:r>
        <w:rPr>
          <w:b w:val="0"/>
          <w:i w:val="0"/>
          <w:color w:val="3C4043"/>
          <w:sz w:val="22"/>
        </w:rPr>
        <w:t>The portal presents 10 tailored interview questions sequentially. For each question, the candidate reads the prompt and types a free-form response. Questions span Technical, Behavioral, and Problem-Solving categories at varying difficulty levels.</w:t>
      </w:r>
    </w:p>
    <w:p>
      <w:pPr>
        <w:spacing w:before="160" w:after="40"/>
      </w:pPr>
      <w:r>
        <w:rPr>
          <w:b/>
          <w:color w:val="1A73E8"/>
          <w:sz w:val="23"/>
        </w:rPr>
        <w:t>Step 3 — Real-Time AI Evaluation</w:t>
      </w:r>
    </w:p>
    <w:p>
      <w:pPr>
        <w:spacing w:after="120"/>
      </w:pPr>
      <w:r>
        <w:rPr>
          <w:b w:val="0"/>
          <w:i w:val="0"/>
          <w:color w:val="3C4043"/>
          <w:sz w:val="22"/>
        </w:rPr>
        <w:t>Upon each answer submission, the AI Evaluator scores the response against a four-metric rubric and provides immediate feedback identifying strengths, improvement areas, and any notable observations.</w:t>
      </w:r>
    </w:p>
    <w:p>
      <w:pPr>
        <w:spacing w:before="160" w:after="40"/>
      </w:pPr>
      <w:r>
        <w:rPr>
          <w:b/>
          <w:color w:val="1A73E8"/>
          <w:sz w:val="23"/>
        </w:rPr>
        <w:t>Step 4 — Session Completion and Results</w:t>
      </w:r>
    </w:p>
    <w:p>
      <w:pPr>
        <w:spacing w:after="120"/>
      </w:pPr>
      <w:r>
        <w:rPr>
          <w:b w:val="0"/>
          <w:i w:val="0"/>
          <w:color w:val="3C4043"/>
          <w:sz w:val="22"/>
        </w:rPr>
        <w:t>Upon completing all 10 questions, the candidate receives a session summary showing their aggregate interview score, a performance breakdown by category, and a final qualitative assessment. The complete session data is saved server-side and becomes immediately available to the recruiter.</w:t>
      </w:r>
    </w:p>
    <w:p>
      <w:r>
        <w:br w:type="page"/>
      </w:r>
    </w:p>
    <w:p>
      <w:pPr>
        <w:spacing w:before="360" w:after="80"/>
      </w:pPr>
      <w:r>
        <w:rPr>
          <w:b/>
          <w:color w:val="0D1B2A"/>
          <w:sz w:val="36"/>
        </w:rPr>
        <w:t>8.  Results and Performance Analysis</w:t>
      </w:r>
    </w:p>
    <w:p>
      <w:pPr>
        <w:pBdr>
          <w:bottom w:val="single" w:sz="12" w:space="1" w:color="1A73E8"/>
        </w:pBdr>
        <w:spacing w:after="80"/>
      </w:pPr>
    </w:p>
    <w:p/>
    <w:p>
      <w:pPr>
        <w:spacing w:before="240" w:after="40"/>
      </w:pPr>
      <w:r>
        <w:rPr>
          <w:b/>
          <w:color w:val="00897B"/>
          <w:sz w:val="26"/>
        </w:rPr>
        <w:t>8.1  System Performance Benchmarks</w:t>
      </w:r>
    </w:p>
    <w:p>
      <w:pPr>
        <w:spacing w:after="120"/>
      </w:pPr>
      <w:r>
        <w:rPr>
          <w:b w:val="0"/>
          <w:i w:val="0"/>
          <w:color w:val="3C4043"/>
          <w:sz w:val="22"/>
        </w:rPr>
        <w:t>Performance testing was conducted across varying resume pool sizes on a standard development machine (Intel Core i7, 16 GB RAM, Python 3.11, SSD storage). The table and charts below present measured response times and memory consumption for the core matching endpoint.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80"/>
            <w:shd w:val="clear" w:color="auto" w:fill="0D47A1"/>
            <w:vAlign w:val="center"/>
          </w:tcPr>
          <w:p>
            <w:pPr>
              <w:jc w:val="center"/>
            </w:pPr>
            <w:r>
              <w:rPr>
                <w:b/>
                <w:color w:val="FFFFFF"/>
                <w:sz w:val="20"/>
              </w:rPr>
              <w:t>Resume Pool Size</w:t>
            </w:r>
          </w:p>
        </w:tc>
        <w:tc>
          <w:tcPr>
            <w:tcW w:type="dxa" w:w="2880"/>
            <w:shd w:val="clear" w:color="auto" w:fill="0D47A1"/>
            <w:vAlign w:val="center"/>
          </w:tcPr>
          <w:p>
            <w:pPr>
              <w:jc w:val="center"/>
            </w:pPr>
            <w:r>
              <w:rPr>
                <w:b/>
                <w:color w:val="FFFFFF"/>
                <w:sz w:val="20"/>
              </w:rPr>
              <w:t>Avg. Response Time</w:t>
            </w:r>
          </w:p>
        </w:tc>
        <w:tc>
          <w:tcPr>
            <w:tcW w:type="dxa" w:w="2880"/>
            <w:shd w:val="clear" w:color="auto" w:fill="0D47A1"/>
            <w:vAlign w:val="center"/>
          </w:tcPr>
          <w:p>
            <w:pPr>
              <w:jc w:val="center"/>
            </w:pPr>
            <w:r>
              <w:rPr>
                <w:b/>
                <w:color w:val="FFFFFF"/>
                <w:sz w:val="20"/>
              </w:rPr>
              <w:t>Peak Memory Usage</w:t>
            </w:r>
          </w:p>
        </w:tc>
        <w:tc>
          <w:tcPr>
            <w:tcW w:type="dxa" w:w="4320"/>
            <w:shd w:val="clear" w:color="auto" w:fill="0D47A1"/>
            <w:vAlign w:val="center"/>
          </w:tcPr>
          <w:p>
            <w:pPr>
              <w:jc w:val="center"/>
            </w:pPr>
            <w:r>
              <w:rPr>
                <w:b/>
                <w:color w:val="FFFFFF"/>
                <w:sz w:val="20"/>
              </w:rPr>
              <w:t>Domain Detection Accuracy</w:t>
            </w:r>
          </w:p>
        </w:tc>
      </w:tr>
      <w:tr>
        <w:tc>
          <w:tcPr>
            <w:tcW w:type="dxa" w:w="2880"/>
            <w:shd w:val="clear" w:color="auto" w:fill="F5F7FA"/>
          </w:tcPr>
          <w:p>
            <w:pPr>
              <w:jc w:val="center"/>
            </w:pPr>
            <w:r>
              <w:rPr>
                <w:color w:val="3C4043"/>
                <w:sz w:val="20"/>
              </w:rPr>
              <w:t>10 resumes</w:t>
            </w:r>
          </w:p>
        </w:tc>
        <w:tc>
          <w:tcPr>
            <w:tcW w:type="dxa" w:w="2880"/>
            <w:shd w:val="clear" w:color="auto" w:fill="F5F7FA"/>
          </w:tcPr>
          <w:p>
            <w:pPr>
              <w:jc w:val="center"/>
            </w:pPr>
            <w:r>
              <w:rPr>
                <w:color w:val="3C4043"/>
                <w:sz w:val="20"/>
              </w:rPr>
              <w:t>0.8 seconds</w:t>
            </w:r>
          </w:p>
        </w:tc>
        <w:tc>
          <w:tcPr>
            <w:tcW w:type="dxa" w:w="2880"/>
            <w:shd w:val="clear" w:color="auto" w:fill="F5F7FA"/>
          </w:tcPr>
          <w:p>
            <w:pPr>
              <w:jc w:val="center"/>
            </w:pPr>
            <w:r>
              <w:rPr>
                <w:color w:val="3C4043"/>
                <w:sz w:val="20"/>
              </w:rPr>
              <w:t>~85 MB</w:t>
            </w:r>
          </w:p>
        </w:tc>
        <w:tc>
          <w:tcPr>
            <w:tcW w:type="dxa" w:w="4320"/>
            <w:shd w:val="clear" w:color="auto" w:fill="F5F7FA"/>
          </w:tcPr>
          <w:p>
            <w:pPr>
              <w:jc w:val="center"/>
            </w:pPr>
            <w:r>
              <w:rPr>
                <w:color w:val="3C4043"/>
                <w:sz w:val="20"/>
              </w:rPr>
              <w:t>96%</w:t>
            </w:r>
          </w:p>
        </w:tc>
      </w:tr>
      <w:tr>
        <w:tc>
          <w:tcPr>
            <w:tcW w:type="dxa" w:w="2880"/>
            <w:shd w:val="clear" w:color="auto" w:fill="FFFFFF"/>
          </w:tcPr>
          <w:p>
            <w:pPr>
              <w:jc w:val="center"/>
            </w:pPr>
            <w:r>
              <w:rPr>
                <w:color w:val="3C4043"/>
                <w:sz w:val="20"/>
              </w:rPr>
              <w:t>50 resumes</w:t>
            </w:r>
          </w:p>
        </w:tc>
        <w:tc>
          <w:tcPr>
            <w:tcW w:type="dxa" w:w="2880"/>
            <w:shd w:val="clear" w:color="auto" w:fill="FFFFFF"/>
          </w:tcPr>
          <w:p>
            <w:pPr>
              <w:jc w:val="center"/>
            </w:pPr>
            <w:r>
              <w:rPr>
                <w:color w:val="3C4043"/>
                <w:sz w:val="20"/>
              </w:rPr>
              <w:t>2.1 seconds</w:t>
            </w:r>
          </w:p>
        </w:tc>
        <w:tc>
          <w:tcPr>
            <w:tcW w:type="dxa" w:w="2880"/>
            <w:shd w:val="clear" w:color="auto" w:fill="FFFFFF"/>
          </w:tcPr>
          <w:p>
            <w:pPr>
              <w:jc w:val="center"/>
            </w:pPr>
            <w:r>
              <w:rPr>
                <w:color w:val="3C4043"/>
                <w:sz w:val="20"/>
              </w:rPr>
              <w:t>~120 MB</w:t>
            </w:r>
          </w:p>
        </w:tc>
        <w:tc>
          <w:tcPr>
            <w:tcW w:type="dxa" w:w="4320"/>
            <w:shd w:val="clear" w:color="auto" w:fill="FFFFFF"/>
          </w:tcPr>
          <w:p>
            <w:pPr>
              <w:jc w:val="center"/>
            </w:pPr>
            <w:r>
              <w:rPr>
                <w:color w:val="3C4043"/>
                <w:sz w:val="20"/>
              </w:rPr>
              <w:t>96%</w:t>
            </w:r>
          </w:p>
        </w:tc>
      </w:tr>
      <w:tr>
        <w:tc>
          <w:tcPr>
            <w:tcW w:type="dxa" w:w="2880"/>
            <w:shd w:val="clear" w:color="auto" w:fill="F5F7FA"/>
          </w:tcPr>
          <w:p>
            <w:pPr>
              <w:jc w:val="center"/>
            </w:pPr>
            <w:r>
              <w:rPr>
                <w:color w:val="3C4043"/>
                <w:sz w:val="20"/>
              </w:rPr>
              <w:t>100 resumes</w:t>
            </w:r>
          </w:p>
        </w:tc>
        <w:tc>
          <w:tcPr>
            <w:tcW w:type="dxa" w:w="2880"/>
            <w:shd w:val="clear" w:color="auto" w:fill="F5F7FA"/>
          </w:tcPr>
          <w:p>
            <w:pPr>
              <w:jc w:val="center"/>
            </w:pPr>
            <w:r>
              <w:rPr>
                <w:color w:val="3C4043"/>
                <w:sz w:val="20"/>
              </w:rPr>
              <w:t>4.3 seconds</w:t>
            </w:r>
          </w:p>
        </w:tc>
        <w:tc>
          <w:tcPr>
            <w:tcW w:type="dxa" w:w="2880"/>
            <w:shd w:val="clear" w:color="auto" w:fill="F5F7FA"/>
          </w:tcPr>
          <w:p>
            <w:pPr>
              <w:jc w:val="center"/>
            </w:pPr>
            <w:r>
              <w:rPr>
                <w:color w:val="3C4043"/>
                <w:sz w:val="20"/>
              </w:rPr>
              <w:t>~165 MB</w:t>
            </w:r>
          </w:p>
        </w:tc>
        <w:tc>
          <w:tcPr>
            <w:tcW w:type="dxa" w:w="4320"/>
            <w:shd w:val="clear" w:color="auto" w:fill="F5F7FA"/>
          </w:tcPr>
          <w:p>
            <w:pPr>
              <w:jc w:val="center"/>
            </w:pPr>
            <w:r>
              <w:rPr>
                <w:color w:val="3C4043"/>
                <w:sz w:val="20"/>
              </w:rPr>
              <w:t>96%</w:t>
            </w:r>
          </w:p>
        </w:tc>
      </w:tr>
      <w:tr>
        <w:tc>
          <w:tcPr>
            <w:tcW w:type="dxa" w:w="2880"/>
            <w:shd w:val="clear" w:color="auto" w:fill="FFFFFF"/>
          </w:tcPr>
          <w:p>
            <w:pPr>
              <w:jc w:val="center"/>
            </w:pPr>
            <w:r>
              <w:rPr>
                <w:color w:val="3C4043"/>
                <w:sz w:val="20"/>
              </w:rPr>
              <w:t>500 resumes</w:t>
            </w:r>
          </w:p>
        </w:tc>
        <w:tc>
          <w:tcPr>
            <w:tcW w:type="dxa" w:w="2880"/>
            <w:shd w:val="clear" w:color="auto" w:fill="FFFFFF"/>
          </w:tcPr>
          <w:p>
            <w:pPr>
              <w:jc w:val="center"/>
            </w:pPr>
            <w:r>
              <w:rPr>
                <w:color w:val="3C4043"/>
                <w:sz w:val="20"/>
              </w:rPr>
              <w:t>18.0 seconds</w:t>
            </w:r>
          </w:p>
        </w:tc>
        <w:tc>
          <w:tcPr>
            <w:tcW w:type="dxa" w:w="2880"/>
            <w:shd w:val="clear" w:color="auto" w:fill="FFFFFF"/>
          </w:tcPr>
          <w:p>
            <w:pPr>
              <w:jc w:val="center"/>
            </w:pPr>
            <w:r>
              <w:rPr>
                <w:color w:val="3C4043"/>
                <w:sz w:val="20"/>
              </w:rPr>
              <w:t>~310 MB</w:t>
            </w:r>
          </w:p>
        </w:tc>
        <w:tc>
          <w:tcPr>
            <w:tcW w:type="dxa" w:w="4320"/>
            <w:shd w:val="clear" w:color="auto" w:fill="FFFFFF"/>
          </w:tcPr>
          <w:p>
            <w:pPr>
              <w:jc w:val="center"/>
            </w:pPr>
            <w:r>
              <w:rPr>
                <w:color w:val="3C4043"/>
                <w:sz w:val="20"/>
              </w:rPr>
              <w:t>96%</w:t>
            </w:r>
          </w:p>
        </w:tc>
      </w:tr>
      <w:tr>
        <w:tc>
          <w:tcPr>
            <w:tcW w:type="dxa" w:w="2880"/>
            <w:shd w:val="clear" w:color="auto" w:fill="F5F7FA"/>
          </w:tcPr>
          <w:p>
            <w:pPr>
              <w:jc w:val="center"/>
            </w:pPr>
            <w:r>
              <w:rPr>
                <w:color w:val="3C4043"/>
                <w:sz w:val="20"/>
              </w:rPr>
              <w:t>1,000 resumes</w:t>
            </w:r>
          </w:p>
        </w:tc>
        <w:tc>
          <w:tcPr>
            <w:tcW w:type="dxa" w:w="2880"/>
            <w:shd w:val="clear" w:color="auto" w:fill="F5F7FA"/>
          </w:tcPr>
          <w:p>
            <w:pPr>
              <w:jc w:val="center"/>
            </w:pPr>
            <w:r>
              <w:rPr>
                <w:color w:val="3C4043"/>
                <w:sz w:val="20"/>
              </w:rPr>
              <w:t>35.0 seconds</w:t>
            </w:r>
          </w:p>
        </w:tc>
        <w:tc>
          <w:tcPr>
            <w:tcW w:type="dxa" w:w="2880"/>
            <w:shd w:val="clear" w:color="auto" w:fill="F5F7FA"/>
          </w:tcPr>
          <w:p>
            <w:pPr>
              <w:jc w:val="center"/>
            </w:pPr>
            <w:r>
              <w:rPr>
                <w:color w:val="3C4043"/>
                <w:sz w:val="20"/>
              </w:rPr>
              <w:t>~520 MB</w:t>
            </w:r>
          </w:p>
        </w:tc>
        <w:tc>
          <w:tcPr>
            <w:tcW w:type="dxa" w:w="4320"/>
            <w:shd w:val="clear" w:color="auto" w:fill="F5F7FA"/>
          </w:tcPr>
          <w:p>
            <w:pPr>
              <w:jc w:val="center"/>
            </w:pPr>
            <w:r>
              <w:rPr>
                <w:color w:val="3C4043"/>
                <w:sz w:val="20"/>
              </w:rPr>
              <w:t>96%</w:t>
            </w:r>
          </w:p>
        </w:tc>
      </w:tr>
    </w:tbl>
    <w:p/>
    <w:p>
      <w:pPr>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minimal_color_perf_1775663601381.pn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i/>
          <w:color w:val="3C4043"/>
          <w:sz w:val="19"/>
        </w:rPr>
        <w:t>Figure 5 — Performance Metrics: Response Time Scaling, 6-Factor Discriminative Power, AI Interview Accuracy, and Screening Efficiency Comparison.</w:t>
      </w:r>
    </w:p>
    <w:p>
      <w:pPr>
        <w:spacing w:before="240" w:after="40"/>
      </w:pPr>
      <w:r>
        <w:rPr>
          <w:b/>
          <w:color w:val="00897B"/>
          <w:sz w:val="26"/>
        </w:rPr>
        <w:t>8.2  Scoring Component Discriminative Power Analysis</w:t>
      </w:r>
    </w:p>
    <w:p>
      <w:pPr>
        <w:spacing w:after="120"/>
      </w:pPr>
      <w:r>
        <w:rPr>
          <w:b w:val="0"/>
          <w:i w:val="0"/>
          <w:color w:val="3C4043"/>
          <w:sz w:val="22"/>
        </w:rPr>
        <w:t>To evaluate the effectiveness of each scoring component, 50 manually labelled resumes were scored against five distinct job descriptions. For each component, the average score was computed separately for truly relevant candidates (ground truth labelled by two HR experts) and clearly irrelevant candidates. The discriminative gap — the difference in average scores between relevant and irrelevant resumes — is the primary indicator of component value.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68"/>
            <w:shd w:val="clear" w:color="auto" w:fill="0D47A1"/>
            <w:vAlign w:val="center"/>
          </w:tcPr>
          <w:p>
            <w:pPr>
              <w:jc w:val="center"/>
            </w:pPr>
            <w:r>
              <w:rPr>
                <w:b/>
                <w:color w:val="FFFFFF"/>
                <w:sz w:val="20"/>
              </w:rPr>
              <w:t>Scoring Component</w:t>
            </w:r>
          </w:p>
        </w:tc>
        <w:tc>
          <w:tcPr>
            <w:tcW w:type="dxa" w:w="2880"/>
            <w:shd w:val="clear" w:color="auto" w:fill="0D47A1"/>
            <w:vAlign w:val="center"/>
          </w:tcPr>
          <w:p>
            <w:pPr>
              <w:jc w:val="center"/>
            </w:pPr>
            <w:r>
              <w:rPr>
                <w:b/>
                <w:color w:val="FFFFFF"/>
                <w:sz w:val="20"/>
              </w:rPr>
              <w:t>Avg. Score – Relevant</w:t>
            </w:r>
          </w:p>
        </w:tc>
        <w:tc>
          <w:tcPr>
            <w:tcW w:type="dxa" w:w="3168"/>
            <w:shd w:val="clear" w:color="auto" w:fill="0D47A1"/>
            <w:vAlign w:val="center"/>
          </w:tcPr>
          <w:p>
            <w:pPr>
              <w:jc w:val="center"/>
            </w:pPr>
            <w:r>
              <w:rPr>
                <w:b/>
                <w:color w:val="FFFFFF"/>
                <w:sz w:val="20"/>
              </w:rPr>
              <w:t>Avg. Score – Irrelevant</w:t>
            </w:r>
          </w:p>
        </w:tc>
        <w:tc>
          <w:tcPr>
            <w:tcW w:type="dxa" w:w="3744"/>
            <w:shd w:val="clear" w:color="auto" w:fill="0D47A1"/>
            <w:vAlign w:val="center"/>
          </w:tcPr>
          <w:p>
            <w:pPr>
              <w:jc w:val="center"/>
            </w:pPr>
            <w:r>
              <w:rPr>
                <w:b/>
                <w:color w:val="FFFFFF"/>
                <w:sz w:val="20"/>
              </w:rPr>
              <w:t>Gap (Discriminative Power)</w:t>
            </w:r>
          </w:p>
        </w:tc>
      </w:tr>
      <w:tr>
        <w:tc>
          <w:tcPr>
            <w:tcW w:type="dxa" w:w="3168"/>
            <w:shd w:val="clear" w:color="auto" w:fill="F5F7FA"/>
          </w:tcPr>
          <w:p>
            <w:pPr>
              <w:jc w:val="center"/>
            </w:pPr>
            <w:r>
              <w:rPr>
                <w:color w:val="3C4043"/>
                <w:sz w:val="20"/>
              </w:rPr>
              <w:t>TF-IDF Cosine</w:t>
            </w:r>
          </w:p>
        </w:tc>
        <w:tc>
          <w:tcPr>
            <w:tcW w:type="dxa" w:w="2880"/>
            <w:shd w:val="clear" w:color="auto" w:fill="F5F7FA"/>
          </w:tcPr>
          <w:p>
            <w:pPr>
              <w:jc w:val="center"/>
            </w:pPr>
            <w:r>
              <w:rPr>
                <w:color w:val="3C4043"/>
                <w:sz w:val="20"/>
              </w:rPr>
              <w:t>0.41</w:t>
            </w:r>
          </w:p>
        </w:tc>
        <w:tc>
          <w:tcPr>
            <w:tcW w:type="dxa" w:w="3168"/>
            <w:shd w:val="clear" w:color="auto" w:fill="F5F7FA"/>
          </w:tcPr>
          <w:p>
            <w:pPr>
              <w:jc w:val="center"/>
            </w:pPr>
            <w:r>
              <w:rPr>
                <w:color w:val="3C4043"/>
                <w:sz w:val="20"/>
              </w:rPr>
              <w:t>0.08</w:t>
            </w:r>
          </w:p>
        </w:tc>
        <w:tc>
          <w:tcPr>
            <w:tcW w:type="dxa" w:w="3744"/>
            <w:shd w:val="clear" w:color="auto" w:fill="F5F7FA"/>
          </w:tcPr>
          <w:p>
            <w:pPr>
              <w:jc w:val="center"/>
            </w:pPr>
            <w:r>
              <w:rPr>
                <w:color w:val="3C4043"/>
                <w:sz w:val="20"/>
              </w:rPr>
              <w:t>0.33 — High</w:t>
            </w:r>
          </w:p>
        </w:tc>
      </w:tr>
      <w:tr>
        <w:tc>
          <w:tcPr>
            <w:tcW w:type="dxa" w:w="3168"/>
            <w:shd w:val="clear" w:color="auto" w:fill="FFFFFF"/>
          </w:tcPr>
          <w:p>
            <w:pPr>
              <w:jc w:val="center"/>
            </w:pPr>
            <w:r>
              <w:rPr>
                <w:color w:val="3C4043"/>
                <w:sz w:val="20"/>
              </w:rPr>
              <w:t>Keyword Matching</w:t>
            </w:r>
          </w:p>
        </w:tc>
        <w:tc>
          <w:tcPr>
            <w:tcW w:type="dxa" w:w="2880"/>
            <w:shd w:val="clear" w:color="auto" w:fill="FFFFFF"/>
          </w:tcPr>
          <w:p>
            <w:pPr>
              <w:jc w:val="center"/>
            </w:pPr>
            <w:r>
              <w:rPr>
                <w:color w:val="3C4043"/>
                <w:sz w:val="20"/>
              </w:rPr>
              <w:t>0.58</w:t>
            </w:r>
          </w:p>
        </w:tc>
        <w:tc>
          <w:tcPr>
            <w:tcW w:type="dxa" w:w="3168"/>
            <w:shd w:val="clear" w:color="auto" w:fill="FFFFFF"/>
          </w:tcPr>
          <w:p>
            <w:pPr>
              <w:jc w:val="center"/>
            </w:pPr>
            <w:r>
              <w:rPr>
                <w:color w:val="3C4043"/>
                <w:sz w:val="20"/>
              </w:rPr>
              <w:t>0.12</w:t>
            </w:r>
          </w:p>
        </w:tc>
        <w:tc>
          <w:tcPr>
            <w:tcW w:type="dxa" w:w="3744"/>
            <w:shd w:val="clear" w:color="auto" w:fill="FFFFFF"/>
          </w:tcPr>
          <w:p>
            <w:pPr>
              <w:jc w:val="center"/>
            </w:pPr>
            <w:r>
              <w:rPr>
                <w:color w:val="3C4043"/>
                <w:sz w:val="20"/>
              </w:rPr>
              <w:t>0.46 — Very High</w:t>
            </w:r>
          </w:p>
        </w:tc>
      </w:tr>
      <w:tr>
        <w:tc>
          <w:tcPr>
            <w:tcW w:type="dxa" w:w="3168"/>
            <w:shd w:val="clear" w:color="auto" w:fill="F5F7FA"/>
          </w:tcPr>
          <w:p>
            <w:pPr>
              <w:jc w:val="center"/>
            </w:pPr>
            <w:r>
              <w:rPr>
                <w:color w:val="3C4043"/>
                <w:sz w:val="20"/>
              </w:rPr>
              <w:t>Semantic Similarity</w:t>
            </w:r>
          </w:p>
        </w:tc>
        <w:tc>
          <w:tcPr>
            <w:tcW w:type="dxa" w:w="2880"/>
            <w:shd w:val="clear" w:color="auto" w:fill="F5F7FA"/>
          </w:tcPr>
          <w:p>
            <w:pPr>
              <w:jc w:val="center"/>
            </w:pPr>
            <w:r>
              <w:rPr>
                <w:color w:val="3C4043"/>
                <w:sz w:val="20"/>
              </w:rPr>
              <w:t>0.72</w:t>
            </w:r>
          </w:p>
        </w:tc>
        <w:tc>
          <w:tcPr>
            <w:tcW w:type="dxa" w:w="3168"/>
            <w:shd w:val="clear" w:color="auto" w:fill="F5F7FA"/>
          </w:tcPr>
          <w:p>
            <w:pPr>
              <w:jc w:val="center"/>
            </w:pPr>
            <w:r>
              <w:rPr>
                <w:color w:val="3C4043"/>
                <w:sz w:val="20"/>
              </w:rPr>
              <w:t>0.51</w:t>
            </w:r>
          </w:p>
        </w:tc>
        <w:tc>
          <w:tcPr>
            <w:tcW w:type="dxa" w:w="3744"/>
            <w:shd w:val="clear" w:color="auto" w:fill="F5F7FA"/>
          </w:tcPr>
          <w:p>
            <w:pPr>
              <w:jc w:val="center"/>
            </w:pPr>
            <w:r>
              <w:rPr>
                <w:color w:val="3C4043"/>
                <w:sz w:val="20"/>
              </w:rPr>
              <w:t>0.21 — Medium</w:t>
            </w:r>
          </w:p>
        </w:tc>
      </w:tr>
      <w:tr>
        <w:tc>
          <w:tcPr>
            <w:tcW w:type="dxa" w:w="3168"/>
            <w:shd w:val="clear" w:color="auto" w:fill="FFFFFF"/>
          </w:tcPr>
          <w:p>
            <w:pPr>
              <w:jc w:val="center"/>
            </w:pPr>
            <w:r>
              <w:rPr>
                <w:color w:val="3C4043"/>
                <w:sz w:val="20"/>
              </w:rPr>
              <w:t>Experience Match</w:t>
            </w:r>
          </w:p>
        </w:tc>
        <w:tc>
          <w:tcPr>
            <w:tcW w:type="dxa" w:w="2880"/>
            <w:shd w:val="clear" w:color="auto" w:fill="FFFFFF"/>
          </w:tcPr>
          <w:p>
            <w:pPr>
              <w:jc w:val="center"/>
            </w:pPr>
            <w:r>
              <w:rPr>
                <w:color w:val="3C4043"/>
                <w:sz w:val="20"/>
              </w:rPr>
              <w:t>0.82</w:t>
            </w:r>
          </w:p>
        </w:tc>
        <w:tc>
          <w:tcPr>
            <w:tcW w:type="dxa" w:w="3168"/>
            <w:shd w:val="clear" w:color="auto" w:fill="FFFFFF"/>
          </w:tcPr>
          <w:p>
            <w:pPr>
              <w:jc w:val="center"/>
            </w:pPr>
            <w:r>
              <w:rPr>
                <w:color w:val="3C4043"/>
                <w:sz w:val="20"/>
              </w:rPr>
              <w:t>0.35</w:t>
            </w:r>
          </w:p>
        </w:tc>
        <w:tc>
          <w:tcPr>
            <w:tcW w:type="dxa" w:w="3744"/>
            <w:shd w:val="clear" w:color="auto" w:fill="FFFFFF"/>
          </w:tcPr>
          <w:p>
            <w:pPr>
              <w:jc w:val="center"/>
            </w:pPr>
            <w:r>
              <w:rPr>
                <w:color w:val="3C4043"/>
                <w:sz w:val="20"/>
              </w:rPr>
              <w:t>0.47 — High</w:t>
            </w:r>
          </w:p>
        </w:tc>
      </w:tr>
      <w:tr>
        <w:tc>
          <w:tcPr>
            <w:tcW w:type="dxa" w:w="3168"/>
            <w:shd w:val="clear" w:color="auto" w:fill="F5F7FA"/>
          </w:tcPr>
          <w:p>
            <w:pPr>
              <w:jc w:val="center"/>
            </w:pPr>
            <w:r>
              <w:rPr>
                <w:color w:val="3C4043"/>
                <w:sz w:val="20"/>
              </w:rPr>
              <w:t>Domain Classification</w:t>
            </w:r>
          </w:p>
        </w:tc>
        <w:tc>
          <w:tcPr>
            <w:tcW w:type="dxa" w:w="2880"/>
            <w:shd w:val="clear" w:color="auto" w:fill="F5F7FA"/>
          </w:tcPr>
          <w:p>
            <w:pPr>
              <w:jc w:val="center"/>
            </w:pPr>
            <w:r>
              <w:rPr>
                <w:color w:val="3C4043"/>
                <w:sz w:val="20"/>
              </w:rPr>
              <w:t>0.65</w:t>
            </w:r>
          </w:p>
        </w:tc>
        <w:tc>
          <w:tcPr>
            <w:tcW w:type="dxa" w:w="3168"/>
            <w:shd w:val="clear" w:color="auto" w:fill="F5F7FA"/>
          </w:tcPr>
          <w:p>
            <w:pPr>
              <w:jc w:val="center"/>
            </w:pPr>
            <w:r>
              <w:rPr>
                <w:color w:val="3C4043"/>
                <w:sz w:val="20"/>
              </w:rPr>
              <w:t>0.15</w:t>
            </w:r>
          </w:p>
        </w:tc>
        <w:tc>
          <w:tcPr>
            <w:tcW w:type="dxa" w:w="3744"/>
            <w:shd w:val="clear" w:color="auto" w:fill="F5F7FA"/>
          </w:tcPr>
          <w:p>
            <w:pPr>
              <w:jc w:val="center"/>
            </w:pPr>
            <w:r>
              <w:rPr>
                <w:color w:val="3C4043"/>
                <w:sz w:val="20"/>
              </w:rPr>
              <w:t>0.50 — Very High</w:t>
            </w:r>
          </w:p>
        </w:tc>
      </w:tr>
      <w:tr>
        <w:tc>
          <w:tcPr>
            <w:tcW w:type="dxa" w:w="3168"/>
            <w:shd w:val="clear" w:color="auto" w:fill="FFFFFF"/>
          </w:tcPr>
          <w:p>
            <w:pPr>
              <w:jc w:val="center"/>
            </w:pPr>
            <w:r>
              <w:rPr>
                <w:color w:val="3C4043"/>
                <w:sz w:val="20"/>
              </w:rPr>
              <w:t>Education Level</w:t>
            </w:r>
          </w:p>
        </w:tc>
        <w:tc>
          <w:tcPr>
            <w:tcW w:type="dxa" w:w="2880"/>
            <w:shd w:val="clear" w:color="auto" w:fill="FFFFFF"/>
          </w:tcPr>
          <w:p>
            <w:pPr>
              <w:jc w:val="center"/>
            </w:pPr>
            <w:r>
              <w:rPr>
                <w:color w:val="3C4043"/>
                <w:sz w:val="20"/>
              </w:rPr>
              <w:t>0.78</w:t>
            </w:r>
          </w:p>
        </w:tc>
        <w:tc>
          <w:tcPr>
            <w:tcW w:type="dxa" w:w="3168"/>
            <w:shd w:val="clear" w:color="auto" w:fill="FFFFFF"/>
          </w:tcPr>
          <w:p>
            <w:pPr>
              <w:jc w:val="center"/>
            </w:pPr>
            <w:r>
              <w:rPr>
                <w:color w:val="3C4043"/>
                <w:sz w:val="20"/>
              </w:rPr>
              <w:t>0.62</w:t>
            </w:r>
          </w:p>
        </w:tc>
        <w:tc>
          <w:tcPr>
            <w:tcW w:type="dxa" w:w="3744"/>
            <w:shd w:val="clear" w:color="auto" w:fill="FFFFFF"/>
          </w:tcPr>
          <w:p>
            <w:pPr>
              <w:jc w:val="center"/>
            </w:pPr>
            <w:r>
              <w:rPr>
                <w:color w:val="3C4043"/>
                <w:sz w:val="20"/>
              </w:rPr>
              <w:t>0.16 — Low–Medium</w:t>
            </w:r>
          </w:p>
        </w:tc>
      </w:tr>
    </w:tbl>
    <w:p/>
    <w:p>
      <w:pPr>
        <w:spacing w:after="120"/>
      </w:pPr>
      <w:r>
        <w:rPr>
          <w:b w:val="0"/>
          <w:i w:val="0"/>
          <w:color w:val="3C4043"/>
          <w:sz w:val="22"/>
        </w:rPr>
        <w:t>Key finding: Keyword Matching and Domain Classification exhibit the highest discriminative power (gaps of 0.46 and 0.50 respectively), confirming that domain-adaptive keyword selection is the most impactful design decision in the scoring architecture. Semantic Similarity and Education Level show lower gaps, consistent with literature showing that context-free semantic models struggle with technical vocabulary and that education requirements are often loosely defined in job postings.</w:t>
      </w:r>
    </w:p>
    <w:p>
      <w:pPr>
        <w:spacing w:before="240" w:after="40"/>
      </w:pPr>
      <w:r>
        <w:rPr>
          <w:b/>
          <w:color w:val="00897B"/>
          <w:sz w:val="26"/>
        </w:rPr>
        <w:t>8.3  AI Interview Module Evaluation Results</w:t>
      </w:r>
    </w:p>
    <w:p>
      <w:pPr>
        <w:spacing w:after="120"/>
      </w:pPr>
      <w:r>
        <w:rPr>
          <w:b w:val="0"/>
          <w:i w:val="0"/>
          <w:color w:val="3C4043"/>
          <w:sz w:val="22"/>
        </w:rPr>
        <w:t>The AI Interview module was evaluated across 20 simulated interview sessions spanning four professional domains: Software Engineering, Data Science, DevOps, and Frontend Development. Each session contained 10 questions. Ground-truth scoring was provided by two experienced technical interviewers working independently.</w:t>
      </w:r>
    </w:p>
    <w:tbl>
      <w:tblPr>
        <w:tblStyle w:val="TableGrid"/>
        <w:tblW w:type="auto" w:w="0"/>
        <w:jc w:val="center"/>
        <w:tblLook w:firstColumn="1" w:firstRow="1" w:lastColumn="0" w:lastRow="0" w:noHBand="0" w:noVBand="1" w:val="04A0"/>
      </w:tblPr>
      <w:tblGrid>
        <w:gridCol w:w="3041"/>
        <w:gridCol w:w="3041"/>
        <w:gridCol w:w="3041"/>
      </w:tblGrid>
      <w:tr>
        <w:tc>
          <w:tcPr>
            <w:tcW w:type="dxa" w:w="4608"/>
            <w:shd w:val="clear" w:color="auto" w:fill="0D47A1"/>
            <w:vAlign w:val="center"/>
          </w:tcPr>
          <w:p>
            <w:pPr>
              <w:jc w:val="center"/>
            </w:pPr>
            <w:r>
              <w:rPr>
                <w:b/>
                <w:color w:val="FFFFFF"/>
                <w:sz w:val="20"/>
              </w:rPr>
              <w:t>Metric</w:t>
            </w:r>
          </w:p>
        </w:tc>
        <w:tc>
          <w:tcPr>
            <w:tcW w:type="dxa" w:w="2016"/>
            <w:shd w:val="clear" w:color="auto" w:fill="0D47A1"/>
            <w:vAlign w:val="center"/>
          </w:tcPr>
          <w:p>
            <w:pPr>
              <w:jc w:val="center"/>
            </w:pPr>
            <w:r>
              <w:rPr>
                <w:b/>
                <w:color w:val="FFFFFF"/>
                <w:sz w:val="20"/>
              </w:rPr>
              <w:t>Value</w:t>
            </w:r>
          </w:p>
        </w:tc>
        <w:tc>
          <w:tcPr>
            <w:tcW w:type="dxa" w:w="3456"/>
            <w:shd w:val="clear" w:color="auto" w:fill="0D47A1"/>
            <w:vAlign w:val="center"/>
          </w:tcPr>
          <w:p>
            <w:pPr>
              <w:jc w:val="center"/>
            </w:pPr>
            <w:r>
              <w:rPr>
                <w:b/>
                <w:color w:val="FFFFFF"/>
                <w:sz w:val="20"/>
              </w:rPr>
              <w:t>Benchmark / Target</w:t>
            </w:r>
          </w:p>
        </w:tc>
      </w:tr>
      <w:tr>
        <w:tc>
          <w:tcPr>
            <w:tcW w:type="dxa" w:w="4608"/>
            <w:shd w:val="clear" w:color="auto" w:fill="F5F7FA"/>
          </w:tcPr>
          <w:p>
            <w:pPr>
              <w:jc w:val="center"/>
            </w:pPr>
            <w:r>
              <w:rPr>
                <w:color w:val="3C4043"/>
                <w:sz w:val="20"/>
              </w:rPr>
              <w:t>Question Relevance Rate</w:t>
            </w:r>
          </w:p>
        </w:tc>
        <w:tc>
          <w:tcPr>
            <w:tcW w:type="dxa" w:w="2016"/>
            <w:shd w:val="clear" w:color="auto" w:fill="F5F7FA"/>
          </w:tcPr>
          <w:p>
            <w:pPr>
              <w:jc w:val="center"/>
            </w:pPr>
            <w:r>
              <w:rPr>
                <w:color w:val="3C4043"/>
                <w:sz w:val="20"/>
              </w:rPr>
              <w:t>91.5%</w:t>
            </w:r>
          </w:p>
        </w:tc>
        <w:tc>
          <w:tcPr>
            <w:tcW w:type="dxa" w:w="3456"/>
            <w:shd w:val="clear" w:color="auto" w:fill="F5F7FA"/>
          </w:tcPr>
          <w:p>
            <w:pPr>
              <w:jc w:val="center"/>
            </w:pPr>
            <w:r>
              <w:rPr>
                <w:color w:val="3C4043"/>
                <w:sz w:val="20"/>
              </w:rPr>
              <w:t>≥ 85% (Target met)</w:t>
            </w:r>
          </w:p>
        </w:tc>
      </w:tr>
      <w:tr>
        <w:tc>
          <w:tcPr>
            <w:tcW w:type="dxa" w:w="4608"/>
            <w:shd w:val="clear" w:color="auto" w:fill="FFFFFF"/>
          </w:tcPr>
          <w:p>
            <w:pPr>
              <w:jc w:val="center"/>
            </w:pPr>
            <w:r>
              <w:rPr>
                <w:color w:val="3C4043"/>
                <w:sz w:val="20"/>
              </w:rPr>
              <w:t>Gemini Evaluation Agreement (±1.5)</w:t>
            </w:r>
          </w:p>
        </w:tc>
        <w:tc>
          <w:tcPr>
            <w:tcW w:type="dxa" w:w="2016"/>
            <w:shd w:val="clear" w:color="auto" w:fill="FFFFFF"/>
          </w:tcPr>
          <w:p>
            <w:pPr>
              <w:jc w:val="center"/>
            </w:pPr>
            <w:r>
              <w:rPr>
                <w:color w:val="3C4043"/>
                <w:sz w:val="20"/>
              </w:rPr>
              <w:t>84.0%</w:t>
            </w:r>
          </w:p>
        </w:tc>
        <w:tc>
          <w:tcPr>
            <w:tcW w:type="dxa" w:w="3456"/>
            <w:shd w:val="clear" w:color="auto" w:fill="FFFFFF"/>
          </w:tcPr>
          <w:p>
            <w:pPr>
              <w:jc w:val="center"/>
            </w:pPr>
            <w:r>
              <w:rPr>
                <w:color w:val="3C4043"/>
                <w:sz w:val="20"/>
              </w:rPr>
              <w:t>≥ 80% (Target met)</w:t>
            </w:r>
          </w:p>
        </w:tc>
      </w:tr>
      <w:tr>
        <w:tc>
          <w:tcPr>
            <w:tcW w:type="dxa" w:w="4608"/>
            <w:shd w:val="clear" w:color="auto" w:fill="F5F7FA"/>
          </w:tcPr>
          <w:p>
            <w:pPr>
              <w:jc w:val="center"/>
            </w:pPr>
            <w:r>
              <w:rPr>
                <w:color w:val="3C4043"/>
                <w:sz w:val="20"/>
              </w:rPr>
              <w:t>SpaCy Fallback Agreement (±1.5)</w:t>
            </w:r>
          </w:p>
        </w:tc>
        <w:tc>
          <w:tcPr>
            <w:tcW w:type="dxa" w:w="2016"/>
            <w:shd w:val="clear" w:color="auto" w:fill="F5F7FA"/>
          </w:tcPr>
          <w:p>
            <w:pPr>
              <w:jc w:val="center"/>
            </w:pPr>
            <w:r>
              <w:rPr>
                <w:color w:val="3C4043"/>
                <w:sz w:val="20"/>
              </w:rPr>
              <w:t>78.0%</w:t>
            </w:r>
          </w:p>
        </w:tc>
        <w:tc>
          <w:tcPr>
            <w:tcW w:type="dxa" w:w="3456"/>
            <w:shd w:val="clear" w:color="auto" w:fill="F5F7FA"/>
          </w:tcPr>
          <w:p>
            <w:pPr>
              <w:jc w:val="center"/>
            </w:pPr>
            <w:r>
              <w:rPr>
                <w:color w:val="3C4043"/>
                <w:sz w:val="20"/>
              </w:rPr>
              <w:t>≥ 70% (Target met)</w:t>
            </w:r>
          </w:p>
        </w:tc>
      </w:tr>
      <w:tr>
        <w:tc>
          <w:tcPr>
            <w:tcW w:type="dxa" w:w="4608"/>
            <w:shd w:val="clear" w:color="auto" w:fill="FFFFFF"/>
          </w:tcPr>
          <w:p>
            <w:pPr>
              <w:jc w:val="center"/>
            </w:pPr>
            <w:r>
              <w:rPr>
                <w:color w:val="3C4043"/>
                <w:sz w:val="20"/>
              </w:rPr>
              <w:t>Avg. Question Generation Time</w:t>
            </w:r>
          </w:p>
        </w:tc>
        <w:tc>
          <w:tcPr>
            <w:tcW w:type="dxa" w:w="2016"/>
            <w:shd w:val="clear" w:color="auto" w:fill="FFFFFF"/>
          </w:tcPr>
          <w:p>
            <w:pPr>
              <w:jc w:val="center"/>
            </w:pPr>
            <w:r>
              <w:rPr>
                <w:color w:val="3C4043"/>
                <w:sz w:val="20"/>
              </w:rPr>
              <w:t>1.8 sec</w:t>
            </w:r>
          </w:p>
        </w:tc>
        <w:tc>
          <w:tcPr>
            <w:tcW w:type="dxa" w:w="3456"/>
            <w:shd w:val="clear" w:color="auto" w:fill="FFFFFF"/>
          </w:tcPr>
          <w:p>
            <w:pPr>
              <w:jc w:val="center"/>
            </w:pPr>
            <w:r>
              <w:rPr>
                <w:color w:val="3C4043"/>
                <w:sz w:val="20"/>
              </w:rPr>
              <w:t>&lt; 3 sec (Target met)</w:t>
            </w:r>
          </w:p>
        </w:tc>
      </w:tr>
      <w:tr>
        <w:tc>
          <w:tcPr>
            <w:tcW w:type="dxa" w:w="4608"/>
            <w:shd w:val="clear" w:color="auto" w:fill="F5F7FA"/>
          </w:tcPr>
          <w:p>
            <w:pPr>
              <w:jc w:val="center"/>
            </w:pPr>
            <w:r>
              <w:rPr>
                <w:color w:val="3C4043"/>
                <w:sz w:val="20"/>
              </w:rPr>
              <w:t>Avg. Answer Evaluation Time</w:t>
            </w:r>
          </w:p>
        </w:tc>
        <w:tc>
          <w:tcPr>
            <w:tcW w:type="dxa" w:w="2016"/>
            <w:shd w:val="clear" w:color="auto" w:fill="F5F7FA"/>
          </w:tcPr>
          <w:p>
            <w:pPr>
              <w:jc w:val="center"/>
            </w:pPr>
            <w:r>
              <w:rPr>
                <w:color w:val="3C4043"/>
                <w:sz w:val="20"/>
              </w:rPr>
              <w:t>2.3 sec</w:t>
            </w:r>
          </w:p>
        </w:tc>
        <w:tc>
          <w:tcPr>
            <w:tcW w:type="dxa" w:w="3456"/>
            <w:shd w:val="clear" w:color="auto" w:fill="F5F7FA"/>
          </w:tcPr>
          <w:p>
            <w:pPr>
              <w:jc w:val="center"/>
            </w:pPr>
            <w:r>
              <w:rPr>
                <w:color w:val="3C4043"/>
                <w:sz w:val="20"/>
              </w:rPr>
              <w:t>&lt; 4 sec (Target met)</w:t>
            </w:r>
          </w:p>
        </w:tc>
      </w:tr>
      <w:tr>
        <w:tc>
          <w:tcPr>
            <w:tcW w:type="dxa" w:w="4608"/>
            <w:shd w:val="clear" w:color="auto" w:fill="FFFFFF"/>
          </w:tcPr>
          <w:p>
            <w:pPr>
              <w:jc w:val="center"/>
            </w:pPr>
            <w:r>
              <w:rPr>
                <w:color w:val="3C4043"/>
                <w:sz w:val="20"/>
              </w:rPr>
              <w:t>Session Completion Rate</w:t>
            </w:r>
          </w:p>
        </w:tc>
        <w:tc>
          <w:tcPr>
            <w:tcW w:type="dxa" w:w="2016"/>
            <w:shd w:val="clear" w:color="auto" w:fill="FFFFFF"/>
          </w:tcPr>
          <w:p>
            <w:pPr>
              <w:jc w:val="center"/>
            </w:pPr>
            <w:r>
              <w:rPr>
                <w:color w:val="3C4043"/>
                <w:sz w:val="20"/>
              </w:rPr>
              <w:t>100%</w:t>
            </w:r>
          </w:p>
        </w:tc>
        <w:tc>
          <w:tcPr>
            <w:tcW w:type="dxa" w:w="3456"/>
            <w:shd w:val="clear" w:color="auto" w:fill="FFFFFF"/>
          </w:tcPr>
          <w:p>
            <w:pPr>
              <w:jc w:val="center"/>
            </w:pPr>
            <w:r>
              <w:rPr>
                <w:color w:val="3C4043"/>
                <w:sz w:val="20"/>
              </w:rPr>
              <w:t>100% (Required)</w:t>
            </w:r>
          </w:p>
        </w:tc>
      </w:tr>
    </w:tbl>
    <w:p/>
    <w:p>
      <w:pPr>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minimal_color_results_1775663637604.png"/>
                    <pic:cNvPicPr/>
                  </pic:nvPicPr>
                  <pic:blipFill>
                    <a:blip r:embed="rId14"/>
                    <a:stretch>
                      <a:fillRect/>
                    </a:stretch>
                  </pic:blipFill>
                  <pic:spPr>
                    <a:xfrm>
                      <a:off x="0" y="0"/>
                      <a:ext cx="5303520" cy="5303520"/>
                    </a:xfrm>
                    <a:prstGeom prst="rect"/>
                  </pic:spPr>
                </pic:pic>
              </a:graphicData>
            </a:graphic>
          </wp:inline>
        </w:drawing>
      </w:r>
    </w:p>
    <w:p>
      <w:pPr>
        <w:spacing w:after="240"/>
        <w:jc w:val="center"/>
      </w:pPr>
      <w:r>
        <w:rPr>
          <w:i/>
          <w:color w:val="3C4043"/>
          <w:sz w:val="19"/>
        </w:rPr>
        <w:t>Figure 6 — Results Visualizations: Scoring Component Analysis, AI Interview Performance, and Classification Distribution.</w:t>
      </w:r>
    </w:p>
    <w:p>
      <w:pPr>
        <w:spacing w:before="240" w:after="40"/>
      </w:pPr>
      <w:r>
        <w:rPr>
          <w:b/>
          <w:color w:val="00897B"/>
          <w:sz w:val="26"/>
        </w:rPr>
        <w:t>8.4  End-to-End Screening Efficiency Comparison</w:t>
      </w:r>
    </w:p>
    <w:p>
      <w:pPr>
        <w:spacing w:after="120"/>
      </w:pPr>
      <w:r>
        <w:rPr>
          <w:b w:val="0"/>
          <w:i w:val="0"/>
          <w:color w:val="3C4043"/>
          <w:sz w:val="22"/>
        </w:rPr>
        <w:t>A controlled comparison was conducted between the manual human screening process and NeuralHire automated screening across a pool of 100 resumes and one job description.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0D47A1"/>
            <w:vAlign w:val="center"/>
          </w:tcPr>
          <w:p>
            <w:pPr>
              <w:jc w:val="center"/>
            </w:pPr>
            <w:r>
              <w:rPr>
                <w:b/>
                <w:color w:val="FFFFFF"/>
                <w:sz w:val="20"/>
              </w:rPr>
              <w:t>Metric</w:t>
            </w:r>
          </w:p>
        </w:tc>
        <w:tc>
          <w:tcPr>
            <w:tcW w:type="dxa" w:w="2592"/>
            <w:shd w:val="clear" w:color="auto" w:fill="0D47A1"/>
            <w:vAlign w:val="center"/>
          </w:tcPr>
          <w:p>
            <w:pPr>
              <w:jc w:val="center"/>
            </w:pPr>
            <w:r>
              <w:rPr>
                <w:b/>
                <w:color w:val="FFFFFF"/>
                <w:sz w:val="20"/>
              </w:rPr>
              <w:t>Manual Process</w:t>
            </w:r>
          </w:p>
        </w:tc>
        <w:tc>
          <w:tcPr>
            <w:tcW w:type="dxa" w:w="2880"/>
            <w:shd w:val="clear" w:color="auto" w:fill="0D47A1"/>
            <w:vAlign w:val="center"/>
          </w:tcPr>
          <w:p>
            <w:pPr>
              <w:jc w:val="center"/>
            </w:pPr>
            <w:r>
              <w:rPr>
                <w:b/>
                <w:color w:val="FFFFFF"/>
                <w:sz w:val="20"/>
              </w:rPr>
              <w:t>NeuralHire</w:t>
            </w:r>
          </w:p>
        </w:tc>
        <w:tc>
          <w:tcPr>
            <w:tcW w:type="dxa" w:w="2448"/>
            <w:shd w:val="clear" w:color="auto" w:fill="0D47A1"/>
            <w:vAlign w:val="center"/>
          </w:tcPr>
          <w:p>
            <w:pPr>
              <w:jc w:val="center"/>
            </w:pPr>
            <w:r>
              <w:rPr>
                <w:b/>
                <w:color w:val="FFFFFF"/>
                <w:sz w:val="20"/>
              </w:rPr>
              <w:t>Improvement</w:t>
            </w:r>
          </w:p>
        </w:tc>
      </w:tr>
      <w:tr>
        <w:tc>
          <w:tcPr>
            <w:tcW w:type="dxa" w:w="3600"/>
            <w:shd w:val="clear" w:color="auto" w:fill="F5F7FA"/>
          </w:tcPr>
          <w:p>
            <w:pPr>
              <w:jc w:val="center"/>
            </w:pPr>
            <w:r>
              <w:rPr>
                <w:color w:val="3C4043"/>
                <w:sz w:val="20"/>
              </w:rPr>
              <w:t>Time to screen 100 resumes</w:t>
            </w:r>
          </w:p>
        </w:tc>
        <w:tc>
          <w:tcPr>
            <w:tcW w:type="dxa" w:w="2592"/>
            <w:shd w:val="clear" w:color="auto" w:fill="F5F7FA"/>
          </w:tcPr>
          <w:p>
            <w:pPr>
              <w:jc w:val="center"/>
            </w:pPr>
            <w:r>
              <w:rPr>
                <w:color w:val="3C4043"/>
                <w:sz w:val="20"/>
              </w:rPr>
              <w:t>10–15 hours</w:t>
            </w:r>
          </w:p>
        </w:tc>
        <w:tc>
          <w:tcPr>
            <w:tcW w:type="dxa" w:w="2880"/>
            <w:shd w:val="clear" w:color="auto" w:fill="F5F7FA"/>
          </w:tcPr>
          <w:p>
            <w:pPr>
              <w:jc w:val="center"/>
            </w:pPr>
            <w:r>
              <w:rPr>
                <w:color w:val="3C4043"/>
                <w:sz w:val="20"/>
              </w:rPr>
              <w:t>&lt; 4 minutes</w:t>
            </w:r>
          </w:p>
        </w:tc>
        <w:tc>
          <w:tcPr>
            <w:tcW w:type="dxa" w:w="2448"/>
            <w:shd w:val="clear" w:color="auto" w:fill="F5F7FA"/>
          </w:tcPr>
          <w:p>
            <w:pPr>
              <w:jc w:val="center"/>
            </w:pPr>
            <w:r>
              <w:rPr>
                <w:color w:val="3C4043"/>
                <w:sz w:val="20"/>
              </w:rPr>
              <w:t>&gt; 150× faster</w:t>
            </w:r>
          </w:p>
        </w:tc>
      </w:tr>
      <w:tr>
        <w:tc>
          <w:tcPr>
            <w:tcW w:type="dxa" w:w="3600"/>
            <w:shd w:val="clear" w:color="auto" w:fill="FFFFFF"/>
          </w:tcPr>
          <w:p>
            <w:pPr>
              <w:jc w:val="center"/>
            </w:pPr>
            <w:r>
              <w:rPr>
                <w:color w:val="3C4043"/>
                <w:sz w:val="20"/>
              </w:rPr>
              <w:t>Evaluation consistency</w:t>
            </w:r>
          </w:p>
        </w:tc>
        <w:tc>
          <w:tcPr>
            <w:tcW w:type="dxa" w:w="2592"/>
            <w:shd w:val="clear" w:color="auto" w:fill="FFFFFF"/>
          </w:tcPr>
          <w:p>
            <w:pPr>
              <w:jc w:val="center"/>
            </w:pPr>
            <w:r>
              <w:rPr>
                <w:color w:val="3C4043"/>
                <w:sz w:val="20"/>
              </w:rPr>
              <w:t>Variable (~65%)</w:t>
            </w:r>
          </w:p>
        </w:tc>
        <w:tc>
          <w:tcPr>
            <w:tcW w:type="dxa" w:w="2880"/>
            <w:shd w:val="clear" w:color="auto" w:fill="FFFFFF"/>
          </w:tcPr>
          <w:p>
            <w:pPr>
              <w:jc w:val="center"/>
            </w:pPr>
            <w:r>
              <w:rPr>
                <w:color w:val="3C4043"/>
                <w:sz w:val="20"/>
              </w:rPr>
              <w:t>100% deterministic</w:t>
            </w:r>
          </w:p>
        </w:tc>
        <w:tc>
          <w:tcPr>
            <w:tcW w:type="dxa" w:w="2448"/>
            <w:shd w:val="clear" w:color="auto" w:fill="FFFFFF"/>
          </w:tcPr>
          <w:p>
            <w:pPr>
              <w:jc w:val="center"/>
            </w:pPr>
            <w:r>
              <w:rPr>
                <w:color w:val="3C4043"/>
                <w:sz w:val="20"/>
              </w:rPr>
              <w:t>Fully deterministic</w:t>
            </w:r>
          </w:p>
        </w:tc>
      </w:tr>
      <w:tr>
        <w:tc>
          <w:tcPr>
            <w:tcW w:type="dxa" w:w="3600"/>
            <w:shd w:val="clear" w:color="auto" w:fill="F5F7FA"/>
          </w:tcPr>
          <w:p>
            <w:pPr>
              <w:jc w:val="center"/>
            </w:pPr>
            <w:r>
              <w:rPr>
                <w:color w:val="3C4043"/>
                <w:sz w:val="20"/>
              </w:rPr>
              <w:t>Domain detection</w:t>
            </w:r>
          </w:p>
        </w:tc>
        <w:tc>
          <w:tcPr>
            <w:tcW w:type="dxa" w:w="2592"/>
            <w:shd w:val="clear" w:color="auto" w:fill="F5F7FA"/>
          </w:tcPr>
          <w:p>
            <w:pPr>
              <w:jc w:val="center"/>
            </w:pPr>
            <w:r>
              <w:rPr>
                <w:color w:val="3C4043"/>
                <w:sz w:val="20"/>
              </w:rPr>
              <w:t>Expert-only</w:t>
            </w:r>
          </w:p>
        </w:tc>
        <w:tc>
          <w:tcPr>
            <w:tcW w:type="dxa" w:w="2880"/>
            <w:shd w:val="clear" w:color="auto" w:fill="F5F7FA"/>
          </w:tcPr>
          <w:p>
            <w:pPr>
              <w:jc w:val="center"/>
            </w:pPr>
            <w:r>
              <w:rPr>
                <w:color w:val="3C4043"/>
                <w:sz w:val="20"/>
              </w:rPr>
              <w:t>Automated (96%)</w:t>
            </w:r>
          </w:p>
        </w:tc>
        <w:tc>
          <w:tcPr>
            <w:tcW w:type="dxa" w:w="2448"/>
            <w:shd w:val="clear" w:color="auto" w:fill="F5F7FA"/>
          </w:tcPr>
          <w:p>
            <w:pPr>
              <w:jc w:val="center"/>
            </w:pPr>
            <w:r>
              <w:rPr>
                <w:color w:val="3C4043"/>
                <w:sz w:val="20"/>
              </w:rPr>
              <w:t>Accessible at scale</w:t>
            </w:r>
          </w:p>
        </w:tc>
      </w:tr>
      <w:tr>
        <w:tc>
          <w:tcPr>
            <w:tcW w:type="dxa" w:w="3600"/>
            <w:shd w:val="clear" w:color="auto" w:fill="FFFFFF"/>
          </w:tcPr>
          <w:p>
            <w:pPr>
              <w:jc w:val="center"/>
            </w:pPr>
            <w:r>
              <w:rPr>
                <w:color w:val="3C4043"/>
                <w:sz w:val="20"/>
              </w:rPr>
              <w:t>Interview prep time</w:t>
            </w:r>
          </w:p>
        </w:tc>
        <w:tc>
          <w:tcPr>
            <w:tcW w:type="dxa" w:w="2592"/>
            <w:shd w:val="clear" w:color="auto" w:fill="FFFFFF"/>
          </w:tcPr>
          <w:p>
            <w:pPr>
              <w:jc w:val="center"/>
            </w:pPr>
            <w:r>
              <w:rPr>
                <w:color w:val="3C4043"/>
                <w:sz w:val="20"/>
              </w:rPr>
              <w:t>2–4 hours/candidate</w:t>
            </w:r>
          </w:p>
        </w:tc>
        <w:tc>
          <w:tcPr>
            <w:tcW w:type="dxa" w:w="2880"/>
            <w:shd w:val="clear" w:color="auto" w:fill="FFFFFF"/>
          </w:tcPr>
          <w:p>
            <w:pPr>
              <w:jc w:val="center"/>
            </w:pPr>
            <w:r>
              <w:rPr>
                <w:color w:val="3C4043"/>
                <w:sz w:val="20"/>
              </w:rPr>
              <w:t>&lt; 3 sec (AI-generated)</w:t>
            </w:r>
          </w:p>
        </w:tc>
        <w:tc>
          <w:tcPr>
            <w:tcW w:type="dxa" w:w="2448"/>
            <w:shd w:val="clear" w:color="auto" w:fill="FFFFFF"/>
          </w:tcPr>
          <w:p>
            <w:pPr>
              <w:jc w:val="center"/>
            </w:pPr>
            <w:r>
              <w:rPr>
                <w:color w:val="3C4043"/>
                <w:sz w:val="20"/>
              </w:rPr>
              <w:t>1000× faster</w:t>
            </w:r>
          </w:p>
        </w:tc>
      </w:tr>
      <w:tr>
        <w:tc>
          <w:tcPr>
            <w:tcW w:type="dxa" w:w="3600"/>
            <w:shd w:val="clear" w:color="auto" w:fill="F5F7FA"/>
          </w:tcPr>
          <w:p>
            <w:pPr>
              <w:jc w:val="center"/>
            </w:pPr>
            <w:r>
              <w:rPr>
                <w:color w:val="3C4043"/>
                <w:sz w:val="20"/>
              </w:rPr>
              <w:t>Score transparency</w:t>
            </w:r>
          </w:p>
        </w:tc>
        <w:tc>
          <w:tcPr>
            <w:tcW w:type="dxa" w:w="2592"/>
            <w:shd w:val="clear" w:color="auto" w:fill="F5F7FA"/>
          </w:tcPr>
          <w:p>
            <w:pPr>
              <w:jc w:val="center"/>
            </w:pPr>
            <w:r>
              <w:rPr>
                <w:color w:val="3C4043"/>
                <w:sz w:val="20"/>
              </w:rPr>
              <w:t>Subjective notes</w:t>
            </w:r>
          </w:p>
        </w:tc>
        <w:tc>
          <w:tcPr>
            <w:tcW w:type="dxa" w:w="2880"/>
            <w:shd w:val="clear" w:color="auto" w:fill="F5F7FA"/>
          </w:tcPr>
          <w:p>
            <w:pPr>
              <w:jc w:val="center"/>
            </w:pPr>
            <w:r>
              <w:rPr>
                <w:color w:val="3C4043"/>
                <w:sz w:val="20"/>
              </w:rPr>
              <w:t>6-factor breakdown</w:t>
            </w:r>
          </w:p>
        </w:tc>
        <w:tc>
          <w:tcPr>
            <w:tcW w:type="dxa" w:w="2448"/>
            <w:shd w:val="clear" w:color="auto" w:fill="F5F7FA"/>
          </w:tcPr>
          <w:p>
            <w:pPr>
              <w:jc w:val="center"/>
            </w:pPr>
            <w:r>
              <w:rPr>
                <w:color w:val="3C4043"/>
                <w:sz w:val="20"/>
              </w:rPr>
              <w:t>Fully explainable</w:t>
            </w:r>
          </w:p>
        </w:tc>
      </w:tr>
      <w:tr>
        <w:tc>
          <w:tcPr>
            <w:tcW w:type="dxa" w:w="3600"/>
            <w:shd w:val="clear" w:color="auto" w:fill="FFFFFF"/>
          </w:tcPr>
          <w:p>
            <w:pPr>
              <w:jc w:val="center"/>
            </w:pPr>
            <w:r>
              <w:rPr>
                <w:color w:val="3C4043"/>
                <w:sz w:val="20"/>
              </w:rPr>
              <w:t>Candidate notification</w:t>
            </w:r>
          </w:p>
        </w:tc>
        <w:tc>
          <w:tcPr>
            <w:tcW w:type="dxa" w:w="2592"/>
            <w:shd w:val="clear" w:color="auto" w:fill="FFFFFF"/>
          </w:tcPr>
          <w:p>
            <w:pPr>
              <w:jc w:val="center"/>
            </w:pPr>
            <w:r>
              <w:rPr>
                <w:color w:val="3C4043"/>
                <w:sz w:val="20"/>
              </w:rPr>
              <w:t>Manual email (~3 days)</w:t>
            </w:r>
          </w:p>
        </w:tc>
        <w:tc>
          <w:tcPr>
            <w:tcW w:type="dxa" w:w="2880"/>
            <w:shd w:val="clear" w:color="auto" w:fill="FFFFFF"/>
          </w:tcPr>
          <w:p>
            <w:pPr>
              <w:jc w:val="center"/>
            </w:pPr>
            <w:r>
              <w:rPr>
                <w:color w:val="3C4043"/>
                <w:sz w:val="20"/>
              </w:rPr>
              <w:t>Reference ID (instant)</w:t>
            </w:r>
          </w:p>
        </w:tc>
        <w:tc>
          <w:tcPr>
            <w:tcW w:type="dxa" w:w="2448"/>
            <w:shd w:val="clear" w:color="auto" w:fill="FFFFFF"/>
          </w:tcPr>
          <w:p>
            <w:pPr>
              <w:jc w:val="center"/>
            </w:pPr>
            <w:r>
              <w:rPr>
                <w:color w:val="3C4043"/>
                <w:sz w:val="20"/>
              </w:rPr>
              <w:t>Near real-time</w:t>
            </w:r>
          </w:p>
        </w:tc>
      </w:tr>
    </w:tbl>
    <w:p/>
    <w:p>
      <w:pPr>
        <w:spacing w:before="240" w:after="40"/>
      </w:pPr>
      <w:r>
        <w:rPr>
          <w:b/>
          <w:color w:val="00897B"/>
          <w:sz w:val="26"/>
        </w:rPr>
        <w:t>8.5  Sample Candidate Scoring Output</w:t>
      </w:r>
    </w:p>
    <w:p>
      <w:pPr>
        <w:spacing w:after="120"/>
      </w:pPr>
      <w:r>
        <w:rPr>
          <w:b w:val="0"/>
          <w:i w:val="0"/>
          <w:color w:val="3C4043"/>
          <w:sz w:val="22"/>
        </w:rPr>
        <w:t>The following represents a complete scoring output for an exemplar candidate evaluated against a Software Engineering job description requiring 5 years of experience and proficiency in Python, React, Docker, and REST API design: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0D47A1"/>
            <w:vAlign w:val="center"/>
          </w:tcPr>
          <w:p>
            <w:pPr>
              <w:jc w:val="center"/>
            </w:pPr>
            <w:r>
              <w:rPr>
                <w:b/>
                <w:color w:val="FFFFFF"/>
                <w:sz w:val="20"/>
              </w:rPr>
              <w:t>Component</w:t>
            </w:r>
          </w:p>
        </w:tc>
        <w:tc>
          <w:tcPr>
            <w:tcW w:type="dxa" w:w="1872"/>
            <w:shd w:val="clear" w:color="auto" w:fill="0D47A1"/>
            <w:vAlign w:val="center"/>
          </w:tcPr>
          <w:p>
            <w:pPr>
              <w:jc w:val="center"/>
            </w:pPr>
            <w:r>
              <w:rPr>
                <w:b/>
                <w:color w:val="FFFFFF"/>
                <w:sz w:val="20"/>
              </w:rPr>
              <w:t>Raw Score</w:t>
            </w:r>
          </w:p>
        </w:tc>
        <w:tc>
          <w:tcPr>
            <w:tcW w:type="dxa" w:w="1440"/>
            <w:shd w:val="clear" w:color="auto" w:fill="0D47A1"/>
            <w:vAlign w:val="center"/>
          </w:tcPr>
          <w:p>
            <w:pPr>
              <w:jc w:val="center"/>
            </w:pPr>
            <w:r>
              <w:rPr>
                <w:b/>
                <w:color w:val="FFFFFF"/>
                <w:sz w:val="20"/>
              </w:rPr>
              <w:t>Weight</w:t>
            </w:r>
          </w:p>
        </w:tc>
        <w:tc>
          <w:tcPr>
            <w:tcW w:type="dxa" w:w="3168"/>
            <w:shd w:val="clear" w:color="auto" w:fill="0D47A1"/>
            <w:vAlign w:val="center"/>
          </w:tcPr>
          <w:p>
            <w:pPr>
              <w:jc w:val="center"/>
            </w:pPr>
            <w:r>
              <w:rPr>
                <w:b/>
                <w:color w:val="FFFFFF"/>
                <w:sz w:val="20"/>
              </w:rPr>
              <w:t>Weighted Contribution</w:t>
            </w:r>
          </w:p>
        </w:tc>
      </w:tr>
      <w:tr>
        <w:tc>
          <w:tcPr>
            <w:tcW w:type="dxa" w:w="3600"/>
            <w:shd w:val="clear" w:color="auto" w:fill="F5F7FA"/>
          </w:tcPr>
          <w:p>
            <w:pPr>
              <w:jc w:val="center"/>
            </w:pPr>
            <w:r>
              <w:rPr>
                <w:color w:val="3C4043"/>
                <w:sz w:val="20"/>
              </w:rPr>
              <w:t>TF-IDF Cosine Similarity</w:t>
            </w:r>
          </w:p>
        </w:tc>
        <w:tc>
          <w:tcPr>
            <w:tcW w:type="dxa" w:w="1872"/>
            <w:shd w:val="clear" w:color="auto" w:fill="F5F7FA"/>
          </w:tcPr>
          <w:p>
            <w:pPr>
              <w:jc w:val="center"/>
            </w:pPr>
            <w:r>
              <w:rPr>
                <w:color w:val="3C4043"/>
                <w:sz w:val="20"/>
              </w:rPr>
              <w:t>0.346</w:t>
            </w:r>
          </w:p>
        </w:tc>
        <w:tc>
          <w:tcPr>
            <w:tcW w:type="dxa" w:w="1440"/>
            <w:shd w:val="clear" w:color="auto" w:fill="F5F7FA"/>
          </w:tcPr>
          <w:p>
            <w:pPr>
              <w:jc w:val="center"/>
            </w:pPr>
            <w:r>
              <w:rPr>
                <w:color w:val="3C4043"/>
                <w:sz w:val="20"/>
              </w:rPr>
              <w:t>25%</w:t>
            </w:r>
          </w:p>
        </w:tc>
        <w:tc>
          <w:tcPr>
            <w:tcW w:type="dxa" w:w="3168"/>
            <w:shd w:val="clear" w:color="auto" w:fill="F5F7FA"/>
          </w:tcPr>
          <w:p>
            <w:pPr>
              <w:jc w:val="center"/>
            </w:pPr>
            <w:r>
              <w:rPr>
                <w:color w:val="3C4043"/>
                <w:sz w:val="20"/>
              </w:rPr>
              <w:t>0.0865</w:t>
            </w:r>
          </w:p>
        </w:tc>
      </w:tr>
      <w:tr>
        <w:tc>
          <w:tcPr>
            <w:tcW w:type="dxa" w:w="3600"/>
            <w:shd w:val="clear" w:color="auto" w:fill="FFFFFF"/>
          </w:tcPr>
          <w:p>
            <w:pPr>
              <w:jc w:val="center"/>
            </w:pPr>
            <w:r>
              <w:rPr>
                <w:color w:val="3C4043"/>
                <w:sz w:val="20"/>
              </w:rPr>
              <w:t>Keyword Domain Matching</w:t>
            </w:r>
          </w:p>
        </w:tc>
        <w:tc>
          <w:tcPr>
            <w:tcW w:type="dxa" w:w="1872"/>
            <w:shd w:val="clear" w:color="auto" w:fill="FFFFFF"/>
          </w:tcPr>
          <w:p>
            <w:pPr>
              <w:jc w:val="center"/>
            </w:pPr>
            <w:r>
              <w:rPr>
                <w:color w:val="3C4043"/>
                <w:sz w:val="20"/>
              </w:rPr>
              <w:t>0.523</w:t>
            </w:r>
          </w:p>
        </w:tc>
        <w:tc>
          <w:tcPr>
            <w:tcW w:type="dxa" w:w="1440"/>
            <w:shd w:val="clear" w:color="auto" w:fill="FFFFFF"/>
          </w:tcPr>
          <w:p>
            <w:pPr>
              <w:jc w:val="center"/>
            </w:pPr>
            <w:r>
              <w:rPr>
                <w:color w:val="3C4043"/>
                <w:sz w:val="20"/>
              </w:rPr>
              <w:t>30%</w:t>
            </w:r>
          </w:p>
        </w:tc>
        <w:tc>
          <w:tcPr>
            <w:tcW w:type="dxa" w:w="3168"/>
            <w:shd w:val="clear" w:color="auto" w:fill="FFFFFF"/>
          </w:tcPr>
          <w:p>
            <w:pPr>
              <w:jc w:val="center"/>
            </w:pPr>
            <w:r>
              <w:rPr>
                <w:color w:val="3C4043"/>
                <w:sz w:val="20"/>
              </w:rPr>
              <w:t>0.1569</w:t>
            </w:r>
          </w:p>
        </w:tc>
      </w:tr>
      <w:tr>
        <w:tc>
          <w:tcPr>
            <w:tcW w:type="dxa" w:w="3600"/>
            <w:shd w:val="clear" w:color="auto" w:fill="F5F7FA"/>
          </w:tcPr>
          <w:p>
            <w:pPr>
              <w:jc w:val="center"/>
            </w:pPr>
            <w:r>
              <w:rPr>
                <w:color w:val="3C4043"/>
                <w:sz w:val="20"/>
              </w:rPr>
              <w:t>Semantic Similarity (spaCy)</w:t>
            </w:r>
          </w:p>
        </w:tc>
        <w:tc>
          <w:tcPr>
            <w:tcW w:type="dxa" w:w="1872"/>
            <w:shd w:val="clear" w:color="auto" w:fill="F5F7FA"/>
          </w:tcPr>
          <w:p>
            <w:pPr>
              <w:jc w:val="center"/>
            </w:pPr>
            <w:r>
              <w:rPr>
                <w:color w:val="3C4043"/>
                <w:sz w:val="20"/>
              </w:rPr>
              <w:t>0.188</w:t>
            </w:r>
          </w:p>
        </w:tc>
        <w:tc>
          <w:tcPr>
            <w:tcW w:type="dxa" w:w="1440"/>
            <w:shd w:val="clear" w:color="auto" w:fill="F5F7FA"/>
          </w:tcPr>
          <w:p>
            <w:pPr>
              <w:jc w:val="center"/>
            </w:pPr>
            <w:r>
              <w:rPr>
                <w:color w:val="3C4043"/>
                <w:sz w:val="20"/>
              </w:rPr>
              <w:t>15%</w:t>
            </w:r>
          </w:p>
        </w:tc>
        <w:tc>
          <w:tcPr>
            <w:tcW w:type="dxa" w:w="3168"/>
            <w:shd w:val="clear" w:color="auto" w:fill="F5F7FA"/>
          </w:tcPr>
          <w:p>
            <w:pPr>
              <w:jc w:val="center"/>
            </w:pPr>
            <w:r>
              <w:rPr>
                <w:color w:val="3C4043"/>
                <w:sz w:val="20"/>
              </w:rPr>
              <w:t>0.0282</w:t>
            </w:r>
          </w:p>
        </w:tc>
      </w:tr>
      <w:tr>
        <w:tc>
          <w:tcPr>
            <w:tcW w:type="dxa" w:w="3600"/>
            <w:shd w:val="clear" w:color="auto" w:fill="FFFFFF"/>
          </w:tcPr>
          <w:p>
            <w:pPr>
              <w:jc w:val="center"/>
            </w:pPr>
            <w:r>
              <w:rPr>
                <w:color w:val="3C4043"/>
                <w:sz w:val="20"/>
              </w:rPr>
              <w:t>Experience Matching</w:t>
            </w:r>
          </w:p>
        </w:tc>
        <w:tc>
          <w:tcPr>
            <w:tcW w:type="dxa" w:w="1872"/>
            <w:shd w:val="clear" w:color="auto" w:fill="FFFFFF"/>
          </w:tcPr>
          <w:p>
            <w:pPr>
              <w:jc w:val="center"/>
            </w:pPr>
            <w:r>
              <w:rPr>
                <w:color w:val="3C4043"/>
                <w:sz w:val="20"/>
              </w:rPr>
              <w:t>0.800</w:t>
            </w:r>
          </w:p>
        </w:tc>
        <w:tc>
          <w:tcPr>
            <w:tcW w:type="dxa" w:w="1440"/>
            <w:shd w:val="clear" w:color="auto" w:fill="FFFFFF"/>
          </w:tcPr>
          <w:p>
            <w:pPr>
              <w:jc w:val="center"/>
            </w:pPr>
            <w:r>
              <w:rPr>
                <w:color w:val="3C4043"/>
                <w:sz w:val="20"/>
              </w:rPr>
              <w:t>10%</w:t>
            </w:r>
          </w:p>
        </w:tc>
        <w:tc>
          <w:tcPr>
            <w:tcW w:type="dxa" w:w="3168"/>
            <w:shd w:val="clear" w:color="auto" w:fill="FFFFFF"/>
          </w:tcPr>
          <w:p>
            <w:pPr>
              <w:jc w:val="center"/>
            </w:pPr>
            <w:r>
              <w:rPr>
                <w:color w:val="3C4043"/>
                <w:sz w:val="20"/>
              </w:rPr>
              <w:t>0.0800</w:t>
            </w:r>
          </w:p>
        </w:tc>
      </w:tr>
      <w:tr>
        <w:tc>
          <w:tcPr>
            <w:tcW w:type="dxa" w:w="3600"/>
            <w:shd w:val="clear" w:color="auto" w:fill="F5F7FA"/>
          </w:tcPr>
          <w:p>
            <w:pPr>
              <w:jc w:val="center"/>
            </w:pPr>
            <w:r>
              <w:rPr>
                <w:color w:val="3C4043"/>
                <w:sz w:val="20"/>
              </w:rPr>
              <w:t>Domain Classification</w:t>
            </w:r>
          </w:p>
        </w:tc>
        <w:tc>
          <w:tcPr>
            <w:tcW w:type="dxa" w:w="1872"/>
            <w:shd w:val="clear" w:color="auto" w:fill="F5F7FA"/>
          </w:tcPr>
          <w:p>
            <w:pPr>
              <w:jc w:val="center"/>
            </w:pPr>
            <w:r>
              <w:rPr>
                <w:color w:val="3C4043"/>
                <w:sz w:val="20"/>
              </w:rPr>
              <w:t>0.654</w:t>
            </w:r>
          </w:p>
        </w:tc>
        <w:tc>
          <w:tcPr>
            <w:tcW w:type="dxa" w:w="1440"/>
            <w:shd w:val="clear" w:color="auto" w:fill="F5F7FA"/>
          </w:tcPr>
          <w:p>
            <w:pPr>
              <w:jc w:val="center"/>
            </w:pPr>
            <w:r>
              <w:rPr>
                <w:color w:val="3C4043"/>
                <w:sz w:val="20"/>
              </w:rPr>
              <w:t>15%</w:t>
            </w:r>
          </w:p>
        </w:tc>
        <w:tc>
          <w:tcPr>
            <w:tcW w:type="dxa" w:w="3168"/>
            <w:shd w:val="clear" w:color="auto" w:fill="F5F7FA"/>
          </w:tcPr>
          <w:p>
            <w:pPr>
              <w:jc w:val="center"/>
            </w:pPr>
            <w:r>
              <w:rPr>
                <w:color w:val="3C4043"/>
                <w:sz w:val="20"/>
              </w:rPr>
              <w:t>0.0981</w:t>
            </w:r>
          </w:p>
        </w:tc>
      </w:tr>
      <w:tr>
        <w:tc>
          <w:tcPr>
            <w:tcW w:type="dxa" w:w="3600"/>
            <w:shd w:val="clear" w:color="auto" w:fill="FFFFFF"/>
          </w:tcPr>
          <w:p>
            <w:pPr>
              <w:jc w:val="center"/>
            </w:pPr>
            <w:r>
              <w:rPr>
                <w:color w:val="3C4043"/>
                <w:sz w:val="20"/>
              </w:rPr>
              <w:t>Education Level</w:t>
            </w:r>
          </w:p>
        </w:tc>
        <w:tc>
          <w:tcPr>
            <w:tcW w:type="dxa" w:w="1872"/>
            <w:shd w:val="clear" w:color="auto" w:fill="FFFFFF"/>
          </w:tcPr>
          <w:p>
            <w:pPr>
              <w:jc w:val="center"/>
            </w:pPr>
            <w:r>
              <w:rPr>
                <w:color w:val="3C4043"/>
                <w:sz w:val="20"/>
              </w:rPr>
              <w:t>0.600</w:t>
            </w:r>
          </w:p>
        </w:tc>
        <w:tc>
          <w:tcPr>
            <w:tcW w:type="dxa" w:w="1440"/>
            <w:shd w:val="clear" w:color="auto" w:fill="FFFFFF"/>
          </w:tcPr>
          <w:p>
            <w:pPr>
              <w:jc w:val="center"/>
            </w:pPr>
            <w:r>
              <w:rPr>
                <w:color w:val="3C4043"/>
                <w:sz w:val="20"/>
              </w:rPr>
              <w:t>5%</w:t>
            </w:r>
          </w:p>
        </w:tc>
        <w:tc>
          <w:tcPr>
            <w:tcW w:type="dxa" w:w="3168"/>
            <w:shd w:val="clear" w:color="auto" w:fill="FFFFFF"/>
          </w:tcPr>
          <w:p>
            <w:pPr>
              <w:jc w:val="center"/>
            </w:pPr>
            <w:r>
              <w:rPr>
                <w:color w:val="3C4043"/>
                <w:sz w:val="20"/>
              </w:rPr>
              <w:t>0.0300</w:t>
            </w:r>
          </w:p>
        </w:tc>
      </w:tr>
      <w:tr>
        <w:tc>
          <w:tcPr>
            <w:tcW w:type="dxa" w:w="3600"/>
            <w:shd w:val="clear" w:color="auto" w:fill="F5F7FA"/>
          </w:tcPr>
          <w:p>
            <w:pPr>
              <w:jc w:val="center"/>
            </w:pPr>
            <w:r>
              <w:rPr>
                <w:color w:val="3C4043"/>
                <w:sz w:val="20"/>
              </w:rPr>
              <w:t>Skill Diversity Bonus</w:t>
            </w:r>
          </w:p>
        </w:tc>
        <w:tc>
          <w:tcPr>
            <w:tcW w:type="dxa" w:w="1872"/>
            <w:shd w:val="clear" w:color="auto" w:fill="F5F7FA"/>
          </w:tcPr>
          <w:p>
            <w:pPr>
              <w:jc w:val="center"/>
            </w:pPr>
            <w:r>
              <w:rPr>
                <w:color w:val="3C4043"/>
                <w:sz w:val="20"/>
              </w:rPr>
              <w:t>+0.02</w:t>
            </w:r>
          </w:p>
        </w:tc>
        <w:tc>
          <w:tcPr>
            <w:tcW w:type="dxa" w:w="1440"/>
            <w:shd w:val="clear" w:color="auto" w:fill="F5F7FA"/>
          </w:tcPr>
          <w:p>
            <w:pPr>
              <w:jc w:val="center"/>
            </w:pPr>
            <w:r>
              <w:rPr>
                <w:color w:val="3C4043"/>
                <w:sz w:val="20"/>
              </w:rPr>
              <w:t>—</w:t>
            </w:r>
          </w:p>
        </w:tc>
        <w:tc>
          <w:tcPr>
            <w:tcW w:type="dxa" w:w="3168"/>
            <w:shd w:val="clear" w:color="auto" w:fill="F5F7FA"/>
          </w:tcPr>
          <w:p>
            <w:pPr>
              <w:jc w:val="center"/>
            </w:pPr>
            <w:r>
              <w:rPr>
                <w:color w:val="3C4043"/>
                <w:sz w:val="20"/>
              </w:rPr>
              <w:t>0.0200</w:t>
            </w:r>
          </w:p>
        </w:tc>
      </w:tr>
    </w:tbl>
    <w:p/>
    <w:p>
      <w:pPr>
        <w:spacing w:after="120"/>
      </w:pPr>
      <w:r>
        <w:rPr>
          <w:b/>
          <w:i w:val="0"/>
          <w:color w:val="3C4043"/>
          <w:sz w:val="22"/>
        </w:rPr>
        <w:t>Raw composite: 0.490 → Scaled final score: 82.4 / 100  |  Classification: Excellent Fit – Highly Recommended  |  Interview: ✓ Recommend  |  Keyword Coverage: 15/18 matched (83.3%)  |  Experience: 6 years vs. 5 required.</w:t>
      </w:r>
    </w:p>
    <w:p>
      <w:r>
        <w:br w:type="page"/>
      </w:r>
    </w:p>
    <w:p>
      <w:pPr>
        <w:spacing w:before="360" w:after="80"/>
      </w:pPr>
      <w:r>
        <w:rPr>
          <w:b/>
          <w:color w:val="0D1B2A"/>
          <w:sz w:val="36"/>
        </w:rPr>
        <w:t>9.  Future Scope</w:t>
      </w:r>
    </w:p>
    <w:p>
      <w:pPr>
        <w:pBdr>
          <w:bottom w:val="single" w:sz="12" w:space="1" w:color="1A73E8"/>
        </w:pBdr>
        <w:spacing w:after="80"/>
      </w:pPr>
    </w:p>
    <w:p/>
    <w:p>
      <w:pPr>
        <w:spacing w:before="240" w:after="40"/>
      </w:pPr>
      <w:r>
        <w:rPr>
          <w:b/>
          <w:color w:val="00897B"/>
          <w:sz w:val="26"/>
        </w:rPr>
        <w:t>9.1  Phase 2 — Relational Database Migration</w:t>
      </w:r>
    </w:p>
    <w:p>
      <w:pPr>
        <w:pStyle w:val="ListBullet"/>
        <w:spacing w:after="60"/>
        <w:ind w:left="360"/>
      </w:pPr>
      <w:r>
        <w:rPr>
          <w:color w:val="3C4043"/>
          <w:sz w:val="22"/>
        </w:rPr>
        <w:t>Migrate JSON flat-file persistence to PostgreSQL with a fully normalized schema</w:t>
      </w:r>
    </w:p>
    <w:p>
      <w:pPr>
        <w:pStyle w:val="ListBullet"/>
        <w:spacing w:after="60"/>
        <w:ind w:left="360"/>
      </w:pPr>
      <w:r>
        <w:rPr>
          <w:color w:val="3C4043"/>
          <w:sz w:val="22"/>
        </w:rPr>
        <w:t>Enable concurrent multi-recruiter sessions with transactional safety and ACID guarantees</w:t>
      </w:r>
    </w:p>
    <w:p>
      <w:pPr>
        <w:pStyle w:val="ListBullet"/>
        <w:spacing w:after="60"/>
        <w:ind w:left="360"/>
      </w:pPr>
      <w:r>
        <w:rPr>
          <w:color w:val="3C4043"/>
          <w:sz w:val="22"/>
        </w:rPr>
        <w:t>Implement full-text search across the candidate pool using PostgreSQL tsvector/tsquery</w:t>
      </w:r>
    </w:p>
    <w:p>
      <w:pPr>
        <w:pStyle w:val="ListBullet"/>
        <w:spacing w:after="60"/>
        <w:ind w:left="360"/>
      </w:pPr>
      <w:r>
        <w:rPr>
          <w:color w:val="3C4043"/>
          <w:sz w:val="22"/>
        </w:rPr>
        <w:t>Enable complex analytical SQL queries for time-series hiring trend dashboards</w:t>
      </w:r>
    </w:p>
    <w:p/>
    <w:p>
      <w:pPr>
        <w:spacing w:before="240" w:after="40"/>
      </w:pPr>
      <w:r>
        <w:rPr>
          <w:b/>
          <w:color w:val="00897B"/>
          <w:sz w:val="26"/>
        </w:rPr>
        <w:t>9.2  Phase 3 — Transformer-Based Semantic Embeddings</w:t>
      </w:r>
    </w:p>
    <w:p>
      <w:pPr>
        <w:pStyle w:val="ListBullet"/>
        <w:spacing w:after="60"/>
        <w:ind w:left="360"/>
      </w:pPr>
      <w:r>
        <w:rPr>
          <w:color w:val="3C4043"/>
          <w:sz w:val="22"/>
        </w:rPr>
        <w:t>Replace spaCy lemma-overlap similarity with Sentence-BERT (all-MiniLM-L6-v2) embeddings</w:t>
      </w:r>
    </w:p>
    <w:p>
      <w:pPr>
        <w:pStyle w:val="ListBullet"/>
        <w:spacing w:after="60"/>
        <w:ind w:left="360"/>
      </w:pPr>
      <w:r>
        <w:rPr>
          <w:color w:val="3C4043"/>
          <w:sz w:val="22"/>
        </w:rPr>
        <w:t>Achieve 15–25% improvement in semantically relevant candidate retrieval over TF-IDF</w:t>
      </w:r>
    </w:p>
    <w:p>
      <w:pPr>
        <w:pStyle w:val="ListBullet"/>
        <w:spacing w:after="60"/>
        <w:ind w:left="360"/>
      </w:pPr>
      <w:r>
        <w:rPr>
          <w:color w:val="3C4043"/>
          <w:sz w:val="22"/>
        </w:rPr>
        <w:t>Support GPU-accelerated inference for high-throughput enterprise deployments</w:t>
      </w:r>
    </w:p>
    <w:p>
      <w:pPr>
        <w:pStyle w:val="ListBullet"/>
        <w:spacing w:after="60"/>
        <w:ind w:left="360"/>
      </w:pPr>
      <w:r>
        <w:rPr>
          <w:color w:val="3C4043"/>
          <w:sz w:val="22"/>
        </w:rPr>
        <w:t>Integrate a pre-built embedding cache to reduce repeated computation overhead</w:t>
      </w:r>
    </w:p>
    <w:p/>
    <w:p>
      <w:pPr>
        <w:spacing w:before="240" w:after="40"/>
      </w:pPr>
      <w:r>
        <w:rPr>
          <w:b/>
          <w:color w:val="00897B"/>
          <w:sz w:val="26"/>
        </w:rPr>
        <w:t>9.3  Phase 4 — Bias Detection and Fairness Monitoring</w:t>
      </w:r>
    </w:p>
    <w:p>
      <w:pPr>
        <w:pStyle w:val="ListBullet"/>
        <w:spacing w:after="60"/>
        <w:ind w:left="360"/>
      </w:pPr>
      <w:r>
        <w:rPr>
          <w:color w:val="3C4043"/>
          <w:sz w:val="22"/>
        </w:rPr>
        <w:t>Monitor score distributions across demographic groups to detect potential proxy discrimination</w:t>
      </w:r>
    </w:p>
    <w:p>
      <w:pPr>
        <w:pStyle w:val="ListBullet"/>
        <w:spacing w:after="60"/>
        <w:ind w:left="360"/>
      </w:pPr>
      <w:r>
        <w:rPr>
          <w:color w:val="3C4043"/>
          <w:sz w:val="22"/>
        </w:rPr>
        <w:t>Flag scoring patterns showing statistically significant disparate impact (EEOC thresholds)</w:t>
      </w:r>
    </w:p>
    <w:p>
      <w:pPr>
        <w:pStyle w:val="ListBullet"/>
        <w:spacing w:after="60"/>
        <w:ind w:left="360"/>
      </w:pPr>
      <w:r>
        <w:rPr>
          <w:color w:val="3C4043"/>
          <w:sz w:val="22"/>
        </w:rPr>
        <w:t>Provide differential privacy-compliant analytics for GDPR audit compliance</w:t>
      </w:r>
    </w:p>
    <w:p>
      <w:pPr>
        <w:pStyle w:val="ListBullet"/>
        <w:spacing w:after="60"/>
        <w:ind w:left="360"/>
      </w:pPr>
      <w:r>
        <w:rPr>
          <w:color w:val="3C4043"/>
          <w:sz w:val="22"/>
        </w:rPr>
        <w:t>Generate automated fairness audit reports exportable for regulatory review</w:t>
      </w:r>
    </w:p>
    <w:p/>
    <w:p>
      <w:pPr>
        <w:spacing w:before="240" w:after="40"/>
      </w:pPr>
      <w:r>
        <w:rPr>
          <w:b/>
          <w:color w:val="00897B"/>
          <w:sz w:val="26"/>
        </w:rPr>
        <w:t>9.4  Phase 5 — Containerization and Cloud Deployment</w:t>
      </w:r>
    </w:p>
    <w:p>
      <w:pPr>
        <w:pStyle w:val="ListBullet"/>
        <w:spacing w:after="60"/>
        <w:ind w:left="360"/>
      </w:pPr>
      <w:r>
        <w:rPr>
          <w:color w:val="3C4043"/>
          <w:sz w:val="22"/>
        </w:rPr>
        <w:t>Containerize all services using Docker with Compose for local development</w:t>
      </w:r>
    </w:p>
    <w:p>
      <w:pPr>
        <w:pStyle w:val="ListBullet"/>
        <w:spacing w:after="60"/>
        <w:ind w:left="360"/>
      </w:pPr>
      <w:r>
        <w:rPr>
          <w:color w:val="3C4043"/>
          <w:sz w:val="22"/>
        </w:rPr>
        <w:t>Deploy to Kubernetes via Helm chart on AWS EKS or GCP GKE for horizontal scaling</w:t>
      </w:r>
    </w:p>
    <w:p>
      <w:pPr>
        <w:pStyle w:val="ListBullet"/>
        <w:spacing w:after="60"/>
        <w:ind w:left="360"/>
      </w:pPr>
      <w:r>
        <w:rPr>
          <w:color w:val="3C4043"/>
          <w:sz w:val="22"/>
        </w:rPr>
        <w:t>Implement Redis + Celery asynchronous task queue for background batch processing</w:t>
      </w:r>
    </w:p>
    <w:p>
      <w:pPr>
        <w:pStyle w:val="ListBullet"/>
        <w:spacing w:after="60"/>
        <w:ind w:left="360"/>
      </w:pPr>
      <w:r>
        <w:rPr>
          <w:color w:val="3C4043"/>
          <w:sz w:val="22"/>
        </w:rPr>
        <w:t>Deploy NGINX reverse proxy with TLS termination and Prometheus + Grafana observability</w:t>
      </w:r>
    </w:p>
    <w:p/>
    <w:p>
      <w:pPr>
        <w:spacing w:before="240" w:after="40"/>
      </w:pPr>
      <w:r>
        <w:rPr>
          <w:b/>
          <w:color w:val="00897B"/>
          <w:sz w:val="26"/>
        </w:rPr>
        <w:t>9.5  Phase 6 — Advanced Feature Roadmap</w:t>
      </w:r>
    </w:p>
    <w:p>
      <w:pPr>
        <w:pStyle w:val="ListBullet"/>
        <w:spacing w:after="60"/>
        <w:ind w:left="360"/>
      </w:pPr>
      <w:r>
        <w:rPr>
          <w:color w:val="3C4043"/>
          <w:sz w:val="22"/>
        </w:rPr>
        <w:t>Video interview integration with real-time emotion and speech pattern analysis</w:t>
      </w:r>
    </w:p>
    <w:p>
      <w:pPr>
        <w:pStyle w:val="ListBullet"/>
        <w:spacing w:after="60"/>
        <w:ind w:left="360"/>
      </w:pPr>
      <w:r>
        <w:rPr>
          <w:color w:val="3C4043"/>
          <w:sz w:val="22"/>
        </w:rPr>
        <w:t>Multi-language resume parsing and scoring via multilingual BERT (10+ languages)</w:t>
      </w:r>
    </w:p>
    <w:p>
      <w:pPr>
        <w:pStyle w:val="ListBullet"/>
        <w:spacing w:after="60"/>
        <w:ind w:left="360"/>
      </w:pPr>
      <w:r>
        <w:rPr>
          <w:color w:val="3C4043"/>
          <w:sz w:val="22"/>
        </w:rPr>
        <w:t>Native ATS connectors for Greenhouse, Lever, Workday, and SAP SuccessFactors</w:t>
      </w:r>
    </w:p>
    <w:p>
      <w:pPr>
        <w:pStyle w:val="ListBullet"/>
        <w:spacing w:after="60"/>
        <w:ind w:left="360"/>
      </w:pPr>
      <w:r>
        <w:rPr>
          <w:color w:val="3C4043"/>
          <w:sz w:val="22"/>
        </w:rPr>
        <w:t>ML-based predictive analytics for offer acceptance probability and 1-year retention risk</w:t>
      </w:r>
    </w:p>
    <w:p>
      <w:pPr>
        <w:pStyle w:val="ListBullet"/>
        <w:spacing w:after="60"/>
        <w:ind w:left="360"/>
      </w:pPr>
      <w:r>
        <w:rPr>
          <w:color w:val="3C4043"/>
          <w:sz w:val="22"/>
        </w:rPr>
        <w:t>Mobile application (React Native) for on-the-go recruiter access and push notifications</w:t>
      </w:r>
    </w:p>
    <w:p>
      <w:pPr>
        <w:pStyle w:val="ListBullet"/>
        <w:spacing w:after="60"/>
        <w:ind w:left="360"/>
      </w:pPr>
      <w:r>
        <w:rPr>
          <w:color w:val="3C4043"/>
          <w:sz w:val="22"/>
        </w:rPr>
        <w:t>Automated skills gap analysis with personalized training pathway recommendations</w:t>
      </w:r>
    </w:p>
    <w:p/>
    <w:p>
      <w:r>
        <w:br w:type="page"/>
      </w:r>
    </w:p>
    <w:p>
      <w:pPr>
        <w:spacing w:before="360" w:after="80"/>
      </w:pPr>
      <w:r>
        <w:rPr>
          <w:b/>
          <w:color w:val="0D1B2A"/>
          <w:sz w:val="36"/>
        </w:rPr>
        <w:t>10.  Conclusion</w:t>
      </w:r>
    </w:p>
    <w:p>
      <w:pPr>
        <w:pBdr>
          <w:bottom w:val="single" w:sz="12" w:space="1" w:color="1A73E8"/>
        </w:pBdr>
        <w:spacing w:after="80"/>
      </w:pPr>
    </w:p>
    <w:p/>
    <w:p>
      <w:pPr>
        <w:spacing w:after="120"/>
      </w:pPr>
      <w:r>
        <w:rPr>
          <w:b w:val="0"/>
          <w:i w:val="0"/>
          <w:color w:val="3C4043"/>
          <w:sz w:val="22"/>
        </w:rPr>
        <w:t>NeuralHire represents a significant and practical advancement in the application of artificial intelligence to human resource management. By combining proven NLP algorithms — TF-IDF vectorization, domain-adaptive keyword matching, spaCy semantic analysis — with generative AI capabilities from Google Gemini, the system delivers a comprehensive, end-to-end recruitment intelligence platform that addresses long-standing and deeply entrenched challenges in the professional hiring industry.</w:t>
      </w:r>
    </w:p>
    <w:p>
      <w:pPr>
        <w:spacing w:after="120"/>
      </w:pPr>
      <w:r>
        <w:rPr>
          <w:b w:val="0"/>
          <w:i w:val="0"/>
          <w:color w:val="3C4043"/>
          <w:sz w:val="22"/>
        </w:rPr>
        <w:t>The project demonstrates that automated resume screening need not sacrifice analytical nuance for operational speed. The domain-aware, six-factor scoring engine provides the interpretability and contextual sensitivity of expert human review while achieving the throughput, consistency, and speed of a fully automated pipeline. The AI Interviewer module extends this intelligence into the interview evaluation stage, generating highly relevant, personalized questions that a human interviewer would require hours of domain research to produce.</w:t>
      </w:r>
    </w:p>
    <w:p>
      <w:pPr>
        <w:spacing w:after="120"/>
      </w:pPr>
      <w:r>
        <w:rPr>
          <w:b w:val="0"/>
          <w:i w:val="0"/>
          <w:color w:val="3C4043"/>
          <w:sz w:val="22"/>
        </w:rPr>
        <w:t>The empirical results confirm the system's effectiveness: a 96% domain classification accuracy, a 150× reduction in time-to-screen for 100 resumes, an 84% alignment between AI evaluation scores and expert human raters, and a 100% session completion rate achieved through the graceful degradation fallback architecture.</w:t>
      </w:r>
    </w:p>
    <w:p>
      <w:pPr>
        <w:spacing w:after="120"/>
      </w:pPr>
      <w:r>
        <w:rPr>
          <w:b w:val="0"/>
          <w:i w:val="0"/>
          <w:color w:val="3C4043"/>
          <w:sz w:val="22"/>
        </w:rPr>
        <w:t>The key deliverables achieved by this project are:</w:t>
      </w:r>
    </w:p>
    <w:p>
      <w:pPr>
        <w:pStyle w:val="ListBullet"/>
        <w:spacing w:after="60"/>
        <w:ind w:left="360"/>
      </w:pPr>
      <w:r>
        <w:rPr>
          <w:color w:val="3C4043"/>
          <w:sz w:val="22"/>
        </w:rPr>
        <w:t>A production-ready Flask backend with 10+ REST API endpoints organized across four modular Blueprints</w:t>
      </w:r>
    </w:p>
    <w:p>
      <w:pPr>
        <w:pStyle w:val="ListBullet"/>
        <w:spacing w:after="60"/>
        <w:ind w:left="360"/>
      </w:pPr>
      <w:r>
        <w:rPr>
          <w:color w:val="3C4043"/>
          <w:sz w:val="22"/>
        </w:rPr>
        <w:t>A domain-adaptive six-factor scoring algorithm with support for 10 IT professional specializations</w:t>
      </w:r>
    </w:p>
    <w:p>
      <w:pPr>
        <w:pStyle w:val="ListBullet"/>
        <w:spacing w:after="60"/>
        <w:ind w:left="360"/>
      </w:pPr>
      <w:r>
        <w:rPr>
          <w:color w:val="3C4043"/>
          <w:sz w:val="22"/>
        </w:rPr>
        <w:t>An AI Interview module with Gemini integration and spaCy-based semantic fallback achieving 100% reliability</w:t>
      </w:r>
    </w:p>
    <w:p>
      <w:pPr>
        <w:pStyle w:val="ListBullet"/>
        <w:spacing w:after="60"/>
        <w:ind w:left="360"/>
      </w:pPr>
      <w:r>
        <w:rPr>
          <w:color w:val="3C4043"/>
          <w:sz w:val="22"/>
        </w:rPr>
        <w:t>A full candidate pipeline manager with status histories, recruiter notes, and Reference ID authentication</w:t>
      </w:r>
    </w:p>
    <w:p>
      <w:pPr>
        <w:pStyle w:val="ListBullet"/>
        <w:spacing w:after="60"/>
        <w:ind w:left="360"/>
      </w:pPr>
      <w:r>
        <w:rPr>
          <w:color w:val="3C4043"/>
          <w:sz w:val="22"/>
        </w:rPr>
        <w:t>Sub-second domain classification and four-minute screening for pools of 100 resumes</w:t>
      </w:r>
    </w:p>
    <w:p>
      <w:pPr>
        <w:pStyle w:val="ListBullet"/>
        <w:spacing w:after="60"/>
        <w:ind w:left="360"/>
      </w:pPr>
      <w:r>
        <w:rPr>
          <w:color w:val="3C4043"/>
          <w:sz w:val="22"/>
        </w:rPr>
        <w:t>A configurable, operator-controlled threshold and weighting system requiring no code changes for tuning</w:t>
      </w:r>
    </w:p>
    <w:p>
      <w:pPr>
        <w:spacing w:after="120"/>
      </w:pPr>
      <w:r>
        <w:rPr>
          <w:b w:val="0"/>
          <w:i w:val="0"/>
          <w:color w:val="3C4043"/>
          <w:sz w:val="22"/>
        </w:rPr>
        <w:t>The modular, layered architecture of NeuralHire is deliberately designed to support evolution from a single-machine prototype to a globally distributed, containerized enterprise platform. The six-phase roadmap outlined in Section 9 provides a clear, technically grounded path toward relational database persistence, Sentence-BERT semantic embeddings, fairness compliance monitoring, and Kubernetes-based cloud deployment at any organizational scale.</w:t>
      </w:r>
    </w:p>
    <w:p>
      <w:pPr>
        <w:spacing w:after="120"/>
      </w:pPr>
      <w:r>
        <w:rPr>
          <w:b w:val="0"/>
          <w:i w:val="0"/>
          <w:color w:val="3C4043"/>
          <w:sz w:val="22"/>
        </w:rPr>
        <w:t>In conclusion, NeuralHire delivers on its core promise: to make professional hiring more intelligent, more efficient, and more equitable through the disciplined, transparent, and responsible application of artificial intelligence. It stands as a robust, extensible, and commercially viable contribution to the rapidly evolving landscape of AI-powered human resource technology.</w:t>
      </w:r>
    </w:p>
    <w:p>
      <w:r>
        <w:br w:type="page"/>
      </w:r>
    </w:p>
    <w:p>
      <w:pPr>
        <w:spacing w:before="360" w:after="80"/>
      </w:pPr>
      <w:r>
        <w:rPr>
          <w:b/>
          <w:color w:val="0D1B2A"/>
          <w:sz w:val="36"/>
        </w:rPr>
        <w:t>11.  References</w:t>
      </w:r>
    </w:p>
    <w:p>
      <w:pPr>
        <w:pBdr>
          <w:bottom w:val="single" w:sz="12" w:space="1" w:color="1A73E8"/>
        </w:pBdr>
        <w:spacing w:after="80"/>
      </w:pPr>
    </w:p>
    <w:p/>
    <w:p>
      <w:pPr>
        <w:spacing w:after="120"/>
        <w:ind w:left="360"/>
      </w:pPr>
      <w:r>
        <w:rPr>
          <w:color w:val="3C4043"/>
          <w:sz w:val="20"/>
        </w:rPr>
        <w:t>[1]  Devlin, J., Chang, M. W., Lee, K., &amp; Toutanova, K. (2019). BERT: Pre-training of Deep Bidirectional Transformers for Language Understanding. NAACL-HLT 2019. https://arxiv.org/abs/1810.04805</w:t>
      </w:r>
    </w:p>
    <w:p>
      <w:pPr>
        <w:spacing w:after="120"/>
        <w:ind w:left="360"/>
      </w:pPr>
      <w:r>
        <w:rPr>
          <w:color w:val="3C4043"/>
          <w:sz w:val="20"/>
        </w:rPr>
        <w:t>[2]  Reimers, N., &amp; Gurevych, I. (2019). Sentence-BERT: Sentence Embeddings using Siamese BERT-Networks. EMNLP 2019. https://arxiv.org/abs/1908.10084</w:t>
      </w:r>
    </w:p>
    <w:p>
      <w:pPr>
        <w:spacing w:after="120"/>
        <w:ind w:left="360"/>
      </w:pPr>
      <w:r>
        <w:rPr>
          <w:color w:val="3C4043"/>
          <w:sz w:val="20"/>
        </w:rPr>
        <w:t>[3]  Honnibal, M., &amp; Montani, I. (2017). spaCy 2: Natural language understanding with Bloom embeddings, convolutional neural networks and incremental parsing. To appear.</w:t>
      </w:r>
    </w:p>
    <w:p>
      <w:pPr>
        <w:spacing w:after="120"/>
        <w:ind w:left="360"/>
      </w:pPr>
      <w:r>
        <w:rPr>
          <w:color w:val="3C4043"/>
          <w:sz w:val="20"/>
        </w:rPr>
        <w:t>[4]  Pedregosa, F., Varoquaux, G., Gramfort, A., et al. (2011). Scikit-learn: Machine Learning in Python. Journal of Machine Learning Research, 12, 2825–2830.</w:t>
      </w:r>
    </w:p>
    <w:p>
      <w:pPr>
        <w:spacing w:after="120"/>
        <w:ind w:left="360"/>
      </w:pPr>
      <w:r>
        <w:rPr>
          <w:color w:val="3C4043"/>
          <w:sz w:val="20"/>
        </w:rPr>
        <w:t>[5]  Salton, G., &amp; Buckley, C. (1988). Term-weighting approaches in automatic text retrieval. Information Processing &amp; Management, 24(5), 513–523.</w:t>
      </w:r>
    </w:p>
    <w:p>
      <w:pPr>
        <w:spacing w:after="120"/>
        <w:ind w:left="360"/>
      </w:pPr>
      <w:r>
        <w:rPr>
          <w:color w:val="3C4043"/>
          <w:sz w:val="20"/>
        </w:rPr>
        <w:t>[6]  Anil, R., et al. (2023). Gemini: A Family of Highly Capable Multimodal Models. Google DeepMind Technical Report. https://arxiv.org/abs/2312.11805</w:t>
      </w:r>
    </w:p>
    <w:p>
      <w:pPr>
        <w:spacing w:after="120"/>
        <w:ind w:left="360"/>
      </w:pPr>
      <w:r>
        <w:rPr>
          <w:color w:val="3C4043"/>
          <w:sz w:val="20"/>
        </w:rPr>
        <w:t>[7]  Smith, E. A., &amp; Karamouzis, F. (2022). Machine Learning in HR: Adoption and Impact on Talent Acquisition. Gartner Research Report.</w:t>
      </w:r>
    </w:p>
    <w:p>
      <w:pPr>
        <w:spacing w:after="120"/>
        <w:ind w:left="360"/>
      </w:pPr>
      <w:r>
        <w:rPr>
          <w:color w:val="3C4043"/>
          <w:sz w:val="20"/>
        </w:rPr>
        <w:t>[8]  LinkedIn Talent Solutions. (2022). Global Talent Trends 2022 Report. LinkedIn Corporation.</w:t>
      </w:r>
    </w:p>
    <w:p>
      <w:pPr>
        <w:spacing w:after="120"/>
        <w:ind w:left="360"/>
      </w:pPr>
      <w:r>
        <w:rPr>
          <w:color w:val="3C4043"/>
          <w:sz w:val="20"/>
        </w:rPr>
        <w:t>[9]  SHRM. (2022). Talent Acquisition Benchmarking Report. Society for Human Resource Management.</w:t>
      </w:r>
    </w:p>
    <w:p>
      <w:pPr>
        <w:spacing w:after="120"/>
        <w:ind w:left="360"/>
      </w:pPr>
      <w:r>
        <w:rPr>
          <w:color w:val="3C4043"/>
          <w:sz w:val="20"/>
        </w:rPr>
        <w:t>[10] Barocas, S., Hardt, M., &amp; Narayanan, A. (2023). Fairness and Machine Learning: Limitations and Opportunities. MIT Press.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