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4B7CC6F8" w:rsidR="004A2E66" w:rsidRPr="00861A80" w:rsidRDefault="00DC1FE8"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861A80">
        <w:rPr>
          <w:b/>
          <w:bCs/>
          <w:sz w:val="18"/>
          <w:szCs w:val="18"/>
        </w:rPr>
        <w:drawing>
          <wp:anchor distT="45720" distB="45720" distL="114300" distR="114300" simplePos="0" relativeHeight="251661824" behindDoc="0" locked="0" layoutInCell="1" allowOverlap="1" wp14:anchorId="1D387E36" wp14:editId="5ADB97BC">
            <wp:simplePos x="0" y="0"/>
            <wp:positionH relativeFrom="column">
              <wp:posOffset>3337894</wp:posOffset>
            </wp:positionH>
            <wp:positionV relativeFrom="paragraph">
              <wp:posOffset>791640</wp:posOffset>
            </wp:positionV>
            <wp:extent cx="3249930" cy="1404620"/>
            <wp:effectExtent l="0" t="0" r="26670" b="23495"/>
            <wp:wrapSquare wrapText="bothSides"/>
            <wp:docPr id="191076820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49930" cy="1404620"/>
                    </a:xfrm>
                    <a:prstGeom prst="rect">
                      <a:avLst/>
                    </a:prstGeom>
                    <a:solidFill>
                      <a:srgbClr val="FFFFFF"/>
                    </a:solidFill>
                    <a:ln w="9525">
                      <a:solidFill>
                        <a:srgbClr val="000000"/>
                      </a:solidFill>
                      <a:miter lim="800%"/>
                      <a:headEnd/>
                      <a:tailEnd/>
                    </a:ln>
                  </wp:spPr>
                  <wp:txbx>
                    <wne:txbxContent>
                      <w:p w14:paraId="7A72FFB4" w14:textId="15059F10" w:rsidR="00DC1FE8" w:rsidRPr="00DC1FE8" w:rsidRDefault="00861A80" w:rsidP="00DC1FE8">
                        <w:pPr>
                          <w:rPr>
                            <w:sz w:val="18"/>
                            <w:szCs w:val="18"/>
                          </w:rPr>
                        </w:pPr>
                        <w:r>
                          <w:rPr>
                            <w:b/>
                            <w:bCs/>
                            <w:sz w:val="18"/>
                            <w:szCs w:val="18"/>
                          </w:rPr>
                          <w:t>Sanket</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p>
                      <w:p w14:paraId="32706FEE" w14:textId="28C8A00B" w:rsidR="00861A80" w:rsidRDefault="00DC1FE8" w:rsidP="00DC1FE8">
                        <w:r w:rsidRPr="00DC1FE8">
                          <w:rPr>
                            <w:sz w:val="18"/>
                            <w:szCs w:val="18"/>
                          </w:rPr>
                          <w:t>sankethcoding@gmail.com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Pr="00861A80">
        <w:rPr>
          <w:b/>
          <w:bCs/>
          <w:sz w:val="18"/>
          <w:szCs w:val="18"/>
        </w:rPr>
        <w:drawing>
          <wp:anchor distT="45720" distB="45720" distL="114300" distR="114300" simplePos="0" relativeHeight="251659776" behindDoc="0" locked="0" layoutInCell="1" allowOverlap="1" wp14:anchorId="23649975" wp14:editId="3308DA6B">
            <wp:simplePos x="0" y="0"/>
            <wp:positionH relativeFrom="margin">
              <wp:align>left</wp:align>
            </wp:positionH>
            <wp:positionV relativeFrom="paragraph">
              <wp:posOffset>782750</wp:posOffset>
            </wp:positionV>
            <wp:extent cx="3282315" cy="765810"/>
            <wp:effectExtent l="0" t="0" r="13335" b="1524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82315" cy="765810"/>
                    </a:xfrm>
                    <a:prstGeom prst="rect">
                      <a:avLst/>
                    </a:prstGeom>
                    <a:solidFill>
                      <a:srgbClr val="FFFFFF"/>
                    </a:solidFill>
                    <a:ln w="9525">
                      <a:solidFill>
                        <a:srgbClr val="000000"/>
                      </a:solidFill>
                      <a:miter lim="800%"/>
                      <a:headEnd/>
                      <a:tailEnd/>
                    </a:ln>
                  </wp:spPr>
                  <wp:txbx>
                    <wne:txbxContent>
                      <w:p w14:paraId="46ECAE1B" w14:textId="295A7D9E" w:rsidR="00861A80" w:rsidRDefault="00861A80">
                        <w:r w:rsidRPr="004A2E66">
                          <w:rPr>
                            <w:b/>
                            <w:bCs/>
                            <w:sz w:val="18"/>
                            <w:szCs w:val="18"/>
                          </w:rPr>
                          <w:t>Shakthi Vel K</w:t>
                        </w:r>
                        <w:r>
                          <w:rPr>
                            <w:b/>
                            <w:bCs/>
                            <w:sz w:val="18"/>
                            <w:szCs w:val="18"/>
                          </w:rPr>
                          <w:t xml:space="preserve">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t>shakthivelk1124@gmail.com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861A80">
        <w:rPr>
          <w:b/>
          <w:bCs/>
          <w:sz w:val="18"/>
          <w:szCs w:val="18"/>
        </w:rPr>
        <w:drawing>
          <wp:anchor distT="45720" distB="45720" distL="114300" distR="114300" simplePos="0" relativeHeight="251663872" behindDoc="0" locked="0" layoutInCell="1" allowOverlap="1" wp14:anchorId="0D7691DA" wp14:editId="63EFBAA0">
            <wp:simplePos x="0" y="0"/>
            <wp:positionH relativeFrom="column">
              <wp:posOffset>3322133</wp:posOffset>
            </wp:positionH>
            <wp:positionV relativeFrom="paragraph">
              <wp:posOffset>1699708</wp:posOffset>
            </wp:positionV>
            <wp:extent cx="3509010" cy="1404620"/>
            <wp:effectExtent l="0" t="0" r="15240" b="23495"/>
            <wp:wrapSquare wrapText="bothSides"/>
            <wp:docPr id="95359261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509010" cy="1404620"/>
                    </a:xfrm>
                    <a:prstGeom prst="rect">
                      <a:avLst/>
                    </a:prstGeom>
                    <a:solidFill>
                      <a:srgbClr val="FFFFFF"/>
                    </a:solidFill>
                    <a:ln w="9525">
                      <a:solidFill>
                        <a:srgbClr val="000000"/>
                      </a:solidFill>
                      <a:miter lim="800%"/>
                      <a:headEnd/>
                      <a:tailEnd/>
                    </a:ln>
                  </wp:spPr>
                  <wp:txbx>
                    <wne:txbxContent>
                      <w:p w14:paraId="1A74924C" w14:textId="44884680" w:rsidR="00861A80" w:rsidRDefault="00861A80">
                        <w:r>
                          <w:rPr>
                            <w:b/>
                            <w:bCs/>
                            <w:sz w:val="18"/>
                            <w:szCs w:val="18"/>
                          </w:rPr>
                          <w:t xml:space="preserve">Vignesh P                                                           </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C1FE8" w:rsidRPr="00DC1FE8">
                          <w:t>palanivignesh31@gmail.com</w:t>
                        </w:r>
                      </w:p>
                    </wne:txbxContent>
                  </wp:txbx>
                  <wp:bodyPr rot="0" vert="horz" wrap="square" lIns="91440" tIns="45720" rIns="91440" bIns="45720" anchor="t" anchorCtr="0">
                    <a:spAutoFit/>
                  </wp:bodyPr>
                </wp:wsp>
              </a:graphicData>
            </a:graphic>
            <wp14:sizeRelH relativeFrom="margin">
              <wp14:pctWidth>0%</wp14:pctWidth>
            </wp14:sizeRelH>
            <wp14:sizeRelV relativeFrom="margin">
              <wp14:pctHeight>20%</wp14:pctHeight>
            </wp14:sizeRelV>
          </wp:anchor>
        </w:drawing>
      </w:r>
      <w:r w:rsidR="00861A80" w:rsidRPr="00861A80">
        <w:rPr>
          <w:b/>
          <w:bCs/>
          <w:sz w:val="18"/>
          <w:szCs w:val="18"/>
        </w:rPr>
        <w:drawing>
          <wp:anchor distT="45720" distB="45720" distL="114300" distR="114300" simplePos="0" relativeHeight="251665920" behindDoc="0" locked="0" layoutInCell="1" allowOverlap="1" wp14:anchorId="7639E3C5" wp14:editId="08D87E87">
            <wp:simplePos x="0" y="0"/>
            <wp:positionH relativeFrom="column">
              <wp:posOffset>3322</wp:posOffset>
            </wp:positionH>
            <wp:positionV relativeFrom="paragraph">
              <wp:posOffset>1710690</wp:posOffset>
            </wp:positionV>
            <wp:extent cx="3213100" cy="760730"/>
            <wp:effectExtent l="0" t="0" r="25400" b="20320"/>
            <wp:wrapSquare wrapText="bothSides"/>
            <wp:docPr id="4639704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13100" cy="760730"/>
                    </a:xfrm>
                    <a:prstGeom prst="rect">
                      <a:avLst/>
                    </a:prstGeom>
                    <a:solidFill>
                      <a:srgbClr val="FFFFFF"/>
                    </a:solidFill>
                    <a:ln w="9525">
                      <a:solidFill>
                        <a:srgbClr val="000000"/>
                      </a:solidFill>
                      <a:miter lim="800%"/>
                      <a:headEnd/>
                      <a:tailEnd/>
                    </a:ln>
                  </wp:spPr>
                  <wp:txbx>
                    <wne:txbxContent>
                      <w:p w14:paraId="2AC807A1" w14:textId="552D9950" w:rsidR="00861A80" w:rsidRDefault="00861A80" w:rsidP="00861A80">
                        <w:r>
                          <w:rPr>
                            <w:b/>
                            <w:bCs/>
                            <w:sz w:val="18"/>
                            <w:szCs w:val="18"/>
                          </w:rPr>
                          <w:t>Revanth Kumar T S</w:t>
                        </w:r>
                        <w:r w:rsidRPr="004A2E66">
                          <w:rPr>
                            <w:sz w:val="18"/>
                            <w:szCs w:val="18"/>
                          </w:rPr>
                          <w:br/>
                          <w:t xml:space="preserve">Department of Computer Science and </w:t>
                        </w:r>
                        <w:r>
                          <w:rPr>
                            <w:sz w:val="18"/>
                            <w:szCs w:val="18"/>
                          </w:rPr>
                          <w:t xml:space="preserve">  </w:t>
                        </w:r>
                        <w:r w:rsidRPr="004A2E66">
                          <w:rPr>
                            <w:sz w:val="18"/>
                            <w:szCs w:val="18"/>
                          </w:rPr>
                          <w:t>Engineering</w:t>
                        </w:r>
                        <w:r>
                          <w:rPr>
                            <w:sz w:val="18"/>
                            <w:szCs w:val="18"/>
                          </w:rPr>
                          <w:t xml:space="preserve">                              </w:t>
                        </w:r>
                        <w:r w:rsidRPr="004A2E66">
                          <w:rPr>
                            <w:sz w:val="18"/>
                            <w:szCs w:val="18"/>
                          </w:rPr>
                          <w:br/>
                          <w:t>Global Academy of Technology</w:t>
                        </w:r>
                        <w:r w:rsidRPr="004A2E66">
                          <w:rPr>
                            <w:sz w:val="18"/>
                            <w:szCs w:val="18"/>
                          </w:rPr>
                          <w:br/>
                          <w:t>Bengaluru, India</w:t>
                        </w:r>
                        <w:r w:rsidRPr="004A2E66">
                          <w:rPr>
                            <w:sz w:val="18"/>
                            <w:szCs w:val="18"/>
                          </w:rPr>
                          <w:br/>
                        </w:r>
                        <w:r w:rsidR="00DA7733" w:rsidRPr="00DA7733">
                          <w:t>revanthkumarts123@gmail.com</w:t>
                        </w:r>
                      </w:p>
                      <w:p w14:paraId="55C8DEC5" w14:textId="6CA176B8" w:rsidR="00861A80" w:rsidRDefault="00861A80"/>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4A2E66">
        <w:rPr>
          <w:kern w:val="48"/>
        </w:rPr>
        <w:t>Implementation of a Secure DevOps CI/CD Pipeline Using DevSecOps Too</w:t>
      </w:r>
      <w:r w:rsidR="00511CCF">
        <w:rPr>
          <w:kern w:val="48"/>
        </w:rPr>
        <w:t>ls</w:t>
      </w:r>
    </w:p>
    <w:p w14:paraId="52DEE00A" w14:textId="3F95245E" w:rsidR="009F1D79" w:rsidRPr="009C259A" w:rsidRDefault="009F1D79"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p>
    <w:p w14:paraId="4B45C9A8" w14:textId="49808279"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11519BBD" w:rsidR="00861A80" w:rsidRDefault="00861A80" w:rsidP="00861A80">
      <w:pPr>
        <w:pStyle w:val="Abstract"/>
        <w:ind w:firstLine="0pt"/>
        <w:rPr>
          <w:i/>
          <w:iCs/>
        </w:rPr>
      </w:pPr>
    </w:p>
    <w:p w14:paraId="4F560CB2" w14:textId="2C856A8C" w:rsidR="004D72B5" w:rsidRPr="009C259A" w:rsidRDefault="009303D9" w:rsidP="00861A80">
      <w:pPr>
        <w:pStyle w:val="Abstract"/>
        <w:ind w:firstLine="0pt"/>
        <w:rPr>
          <w:i/>
          <w:iCs/>
        </w:rPr>
      </w:pPr>
      <w:r w:rsidRPr="009C259A">
        <w:rPr>
          <w:i/>
          <w:iCs/>
        </w:rPr>
        <w:t>Abstract</w:t>
      </w:r>
      <w:r w:rsidRPr="009C259A">
        <w:t>—</w:t>
      </w:r>
      <w:r w:rsidR="004A2E66" w:rsidRPr="004A2E66">
        <w:t xml:space="preserve">The rapid growth of software development has increased the need for faster and more secure deployment practices. DevOps enables continuous integration and continuous delivery of applications, but security vulnerabilities may arise if security is not integrated into the pipeline. </w:t>
      </w:r>
      <w:proofErr w:type="spellStart"/>
      <w:r w:rsidR="004A2E66" w:rsidRPr="004A2E66">
        <w:t>DevSecOps</w:t>
      </w:r>
      <w:proofErr w:type="spellEnd"/>
      <w:r w:rsidR="004A2E66" w:rsidRPr="004A2E66">
        <w:t xml:space="preserve"> integrates security practices into every phase of the DevOps lifecycle to ensure secure software development and deployment. This paper presents the implementation of a Secure DevOps CI/CD pipeline that integrates security scanning, containerization, and continuous monitoring. The proposed system uses tools such as Git, GitHub, Jenkins, Docker, Kubernetes, Terraform, SonarQube, OWASP ZAP, </w:t>
      </w:r>
      <w:proofErr w:type="spellStart"/>
      <w:r w:rsidR="004A2E66" w:rsidRPr="004A2E66">
        <w:t>Trivy</w:t>
      </w:r>
      <w:proofErr w:type="spellEnd"/>
      <w:r w:rsidR="004A2E66" w:rsidRPr="004A2E66">
        <w:t>, Prometheus, and Grafana to automate the development and security processes. The pipeline detects vulnerabilities early in the development lifecycle and provides continuous monitoring to improve application security and reliability.</w:t>
      </w:r>
    </w:p>
    <w:p w14:paraId="3331DA43" w14:textId="2B4F1240" w:rsidR="009303D9" w:rsidRPr="009C259A" w:rsidRDefault="004D72B5" w:rsidP="00972203">
      <w:pPr>
        <w:pStyle w:val="Keywords"/>
      </w:pPr>
      <w:r w:rsidRPr="009C259A">
        <w:t>Keywords—</w:t>
      </w:r>
      <w:r w:rsidR="00291280" w:rsidRPr="00291280">
        <w:rPr>
          <w:b w:val="0"/>
          <w:bCs w:val="0"/>
          <w:i w:val="0"/>
          <w:sz w:val="20"/>
          <w:szCs w:val="20"/>
        </w:rPr>
        <w:t xml:space="preserve"> </w:t>
      </w:r>
      <w:r w:rsidR="00291280" w:rsidRPr="00291280">
        <w:t xml:space="preserve">DevOps, </w:t>
      </w:r>
      <w:proofErr w:type="spellStart"/>
      <w:r w:rsidR="00291280" w:rsidRPr="00291280">
        <w:t>DevSecOps</w:t>
      </w:r>
      <w:proofErr w:type="spellEnd"/>
      <w:r w:rsidR="00291280" w:rsidRPr="00291280">
        <w:t>, CI/CD Pipeline, Security Automation, Vulnerability Scanning</w:t>
      </w:r>
    </w:p>
    <w:p w14:paraId="1A8F0EC3" w14:textId="197B9D37" w:rsidR="009303D9" w:rsidRPr="00861A80" w:rsidRDefault="00861A80" w:rsidP="006B6B66">
      <w:pPr>
        <w:pStyle w:val="Heading1"/>
        <w:rPr>
          <w:b/>
          <w:bCs/>
        </w:rPr>
      </w:pPr>
      <w:r w:rsidRPr="00861A80">
        <w:rPr>
          <w:b/>
          <w:bCs/>
        </w:rPr>
        <w:t>Introduction</w:t>
      </w:r>
    </w:p>
    <w:p w14:paraId="2356684D" w14:textId="77777777" w:rsidR="00861A80" w:rsidRDefault="00861A80" w:rsidP="00E7596C">
      <w:pPr>
        <w:pStyle w:val="BodyText"/>
        <w:rPr>
          <w:lang w:val="en-US"/>
        </w:rPr>
      </w:pPr>
      <w:r w:rsidRPr="00861A80">
        <w:rPr>
          <w:lang w:val="en-US"/>
        </w:rPr>
        <w:t>Modern software development requires rapid deployment, scalability, and continuous delivery of applications. DevOps is a software development methodology that integrates development and operations teams to improve collaboration and automate the software delivery process. Continuous Integration (CI) and Continuous Deployment (CD) pipelines allow organizations to build, test, and deploy applications quickly and efficiently.</w:t>
      </w:r>
    </w:p>
    <w:p w14:paraId="7D36212F" w14:textId="298CB260" w:rsidR="009303D9" w:rsidRDefault="00861A80" w:rsidP="00E7596C">
      <w:pPr>
        <w:pStyle w:val="BodyText"/>
        <w:rPr>
          <w:lang w:val="en-US"/>
        </w:rPr>
      </w:pPr>
      <w:r w:rsidRPr="00861A80">
        <w:rPr>
          <w:lang w:val="en-US"/>
        </w:rPr>
        <w:t xml:space="preserve">However, traditional DevOps pipelines often overlook security concerns, which may lead to vulnerabilities in deployed applications. To address this problem, </w:t>
      </w:r>
      <w:proofErr w:type="spellStart"/>
      <w:r w:rsidRPr="00861A80">
        <w:rPr>
          <w:lang w:val="en-US"/>
        </w:rPr>
        <w:t>DevSecOps</w:t>
      </w:r>
      <w:proofErr w:type="spellEnd"/>
      <w:r w:rsidRPr="00861A80">
        <w:rPr>
          <w:lang w:val="en-US"/>
        </w:rPr>
        <w:t xml:space="preserve"> integrates security practices directly into the DevOps pipeline. By embedding security tools and automated vulnerability scanning into the development lifecycle, organizations can detect and mitigate security risks early.</w:t>
      </w:r>
    </w:p>
    <w:p w14:paraId="46C0A6BD" w14:textId="74D0C3C3" w:rsidR="00861A80" w:rsidRPr="009C259A" w:rsidRDefault="00861A80" w:rsidP="00E7596C">
      <w:pPr>
        <w:pStyle w:val="BodyText"/>
        <w:rPr>
          <w:lang w:val="en-US"/>
        </w:rPr>
      </w:pPr>
      <w:r w:rsidRPr="00861A80">
        <w:rPr>
          <w:lang w:val="en-US"/>
        </w:rPr>
        <w:t>This paper proposes a Secure DevOps pipeline that integrates security testing tools with automated CI/CD processes. The objective is to enhance the security of software applications while maintaining rapid development and deployment cycles.</w:t>
      </w:r>
    </w:p>
    <w:p w14:paraId="20A3F9D1" w14:textId="78B552FD" w:rsidR="009303D9" w:rsidRPr="003923DD" w:rsidRDefault="003923DD" w:rsidP="003923DD">
      <w:pPr>
        <w:pStyle w:val="Heading2"/>
        <w:rPr>
          <w:b/>
          <w:bCs/>
          <w:lang w:val="en-IN"/>
        </w:rPr>
      </w:pPr>
      <w:r w:rsidRPr="003923DD">
        <w:rPr>
          <w:b/>
          <w:bCs/>
        </w:rPr>
        <w:t>Secure</w:t>
      </w:r>
      <w:r w:rsidRPr="003923DD">
        <w:rPr>
          <w:b/>
          <w:bCs/>
          <w:lang w:val="en-IN"/>
        </w:rPr>
        <w:t> DevOps Architecture</w:t>
      </w:r>
    </w:p>
    <w:p w14:paraId="1811E288" w14:textId="0F70F318" w:rsidR="003923DD" w:rsidRDefault="003923DD" w:rsidP="00CA73E0">
      <w:pPr>
        <w:pStyle w:val="Heading3"/>
        <w:jc w:val="start"/>
      </w:pPr>
      <w:r w:rsidRPr="003923DD">
        <w:rPr>
          <w:b/>
          <w:bCs/>
          <w:lang w:val="en-IN"/>
        </w:rPr>
        <w:t>CI/CD Pipeline Integration:</w:t>
      </w:r>
      <w:r w:rsidR="00495427" w:rsidRPr="009C259A">
        <w:t xml:space="preserve"> </w:t>
      </w:r>
      <w:r w:rsidRPr="003923DD">
        <w:rPr>
          <w:i w:val="0"/>
          <w:iCs w:val="0"/>
        </w:rPr>
        <w:t>A Secure DevOps (DevSecOps) pipeline integrates security practices into every stage of the CI/CD workflow. The development process begins when developers push code to the Git repository hosted on GitHub. Jenkins automatically triggers the build process and performs continuous integration. Static Application Security Testing (SAST) tools such as SonarQube analyze the source code to detect vulnerabilities early in the development phase.</w:t>
      </w:r>
      <w:r w:rsidR="00582C8E" w:rsidRPr="009C259A">
        <w:tab/>
      </w:r>
    </w:p>
    <w:p w14:paraId="12A87419" w14:textId="1BC2B7CD" w:rsidR="00582C8E" w:rsidRDefault="00582C8E" w:rsidP="00582C8E">
      <w:pPr>
        <w:pStyle w:val="equation"/>
      </w:pPr>
      <w:r w:rsidRPr="009C259A">
        <w:rPr>
          <w:rFonts w:ascii="Times New Roman" w:hAnsi="Times New Roman" w:cs="Times New Roman"/>
          <w:i/>
        </w:rPr>
        <w:t>a</w:t>
      </w:r>
      <w:r w:rsidRPr="009C259A">
        <w:t></w:t>
      </w:r>
      <w:r w:rsidRPr="009C259A">
        <w:t></w:t>
      </w:r>
      <w:r w:rsidRPr="009C259A">
        <w:t></w:t>
      </w:r>
      <w:r w:rsidRPr="009C259A">
        <w:rPr>
          <w:rFonts w:ascii="Times New Roman" w:hAnsi="Times New Roman" w:cs="Times New Roman"/>
          <w:i/>
        </w:rPr>
        <w:t>b</w:t>
      </w:r>
      <w:r w:rsidRPr="009C259A">
        <w:t></w:t>
      </w:r>
      <w:r w:rsidRPr="009C259A">
        <w:t></w:t>
      </w:r>
      <w:r w:rsidRPr="009C259A">
        <w:t></w:t>
      </w:r>
      <w:r w:rsidRPr="009C259A">
        <w:t></w:t>
      </w:r>
      <w:r w:rsidRPr="009C259A">
        <w:t></w:t>
      </w:r>
      <w:r w:rsidRPr="009C259A">
        <w:tab/>
      </w:r>
      <w:r w:rsidRPr="009C259A">
        <w:t></w:t>
      </w:r>
      <w:r w:rsidRPr="009C259A">
        <w:t></w:t>
      </w:r>
      <w:r w:rsidRPr="009C259A">
        <w:t></w:t>
      </w:r>
    </w:p>
    <w:p w14:paraId="5562B5A7" w14:textId="5B1B7A0D" w:rsidR="003923DD" w:rsidRPr="003923DD" w:rsidRDefault="003923DD" w:rsidP="003923DD">
      <w:pPr>
        <w:pStyle w:val="equation"/>
        <w:jc w:val="both"/>
        <w:rPr>
          <w:rFonts w:ascii="Times New Roman" w:hAnsi="Times New Roman" w:cs="Times New Roman"/>
        </w:rPr>
      </w:pPr>
      <w:r w:rsidRPr="003923DD">
        <w:rPr>
          <w:rFonts w:ascii="Times New Roman" w:hAnsi="Times New Roman" w:cs="Times New Roman"/>
        </w:rPr>
        <w:t>Equation (1) represents a general expression example used for formatting equations in IEEE papers.</w:t>
      </w:r>
    </w:p>
    <w:p w14:paraId="0F54AFA5" w14:textId="163F3917" w:rsidR="00253304" w:rsidRPr="00253304" w:rsidRDefault="003923DD" w:rsidP="00253304">
      <w:pPr>
        <w:pStyle w:val="Heading3"/>
        <w:rPr>
          <w:i w:val="0"/>
          <w:iCs w:val="0"/>
        </w:rPr>
      </w:pPr>
      <w:r w:rsidRPr="003923DD">
        <w:rPr>
          <w:b/>
          <w:bCs/>
          <w:lang w:val="en-IN"/>
        </w:rPr>
        <w:t>Security Scanning and Deployment:</w:t>
      </w:r>
      <w:r>
        <w:rPr>
          <w:b/>
          <w:bCs/>
          <w:lang w:val="en-IN"/>
        </w:rPr>
        <w:t xml:space="preserve"> </w:t>
      </w:r>
      <w:r w:rsidRPr="003923DD">
        <w:rPr>
          <w:i w:val="0"/>
          <w:iCs w:val="0"/>
        </w:rPr>
        <w:t>Security scanning tools such as OWASP ZAP and Trivy are integrated into the pipeline to detect vulnerabilities in applications and container images. Docker is used to package applications into containers, ensuring consistent deployment across environments. Kubernetes manages and orchestrates these containers to provide scalability and reliability.</w:t>
      </w:r>
    </w:p>
    <w:tbl>
      <w:tblPr>
        <w:tblpPr w:leftFromText="180" w:rightFromText="180" w:vertAnchor="text" w:horzAnchor="margin" w:tblpXSpec="right" w:tblpY="161"/>
        <w:tblW w:w="242.50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420"/>
        <w:gridCol w:w="1332"/>
        <w:gridCol w:w="1509"/>
        <w:gridCol w:w="1589"/>
      </w:tblGrid>
      <w:tr w:rsidR="00A74B0F" w:rsidRPr="009C259A" w14:paraId="54C9A2BD" w14:textId="77777777" w:rsidTr="00A74B0F">
        <w:trPr>
          <w:cantSplit/>
          <w:trHeight w:val="288"/>
          <w:tblHeader/>
        </w:trPr>
        <w:tc>
          <w:tcPr>
            <w:tcW w:w="21pt" w:type="dxa"/>
          </w:tcPr>
          <w:p w14:paraId="6B5DE916" w14:textId="08AF57BF" w:rsidR="009A58D9" w:rsidRPr="009C259A" w:rsidRDefault="009A58D9" w:rsidP="00402641">
            <w:pPr>
              <w:rPr>
                <w:sz w:val="16"/>
                <w:szCs w:val="16"/>
              </w:rPr>
            </w:pPr>
            <w:r>
              <w:rPr>
                <w:sz w:val="16"/>
                <w:szCs w:val="16"/>
              </w:rPr>
              <w:t>Sl.no</w:t>
            </w:r>
          </w:p>
        </w:tc>
        <w:tc>
          <w:tcPr>
            <w:tcW w:w="66.60pt" w:type="dxa"/>
          </w:tcPr>
          <w:p w14:paraId="53A9ABEB" w14:textId="5DE3CE1D" w:rsidR="009A58D9" w:rsidRDefault="009A58D9" w:rsidP="00402641">
            <w:pPr>
              <w:pStyle w:val="tablecolsubhead"/>
            </w:pPr>
            <w:r>
              <w:t>Tool</w:t>
            </w:r>
          </w:p>
        </w:tc>
        <w:tc>
          <w:tcPr>
            <w:tcW w:w="75.45pt" w:type="dxa"/>
            <w:vAlign w:val="center"/>
          </w:tcPr>
          <w:p w14:paraId="0CC3DFE4" w14:textId="62E704A2" w:rsidR="009A58D9" w:rsidRPr="009C259A" w:rsidRDefault="009A58D9" w:rsidP="00402641">
            <w:pPr>
              <w:pStyle w:val="tablecolsubhead"/>
            </w:pPr>
            <w:r>
              <w:t>Category</w:t>
            </w:r>
          </w:p>
        </w:tc>
        <w:tc>
          <w:tcPr>
            <w:tcW w:w="79.45pt" w:type="dxa"/>
            <w:vAlign w:val="center"/>
          </w:tcPr>
          <w:p w14:paraId="5170DAB6" w14:textId="14DA41D6" w:rsidR="009A58D9" w:rsidRPr="009C259A" w:rsidRDefault="009A58D9" w:rsidP="00402641">
            <w:pPr>
              <w:pStyle w:val="tablecolsubhead"/>
            </w:pPr>
            <w:r>
              <w:t>Purpose</w:t>
            </w:r>
          </w:p>
        </w:tc>
      </w:tr>
      <w:tr w:rsidR="00A74B0F" w:rsidRPr="009C259A" w14:paraId="3BF720F1" w14:textId="77777777" w:rsidTr="00A74B0F">
        <w:trPr>
          <w:trHeight w:val="460"/>
        </w:trPr>
        <w:tc>
          <w:tcPr>
            <w:tcW w:w="21pt" w:type="dxa"/>
            <w:vAlign w:val="center"/>
          </w:tcPr>
          <w:p w14:paraId="5675005B" w14:textId="2343BA15" w:rsidR="009A58D9" w:rsidRPr="009C259A" w:rsidRDefault="009A58D9" w:rsidP="00402641">
            <w:pPr>
              <w:pStyle w:val="tablecopy"/>
              <w:rPr>
                <w:sz w:val="8"/>
                <w:szCs w:val="8"/>
              </w:rPr>
            </w:pPr>
            <w:r>
              <w:t>1.</w:t>
            </w:r>
          </w:p>
        </w:tc>
        <w:tc>
          <w:tcPr>
            <w:tcW w:w="66.60pt" w:type="dxa"/>
          </w:tcPr>
          <w:p w14:paraId="271432F4" w14:textId="5A8FDCE2" w:rsidR="009A58D9" w:rsidRDefault="009A58D9" w:rsidP="00402641">
            <w:pPr>
              <w:pStyle w:val="tablecopy"/>
            </w:pPr>
            <w:r>
              <w:t>Git</w:t>
            </w:r>
          </w:p>
        </w:tc>
        <w:tc>
          <w:tcPr>
            <w:tcW w:w="75.45pt" w:type="dxa"/>
            <w:vAlign w:val="center"/>
          </w:tcPr>
          <w:p w14:paraId="619B78C6" w14:textId="2F3533E2" w:rsidR="009A58D9" w:rsidRPr="009C259A" w:rsidRDefault="009A58D9" w:rsidP="00402641">
            <w:pPr>
              <w:pStyle w:val="tablecopy"/>
            </w:pPr>
            <w:r>
              <w:t>Version Control</w:t>
            </w:r>
          </w:p>
        </w:tc>
        <w:tc>
          <w:tcPr>
            <w:tcW w:w="79.45pt" w:type="dxa"/>
            <w:vAlign w:val="center"/>
          </w:tcPr>
          <w:p w14:paraId="24753C57" w14:textId="05D7B652" w:rsidR="009A58D9" w:rsidRPr="009C259A" w:rsidRDefault="009A58D9" w:rsidP="00402641">
            <w:pPr>
              <w:rPr>
                <w:sz w:val="16"/>
                <w:szCs w:val="16"/>
              </w:rPr>
            </w:pPr>
            <w:r>
              <w:rPr>
                <w:sz w:val="16"/>
                <w:szCs w:val="16"/>
              </w:rPr>
              <w:t>Track code changes</w:t>
            </w:r>
          </w:p>
        </w:tc>
      </w:tr>
      <w:tr w:rsidR="00A74B0F" w:rsidRPr="009C259A" w14:paraId="63A734A0" w14:textId="77777777" w:rsidTr="00A74B0F">
        <w:trPr>
          <w:trHeight w:val="460"/>
        </w:trPr>
        <w:tc>
          <w:tcPr>
            <w:tcW w:w="21pt" w:type="dxa"/>
            <w:vAlign w:val="center"/>
          </w:tcPr>
          <w:p w14:paraId="560042AB" w14:textId="4DB286F9" w:rsidR="009A58D9" w:rsidRDefault="009A58D9" w:rsidP="00402641">
            <w:pPr>
              <w:pStyle w:val="tablecopy"/>
            </w:pPr>
            <w:r>
              <w:t>2.</w:t>
            </w:r>
          </w:p>
        </w:tc>
        <w:tc>
          <w:tcPr>
            <w:tcW w:w="66.60pt" w:type="dxa"/>
          </w:tcPr>
          <w:p w14:paraId="35FEB697" w14:textId="3788B29F" w:rsidR="009A58D9" w:rsidRDefault="009A58D9" w:rsidP="00402641">
            <w:pPr>
              <w:pStyle w:val="tablecopy"/>
            </w:pPr>
            <w:r>
              <w:t>Jenkins</w:t>
            </w:r>
          </w:p>
        </w:tc>
        <w:tc>
          <w:tcPr>
            <w:tcW w:w="75.45pt" w:type="dxa"/>
            <w:vAlign w:val="center"/>
          </w:tcPr>
          <w:p w14:paraId="630A88CA" w14:textId="4CF389EA" w:rsidR="009A58D9" w:rsidRDefault="009A58D9" w:rsidP="00402641">
            <w:pPr>
              <w:pStyle w:val="tablecopy"/>
            </w:pPr>
            <w:r>
              <w:t>CI/CD Tool</w:t>
            </w:r>
          </w:p>
        </w:tc>
        <w:tc>
          <w:tcPr>
            <w:tcW w:w="79.45pt" w:type="dxa"/>
            <w:vAlign w:val="center"/>
          </w:tcPr>
          <w:p w14:paraId="262E9217" w14:textId="7BFA723C" w:rsidR="009A58D9" w:rsidRDefault="009A58D9" w:rsidP="00402641">
            <w:pPr>
              <w:rPr>
                <w:sz w:val="16"/>
                <w:szCs w:val="16"/>
              </w:rPr>
            </w:pPr>
            <w:r w:rsidRPr="009A58D9">
              <w:rPr>
                <w:sz w:val="16"/>
                <w:szCs w:val="16"/>
              </w:rPr>
              <w:t>Automate build and deployment</w:t>
            </w:r>
          </w:p>
        </w:tc>
      </w:tr>
      <w:tr w:rsidR="00A74B0F" w:rsidRPr="009C259A" w14:paraId="69D50FF4" w14:textId="77777777" w:rsidTr="00A74B0F">
        <w:trPr>
          <w:trHeight w:val="460"/>
        </w:trPr>
        <w:tc>
          <w:tcPr>
            <w:tcW w:w="21pt" w:type="dxa"/>
            <w:vAlign w:val="center"/>
          </w:tcPr>
          <w:p w14:paraId="4566E635" w14:textId="3AB4D9B5" w:rsidR="009A58D9" w:rsidRDefault="009A58D9" w:rsidP="00402641">
            <w:pPr>
              <w:pStyle w:val="tablecopy"/>
            </w:pPr>
            <w:r>
              <w:t>3.</w:t>
            </w:r>
          </w:p>
        </w:tc>
        <w:tc>
          <w:tcPr>
            <w:tcW w:w="66.60pt" w:type="dxa"/>
          </w:tcPr>
          <w:p w14:paraId="77480D69" w14:textId="51A70936" w:rsidR="009A58D9" w:rsidRDefault="009A58D9" w:rsidP="00402641">
            <w:pPr>
              <w:pStyle w:val="tablecopy"/>
            </w:pPr>
            <w:r>
              <w:t>Docker</w:t>
            </w:r>
          </w:p>
        </w:tc>
        <w:tc>
          <w:tcPr>
            <w:tcW w:w="75.45pt" w:type="dxa"/>
            <w:vAlign w:val="center"/>
          </w:tcPr>
          <w:p w14:paraId="179A6336" w14:textId="1540AB51" w:rsidR="009A58D9" w:rsidRDefault="009A58D9" w:rsidP="00402641">
            <w:pPr>
              <w:pStyle w:val="tablecopy"/>
            </w:pPr>
            <w:r w:rsidRPr="009A58D9">
              <w:t>Containerization</w:t>
            </w:r>
          </w:p>
        </w:tc>
        <w:tc>
          <w:tcPr>
            <w:tcW w:w="79.45pt" w:type="dxa"/>
            <w:vAlign w:val="center"/>
          </w:tcPr>
          <w:p w14:paraId="18DCCDEF" w14:textId="1048ABD6" w:rsidR="009A58D9" w:rsidRDefault="009A58D9" w:rsidP="00402641">
            <w:pPr>
              <w:rPr>
                <w:sz w:val="16"/>
                <w:szCs w:val="16"/>
              </w:rPr>
            </w:pPr>
            <w:r w:rsidRPr="009A58D9">
              <w:rPr>
                <w:sz w:val="16"/>
                <w:szCs w:val="16"/>
              </w:rPr>
              <w:t>Package applications</w:t>
            </w:r>
          </w:p>
        </w:tc>
      </w:tr>
      <w:tr w:rsidR="00A74B0F" w:rsidRPr="009C259A" w14:paraId="439F39C7" w14:textId="77777777" w:rsidTr="00A74B0F">
        <w:trPr>
          <w:trHeight w:val="460"/>
        </w:trPr>
        <w:tc>
          <w:tcPr>
            <w:tcW w:w="21pt" w:type="dxa"/>
            <w:vAlign w:val="center"/>
          </w:tcPr>
          <w:p w14:paraId="33B29084" w14:textId="67DEF6FF" w:rsidR="009A58D9" w:rsidRDefault="009A58D9" w:rsidP="00402641">
            <w:pPr>
              <w:pStyle w:val="tablecopy"/>
            </w:pPr>
            <w:r>
              <w:t>4.</w:t>
            </w:r>
          </w:p>
        </w:tc>
        <w:tc>
          <w:tcPr>
            <w:tcW w:w="66.60pt" w:type="dxa"/>
          </w:tcPr>
          <w:p w14:paraId="422DE538" w14:textId="65C8F791" w:rsidR="009A58D9" w:rsidRDefault="009A58D9" w:rsidP="00402641">
            <w:pPr>
              <w:pStyle w:val="tablecopy"/>
            </w:pPr>
            <w:r w:rsidRPr="009A58D9">
              <w:t>Kubernetes</w:t>
            </w:r>
          </w:p>
        </w:tc>
        <w:tc>
          <w:tcPr>
            <w:tcW w:w="75.45pt" w:type="dxa"/>
            <w:vAlign w:val="center"/>
          </w:tcPr>
          <w:p w14:paraId="645EF4DD" w14:textId="2756BA78" w:rsidR="009A58D9" w:rsidRDefault="009A58D9" w:rsidP="00402641">
            <w:pPr>
              <w:pStyle w:val="tablecopy"/>
            </w:pPr>
            <w:r w:rsidRPr="009A58D9">
              <w:t>Container Orchestration</w:t>
            </w:r>
          </w:p>
        </w:tc>
        <w:tc>
          <w:tcPr>
            <w:tcW w:w="79.45pt" w:type="dxa"/>
            <w:vAlign w:val="center"/>
          </w:tcPr>
          <w:p w14:paraId="29E4A51E" w14:textId="3083781E" w:rsidR="009A58D9" w:rsidRDefault="009A58D9" w:rsidP="00402641">
            <w:pPr>
              <w:rPr>
                <w:sz w:val="16"/>
                <w:szCs w:val="16"/>
              </w:rPr>
            </w:pPr>
            <w:r w:rsidRPr="009A58D9">
              <w:rPr>
                <w:sz w:val="16"/>
                <w:szCs w:val="16"/>
              </w:rPr>
              <w:t>Manage containers</w:t>
            </w:r>
          </w:p>
        </w:tc>
      </w:tr>
      <w:tr w:rsidR="00A74B0F" w:rsidRPr="009C259A" w14:paraId="2ECA6662" w14:textId="77777777" w:rsidTr="00A74B0F">
        <w:trPr>
          <w:trHeight w:val="460"/>
        </w:trPr>
        <w:tc>
          <w:tcPr>
            <w:tcW w:w="21pt" w:type="dxa"/>
            <w:vAlign w:val="center"/>
          </w:tcPr>
          <w:p w14:paraId="36575B7A" w14:textId="21232B74" w:rsidR="009A58D9" w:rsidRDefault="009A58D9" w:rsidP="00402641">
            <w:pPr>
              <w:pStyle w:val="tablecopy"/>
            </w:pPr>
            <w:r>
              <w:t>5.</w:t>
            </w:r>
          </w:p>
        </w:tc>
        <w:tc>
          <w:tcPr>
            <w:tcW w:w="66.60pt" w:type="dxa"/>
          </w:tcPr>
          <w:p w14:paraId="4A27E61F" w14:textId="7763AD30" w:rsidR="009A58D9" w:rsidRDefault="009A58D9" w:rsidP="00402641">
            <w:pPr>
              <w:pStyle w:val="tablecopy"/>
            </w:pPr>
            <w:r w:rsidRPr="009A58D9">
              <w:t>SonarQube</w:t>
            </w:r>
          </w:p>
        </w:tc>
        <w:tc>
          <w:tcPr>
            <w:tcW w:w="75.45pt" w:type="dxa"/>
            <w:vAlign w:val="center"/>
          </w:tcPr>
          <w:p w14:paraId="505D39DA" w14:textId="393E842D" w:rsidR="009A58D9" w:rsidRDefault="009A58D9" w:rsidP="00402641">
            <w:pPr>
              <w:pStyle w:val="tablecopy"/>
            </w:pPr>
            <w:r w:rsidRPr="009A58D9">
              <w:t>SAST Tool</w:t>
            </w:r>
          </w:p>
        </w:tc>
        <w:tc>
          <w:tcPr>
            <w:tcW w:w="79.45pt" w:type="dxa"/>
            <w:vAlign w:val="center"/>
          </w:tcPr>
          <w:p w14:paraId="23813491" w14:textId="61A7BBFE" w:rsidR="009A58D9" w:rsidRDefault="009A58D9" w:rsidP="00402641">
            <w:pPr>
              <w:rPr>
                <w:sz w:val="16"/>
                <w:szCs w:val="16"/>
              </w:rPr>
            </w:pPr>
            <w:r w:rsidRPr="009A58D9">
              <w:rPr>
                <w:sz w:val="16"/>
                <w:szCs w:val="16"/>
              </w:rPr>
              <w:t>Detect code vulnerabilities</w:t>
            </w:r>
          </w:p>
        </w:tc>
      </w:tr>
    </w:tbl>
    <w:p w14:paraId="5B52DBD4" w14:textId="77777777" w:rsidR="00A74B0F" w:rsidRPr="00A74B0F" w:rsidRDefault="00A74B0F" w:rsidP="00A74B0F">
      <w:pPr>
        <w:pStyle w:val="Heading4"/>
        <w:numPr>
          <w:ilvl w:val="0"/>
          <w:numId w:val="0"/>
        </w:numPr>
        <w:rPr>
          <w:i w:val="0"/>
          <w:iCs w:val="0"/>
        </w:rPr>
      </w:pPr>
      <w:r>
        <w:t xml:space="preserve">                                                                               </w:t>
      </w:r>
    </w:p>
    <w:p w14:paraId="318DA2B6" w14:textId="33975034" w:rsidR="00810E26" w:rsidRDefault="00A74B0F" w:rsidP="00A74B0F">
      <w:pPr>
        <w:pStyle w:val="Heading4"/>
        <w:numPr>
          <w:ilvl w:val="3"/>
          <w:numId w:val="25"/>
        </w:numPr>
        <w:rPr>
          <w:i w:val="0"/>
          <w:iCs w:val="0"/>
        </w:rPr>
      </w:pPr>
      <w:r w:rsidRPr="00CA73E0">
        <w:rPr>
          <w:b/>
          <w:bCs/>
        </w:rPr>
        <w:t>Monitoring and Logging</w:t>
      </w:r>
      <w:r w:rsidR="004107FB" w:rsidRPr="00CA73E0">
        <w:rPr>
          <w:b/>
          <w:bCs/>
        </w:rPr>
        <w:t xml:space="preserve">: </w:t>
      </w:r>
      <w:r w:rsidR="004107FB" w:rsidRPr="00CA73E0">
        <w:rPr>
          <w:i w:val="0"/>
          <w:iCs w:val="0"/>
        </w:rPr>
        <w:t>It’s</w:t>
      </w:r>
      <w:r w:rsidR="004107FB" w:rsidRPr="00A74B0F">
        <w:rPr>
          <w:i w:val="0"/>
          <w:iCs w:val="0"/>
        </w:rPr>
        <w:t xml:space="preserve"> recommended to write your text in a separate document and then add it to this template once it’s complete. When copying text into the template from another document, make sure that the </w:t>
      </w:r>
    </w:p>
    <w:p w14:paraId="274D64B6" w14:textId="77777777" w:rsidR="00A74B0F" w:rsidRDefault="00A74B0F" w:rsidP="00A74B0F"/>
    <w:p w14:paraId="04899720" w14:textId="77777777" w:rsidR="00A74B0F" w:rsidRDefault="00A74B0F" w:rsidP="00A74B0F"/>
    <w:p w14:paraId="07F645F6" w14:textId="22F3533C" w:rsidR="00A74B0F" w:rsidRPr="00A74B0F" w:rsidRDefault="00A74B0F" w:rsidP="00253304">
      <w:r>
        <w:rPr>
          <w:noProof/>
        </w:rPr>
        <w:lastRenderedPageBreak/>
        <w:drawing>
          <wp:inline distT="0" distB="0" distL="0" distR="0" wp14:anchorId="1D145E74" wp14:editId="62657E1A">
            <wp:extent cx="3067291" cy="2044861"/>
            <wp:effectExtent l="0" t="0" r="0" b="6350"/>
            <wp:docPr id="125373172"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373172" name="Picture 12537317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67291" cy="2044861"/>
                    </a:xfrm>
                    <a:prstGeom prst="rect">
                      <a:avLst/>
                    </a:prstGeom>
                  </pic:spPr>
                </pic:pic>
              </a:graphicData>
            </a:graphic>
          </wp:inline>
        </w:drawing>
      </w:r>
    </w:p>
    <w:p w14:paraId="6DC4A277" w14:textId="20624DE1" w:rsidR="00810E26" w:rsidRPr="009C259A" w:rsidRDefault="00253304" w:rsidP="00810E26">
      <w:pPr>
        <w:pStyle w:val="figurecaption"/>
      </w:pPr>
      <w:r>
        <w:t>DevSecOps CI/CD pipeline architecture.</w:t>
      </w:r>
    </w:p>
    <w:p w14:paraId="6D597243" w14:textId="77777777" w:rsidR="00253304" w:rsidRPr="00CA73E0" w:rsidRDefault="00253304" w:rsidP="00253304">
      <w:pPr>
        <w:pStyle w:val="Heading4"/>
        <w:jc w:val="start"/>
        <w:rPr>
          <w:i w:val="0"/>
          <w:iCs w:val="0"/>
          <w:lang w:val="en-IN"/>
        </w:rPr>
      </w:pPr>
      <w:r w:rsidRPr="00CA73E0">
        <w:rPr>
          <w:b/>
          <w:bCs/>
        </w:rPr>
        <w:t>Security Best Practices</w:t>
      </w:r>
      <w:r w:rsidR="004107FB" w:rsidRPr="00CA73E0">
        <w:rPr>
          <w:b/>
          <w:bCs/>
          <w:i w:val="0"/>
          <w:iCs w:val="0"/>
        </w:rPr>
        <w:t>:</w:t>
      </w:r>
      <w:r w:rsidR="004107FB" w:rsidRPr="00CA73E0">
        <w:rPr>
          <w:i w:val="0"/>
          <w:iCs w:val="0"/>
        </w:rPr>
        <w:t xml:space="preserve"> </w:t>
      </w:r>
      <w:r w:rsidRPr="00CA73E0">
        <w:rPr>
          <w:i w:val="0"/>
          <w:iCs w:val="0"/>
          <w:lang w:val="en-IN"/>
        </w:rPr>
        <w:t>To maintain a secure DevOps environment, several best practices should be followed:</w:t>
      </w:r>
    </w:p>
    <w:p w14:paraId="1B8168EE" w14:textId="726C7AAC" w:rsidR="00253304" w:rsidRPr="00CA73E0" w:rsidRDefault="00253304" w:rsidP="00253304">
      <w:pPr>
        <w:pStyle w:val="Heading4"/>
        <w:numPr>
          <w:ilvl w:val="0"/>
          <w:numId w:val="0"/>
        </w:numPr>
        <w:jc w:val="start"/>
        <w:rPr>
          <w:i w:val="0"/>
          <w:iCs w:val="0"/>
          <w:lang w:val="en-IN"/>
        </w:rPr>
      </w:pPr>
      <w:r w:rsidRPr="00253304">
        <w:rPr>
          <w:i w:val="0"/>
          <w:iCs w:val="0"/>
          <w:lang w:val="en-IN"/>
        </w:rPr>
        <w:t>• Security testing should be integrated into every stage of the CI/CD</w:t>
      </w:r>
      <w:r w:rsidRPr="00CA73E0">
        <w:rPr>
          <w:i w:val="0"/>
          <w:iCs w:val="0"/>
          <w:lang w:val="en-IN"/>
        </w:rPr>
        <w:t xml:space="preserve"> </w:t>
      </w:r>
      <w:r w:rsidRPr="00253304">
        <w:rPr>
          <w:i w:val="0"/>
          <w:iCs w:val="0"/>
          <w:lang w:val="en-IN"/>
        </w:rPr>
        <w:t>pipeline.</w:t>
      </w:r>
      <w:r w:rsidRPr="00253304">
        <w:rPr>
          <w:i w:val="0"/>
          <w:iCs w:val="0"/>
          <w:lang w:val="en-IN"/>
        </w:rPr>
        <w:br/>
        <w:t>• Vulnerabilities detected by security tools should be reviewed and fixed by developers.</w:t>
      </w:r>
      <w:r w:rsidRPr="00253304">
        <w:rPr>
          <w:i w:val="0"/>
          <w:iCs w:val="0"/>
          <w:lang w:val="en-IN"/>
        </w:rPr>
        <w:br/>
        <w:t>• Continuous monitoring helps detect abnormal system behavior and potential attacks.</w:t>
      </w:r>
    </w:p>
    <w:p w14:paraId="001FAE55" w14:textId="77777777" w:rsidR="00253304" w:rsidRPr="00253304" w:rsidRDefault="00253304" w:rsidP="00253304">
      <w:pPr>
        <w:rPr>
          <w:b/>
          <w:bCs/>
          <w:lang w:val="en-IN"/>
        </w:rPr>
      </w:pPr>
    </w:p>
    <w:p w14:paraId="04A7400D" w14:textId="7F69E6B9" w:rsidR="00253304" w:rsidRPr="00CA73E0" w:rsidRDefault="00253304" w:rsidP="00253304">
      <w:pPr>
        <w:pStyle w:val="Heading2"/>
        <w:rPr>
          <w:b/>
          <w:bCs/>
        </w:rPr>
      </w:pPr>
      <w:r w:rsidRPr="00CA73E0">
        <w:rPr>
          <w:b/>
          <w:bCs/>
        </w:rPr>
        <w:t>Deployment in Cloud Environment</w:t>
      </w:r>
    </w:p>
    <w:p w14:paraId="21B5F231" w14:textId="733B685C" w:rsidR="00253304" w:rsidRPr="009C259A" w:rsidRDefault="00253304" w:rsidP="00253304">
      <w:pPr>
        <w:pStyle w:val="BodyText"/>
        <w:ind w:firstLine="0pt"/>
        <w:rPr>
          <w:lang w:val="en-US"/>
        </w:rPr>
      </w:pPr>
      <w:r w:rsidRPr="00253304">
        <w:rPr>
          <w:lang w:val="en-US"/>
        </w:rPr>
        <w:t xml:space="preserve">Cloud platforms such as Microsoft Azure or AWS are used to host the infrastructure required for the DevOps pipeline. Infrastructure as Code tools like Terraform automate the provisioning of cloud resources, enabling scalable and consistent infrastructure deployment. By combining cloud computing with </w:t>
      </w:r>
      <w:proofErr w:type="spellStart"/>
      <w:r w:rsidRPr="00253304">
        <w:rPr>
          <w:lang w:val="en-US"/>
        </w:rPr>
        <w:t>DevSecOps</w:t>
      </w:r>
      <w:proofErr w:type="spellEnd"/>
      <w:r w:rsidRPr="00253304">
        <w:rPr>
          <w:lang w:val="en-US"/>
        </w:rPr>
        <w:t xml:space="preserve"> practices, organizations can achieve secure, reliable, and automated software delivery.</w:t>
      </w:r>
    </w:p>
    <w:p w14:paraId="20D6F94A" w14:textId="4AD860D6" w:rsidR="009303D9" w:rsidRPr="009C259A" w:rsidRDefault="007C6F08" w:rsidP="007C6F08">
      <w:pPr>
        <w:pStyle w:val="Heading1"/>
      </w:pPr>
      <w:r w:rsidRPr="009C259A">
        <w:t>This Is Another Level 1 Heading</w:t>
      </w:r>
    </w:p>
    <w:p w14:paraId="6F836A69" w14:textId="77777777" w:rsidR="007C6F08" w:rsidRPr="009C259A" w:rsidRDefault="007C6F08" w:rsidP="00E7596C">
      <w:pPr>
        <w:pStyle w:val="BodyText"/>
        <w:rPr>
          <w:lang w:val="en-US"/>
        </w:rPr>
      </w:pPr>
      <w:r w:rsidRPr="009C259A">
        <w:rPr>
          <w:lang w:val="en-US"/>
        </w:rPr>
        <w:t>All the headings in the main body of your paper are numbered (automatically).</w:t>
      </w:r>
    </w:p>
    <w:p w14:paraId="013BA0C5" w14:textId="2BA6209E" w:rsidR="009303D9" w:rsidRPr="009C259A" w:rsidRDefault="007C6F08" w:rsidP="00C929B4">
      <w:pPr>
        <w:pStyle w:val="BodyText"/>
        <w:rPr>
          <w:lang w:val="en-US"/>
        </w:rPr>
      </w:pPr>
      <w:r w:rsidRPr="009C259A">
        <w:rPr>
          <w:lang w:val="en-US"/>
        </w:rPr>
        <w:t xml:space="preserve">Another type of heading is the “component heading”, which is used for other </w:t>
      </w:r>
      <w:proofErr w:type="gramStart"/>
      <w:r w:rsidRPr="009C259A">
        <w:rPr>
          <w:lang w:val="en-US"/>
        </w:rPr>
        <w:t>components  that</w:t>
      </w:r>
      <w:proofErr w:type="gramEnd"/>
      <w:r w:rsidRPr="009C259A">
        <w:rPr>
          <w:lang w:val="en-US"/>
        </w:rPr>
        <w:t xml:space="preserve"> aren’t part of the main text. These are usually your acknowledgments and your references, which you can see examples of below. These </w:t>
      </w:r>
      <w:r w:rsidR="002E7CBA" w:rsidRPr="009C259A">
        <w:rPr>
          <w:lang w:val="en-US"/>
        </w:rPr>
        <w:t>headings are not numbered. The correct styling for them can be applied using the “Heading 5” style, which is the same as the “Heading 1” style but without numbering.</w:t>
      </w:r>
    </w:p>
    <w:p w14:paraId="677AE956" w14:textId="7F6900CA" w:rsidR="00810E26" w:rsidRPr="009C259A" w:rsidRDefault="00810E26" w:rsidP="00810E26">
      <w:pPr>
        <w:pStyle w:val="tablehead"/>
      </w:pPr>
      <w:r w:rsidRPr="009C259A">
        <w:t xml:space="preserve">This Is the </w:t>
      </w:r>
      <w:r w:rsidR="002F527D" w:rsidRPr="009C259A">
        <w:t>Heading</w:t>
      </w:r>
      <w:r w:rsidRPr="009C259A">
        <w:t xml:space="preserve"> </w:t>
      </w:r>
      <w:r w:rsidR="002F527D" w:rsidRPr="009C259A">
        <w:t>for</w:t>
      </w:r>
      <w:r w:rsidRPr="009C259A">
        <w:t xml:space="preserve"> a Table</w:t>
      </w:r>
    </w:p>
    <w:p w14:paraId="715676AF" w14:textId="77777777" w:rsidR="00810E26" w:rsidRPr="009C259A" w:rsidRDefault="00810E26" w:rsidP="00810E26">
      <w:pPr>
        <w:pStyle w:val="tablefootnote"/>
      </w:pPr>
      <w:r w:rsidRPr="009C259A">
        <w:t>This is a table footnote.</w:t>
      </w:r>
    </w:p>
    <w:p w14:paraId="3F232725" w14:textId="48DE6CE5" w:rsidR="00810E26" w:rsidRPr="009C259A" w:rsidRDefault="002F527D" w:rsidP="002F527D">
      <w:pPr>
        <w:pStyle w:val="BodyText"/>
        <w:rPr>
          <w:lang w:val="en-US"/>
        </w:rPr>
      </w:pPr>
      <w:r w:rsidRPr="009C259A">
        <w:rPr>
          <w:lang w:val="en-US"/>
        </w:rPr>
        <w:t>You can cite your references in text by including the corresponding number, in square brackets [1]. If you need to cite a specific part of the source, you can include a page number [2, p. 13] or range [3, pp. 41–56].</w:t>
      </w:r>
    </w:p>
    <w:p w14:paraId="7564B12F" w14:textId="2B999CDA" w:rsidR="0080791D" w:rsidRPr="009C259A" w:rsidRDefault="0080791D" w:rsidP="0080791D">
      <w:pPr>
        <w:pStyle w:val="Heading5"/>
      </w:pPr>
      <w:r w:rsidRPr="009C259A">
        <w:t>Acknowledgment</w:t>
      </w:r>
      <w:r w:rsidR="00C929B4" w:rsidRPr="009C259A">
        <w:t>s</w:t>
      </w:r>
    </w:p>
    <w:p w14:paraId="5E0F78D0" w14:textId="04FA7BD2" w:rsidR="0094438B" w:rsidRDefault="0094438B" w:rsidP="0094438B">
      <w:pPr>
        <w:pStyle w:val="BodyText"/>
        <w:rPr>
          <w:lang w:val="en-US"/>
        </w:rPr>
      </w:pPr>
      <w:r w:rsidRPr="0094438B">
        <w:rPr>
          <w:lang w:val="en-US"/>
        </w:rPr>
        <w:t xml:space="preserve">The authors would like to express their sincere gratitude to the Department of Computer Science and Engineering at Global Academy of Technology, Bengaluru, India, for providing the necessary support and facilities to carry out this research work. The authors are especially thankful to </w:t>
      </w:r>
      <w:r w:rsidRPr="0094438B">
        <w:rPr>
          <w:b/>
          <w:bCs/>
          <w:lang w:val="en-US"/>
        </w:rPr>
        <w:t>Prof. Sameena H. S., Assistant Professor</w:t>
      </w:r>
      <w:r w:rsidRPr="0094438B">
        <w:rPr>
          <w:lang w:val="en-US"/>
        </w:rPr>
        <w:t>, for her continuous guidance, valuable suggestions, and encouragement throughout the development of this project. Her support and insights have greatly contributed to the successful completion of this work.</w:t>
      </w:r>
    </w:p>
    <w:p w14:paraId="249E1108" w14:textId="77777777" w:rsidR="0094438B" w:rsidRDefault="0094438B" w:rsidP="0094438B">
      <w:pPr>
        <w:pStyle w:val="BodyText"/>
        <w:rPr>
          <w:lang w:val="en-US"/>
        </w:rPr>
      </w:pPr>
    </w:p>
    <w:p w14:paraId="540636BD" w14:textId="77777777" w:rsidR="00DA7733" w:rsidRDefault="00DA7733" w:rsidP="0094438B">
      <w:pPr>
        <w:pStyle w:val="BodyText"/>
        <w:rPr>
          <w:lang w:val="en-US"/>
        </w:rPr>
      </w:pPr>
    </w:p>
    <w:p w14:paraId="6CF41256" w14:textId="77777777" w:rsidR="00DA7733" w:rsidRPr="009C259A" w:rsidRDefault="00DA7733" w:rsidP="0094438B">
      <w:pPr>
        <w:pStyle w:val="BodyText"/>
        <w:rPr>
          <w:lang w:val="en-US"/>
        </w:rPr>
      </w:pPr>
    </w:p>
    <w:p w14:paraId="15CB1E13" w14:textId="7A504429" w:rsidR="009303D9" w:rsidRPr="009C259A" w:rsidRDefault="009303D9" w:rsidP="002F527D">
      <w:pPr>
        <w:pStyle w:val="Heading5"/>
      </w:pPr>
      <w:r w:rsidRPr="009C259A">
        <w:t>References</w:t>
      </w:r>
    </w:p>
    <w:p w14:paraId="278226E3" w14:textId="77777777" w:rsidR="00CE418D" w:rsidRDefault="00CE418D" w:rsidP="0004781E">
      <w:pPr>
        <w:pStyle w:val="references"/>
        <w:ind w:start="17.70pt" w:hanging="17.70pt"/>
      </w:pPr>
      <w:r w:rsidRPr="00CE418D">
        <w:t xml:space="preserve">M. Marandi, A. Bertia, and S. Silas, “Implementing and Automating Security Scanning to a DevSecOps CI/CD Pipeline,” in </w:t>
      </w:r>
      <w:r w:rsidRPr="00CE418D">
        <w:rPr>
          <w:i/>
          <w:iCs/>
        </w:rPr>
        <w:t>Proc. 2023 World Conf. Communication &amp; Computing (WCONF)</w:t>
      </w:r>
      <w:r w:rsidRPr="00CE418D">
        <w:t>, Raipur, India, Jul. 2023, doi: 10.1109/WCONF58270.2023.10235015.</w:t>
      </w:r>
    </w:p>
    <w:p w14:paraId="323A9B13" w14:textId="77777777" w:rsidR="00CE418D" w:rsidRDefault="00CE418D" w:rsidP="00816184">
      <w:pPr>
        <w:pStyle w:val="references"/>
        <w:ind w:start="17.70pt" w:hanging="17.70pt"/>
      </w:pPr>
      <w:r w:rsidRPr="00CE418D">
        <w:t xml:space="preserve">M. Voggenreiter, F. Angermeir, F. Moyón, U. Schöpp, and P. Bonvin, “Automated Security Findings Management: A Case Study in Industrial DevOps,” in </w:t>
      </w:r>
      <w:r w:rsidRPr="00CE418D">
        <w:rPr>
          <w:i/>
          <w:iCs/>
        </w:rPr>
        <w:t>Proc. 46th Int. Conf. Software Engineering: Software Engineering in Practice (ICSE-SEIP)</w:t>
      </w:r>
      <w:r w:rsidRPr="00CE418D">
        <w:t>, Apr. 2024, doi: 10.1145/3639477.3639744.</w:t>
      </w:r>
    </w:p>
    <w:p w14:paraId="15BE6308" w14:textId="33AA9CF0" w:rsidR="009303D9" w:rsidRDefault="00CE418D" w:rsidP="00816184">
      <w:pPr>
        <w:pStyle w:val="references"/>
        <w:ind w:start="17.70pt" w:hanging="17.70pt"/>
      </w:pPr>
      <w:r w:rsidRPr="00CE418D">
        <w:t xml:space="preserve">A. Nayanajith and R. Wickramarachchi, “Challenges Affecting the Successful Adoption of DevOps Practices: A Systematic Literature Review,” in </w:t>
      </w:r>
      <w:r w:rsidRPr="00CE418D">
        <w:rPr>
          <w:i/>
          <w:iCs/>
        </w:rPr>
        <w:t>Proc. 4th Int. Conf. Advanced Research in Computing (ICARC)</w:t>
      </w:r>
      <w:r w:rsidRPr="00CE418D">
        <w:t>, 2024, doi: 10.1109/ICARC61713.2024.10499735.</w:t>
      </w:r>
    </w:p>
    <w:p w14:paraId="23639910" w14:textId="17C5EC31" w:rsidR="00CE418D" w:rsidRDefault="00CE418D" w:rsidP="00816184">
      <w:pPr>
        <w:pStyle w:val="references"/>
        <w:ind w:start="17.70pt" w:hanging="17.70pt"/>
      </w:pPr>
      <w:r w:rsidRPr="00CE418D">
        <w:t xml:space="preserve">N. Dinh, V. T. Hoang, B. N. Van, T. H. Huong, H. D. T. Hong, H. N. Trung, and K. T. Trung, “Enhancing Smart Contract Security Through DevSecOps: An Adaptive Approach for Vulnerability Detection,” </w:t>
      </w:r>
      <w:r w:rsidRPr="00CE418D">
        <w:rPr>
          <w:i/>
          <w:iCs/>
        </w:rPr>
        <w:t>IEEE Access</w:t>
      </w:r>
      <w:r w:rsidRPr="00CE418D">
        <w:t>, vol. 13, pp. 159454–159520, 2025, doi: 10.1109/ACCESS.2025.3606572.</w:t>
      </w:r>
    </w:p>
    <w:p w14:paraId="18F48A36" w14:textId="2C66A0D5" w:rsidR="00CE418D" w:rsidRDefault="00CE418D" w:rsidP="00816184">
      <w:pPr>
        <w:pStyle w:val="references"/>
        <w:ind w:start="17.70pt" w:hanging="17.70pt"/>
      </w:pPr>
      <w:r w:rsidRPr="00CE418D">
        <w:t xml:space="preserve">R. Ashtagi, Y. Bhalerao, C. Belani, P. Bhalerao, and A. Chawle, “Building Resilient CI/CD Pipelines: A DevOps Security-First Framework,” in </w:t>
      </w:r>
      <w:r w:rsidRPr="00CE418D">
        <w:rPr>
          <w:i/>
          <w:iCs/>
        </w:rPr>
        <w:t>Proc. 2025 Int. Conf. Computational, Communication and Information Technology (ICCCIT)</w:t>
      </w:r>
      <w:r w:rsidRPr="00CE418D">
        <w:t>, 2025, doi: 10.1109/ICCCIT62592.2025.10927871.</w:t>
      </w:r>
    </w:p>
    <w:p w14:paraId="0C71ABC6" w14:textId="163F41E7" w:rsidR="00CE418D" w:rsidRDefault="00DC1FE8" w:rsidP="00816184">
      <w:pPr>
        <w:pStyle w:val="references"/>
        <w:ind w:start="17.70pt" w:hanging="17.70pt"/>
      </w:pPr>
      <w:r w:rsidRPr="00DC1FE8">
        <w:t xml:space="preserve">R. C. B. Ramos and S. G. Yoo, “Cybersecurity in DevOps Environments: A Systematic Literature Review,” </w:t>
      </w:r>
      <w:r w:rsidRPr="00DC1FE8">
        <w:rPr>
          <w:i/>
          <w:iCs/>
        </w:rPr>
        <w:t>IEEE Access</w:t>
      </w:r>
      <w:r w:rsidRPr="00DC1FE8">
        <w:t>, vol. 13, pp. 191959–191980, 2025, doi: 10.1109/ACCESS.2025.3582892.</w:t>
      </w:r>
    </w:p>
    <w:p w14:paraId="23494FAE" w14:textId="51D0F60F" w:rsidR="00DC1FE8" w:rsidRDefault="00DC1FE8" w:rsidP="00816184">
      <w:pPr>
        <w:pStyle w:val="references"/>
        <w:ind w:start="17.70pt" w:hanging="17.70pt"/>
      </w:pPr>
      <w:r w:rsidRPr="00DC1FE8">
        <w:t xml:space="preserve">S. A. Ruk, Y. Mahmood, A. Azmi, N. F. M. Azmi, and S. Gul, “Effort Estimation in Agile and DevOps: A Systematic Literature Review of Stakeholder Dissatisfaction,” </w:t>
      </w:r>
      <w:r w:rsidRPr="00DC1FE8">
        <w:rPr>
          <w:i/>
          <w:iCs/>
        </w:rPr>
        <w:t>IEEE Access</w:t>
      </w:r>
      <w:r w:rsidRPr="00DC1FE8">
        <w:t>, vol. 13, pp. 167925–167960, 2025, doi: 10.1109/ACCESS.2025.3600321.</w:t>
      </w:r>
    </w:p>
    <w:p w14:paraId="7C07FF98" w14:textId="497431AB" w:rsidR="00DC1FE8" w:rsidRDefault="00DC1FE8" w:rsidP="00816184">
      <w:pPr>
        <w:pStyle w:val="references"/>
        <w:ind w:start="17.70pt" w:hanging="17.70pt"/>
      </w:pPr>
      <w:r w:rsidRPr="00DC1FE8">
        <w:t xml:space="preserve">N. S, P. Manja, P. Mathur, and P. B. Honnavalli, “Extensive Review of Threat Models for DevSecOps,” </w:t>
      </w:r>
      <w:r w:rsidRPr="00DC1FE8">
        <w:rPr>
          <w:i/>
          <w:iCs/>
        </w:rPr>
        <w:t>IEEE Access</w:t>
      </w:r>
      <w:r w:rsidRPr="00DC1FE8">
        <w:t>, vol. 13, pp. 45252–45274, 2025, doi: 10.1109/ACCESS.2025.3547932.</w:t>
      </w:r>
    </w:p>
    <w:p w14:paraId="68E58DD6" w14:textId="3EF82B40" w:rsidR="00DC1FE8" w:rsidRDefault="0094438B" w:rsidP="00816184">
      <w:pPr>
        <w:pStyle w:val="references"/>
        <w:ind w:start="17.70pt" w:hanging="17.70pt"/>
      </w:pPr>
      <w:r w:rsidRPr="0094438B">
        <w:t xml:space="preserve">M. A. Akbar and A. A. Alsanad, “Empirical Investigation of Key Enablers for Secure DevOps Practices,” </w:t>
      </w:r>
      <w:r w:rsidRPr="0094438B">
        <w:rPr>
          <w:i/>
          <w:iCs/>
        </w:rPr>
        <w:t>IEEE Access</w:t>
      </w:r>
      <w:r w:rsidRPr="0094438B">
        <w:t>, vol. 13, pp. 43698–43710, 2025, doi: 10.1109/ACCESS.2025.3549183.</w:t>
      </w:r>
    </w:p>
    <w:p w14:paraId="4BAF7832" w14:textId="472B8E6A" w:rsidR="0094438B" w:rsidRPr="009C259A" w:rsidRDefault="0094438B" w:rsidP="00816184">
      <w:pPr>
        <w:pStyle w:val="references"/>
        <w:ind w:start="17.70pt" w:hanging="17.70pt"/>
      </w:pPr>
      <w:r w:rsidRPr="0094438B">
        <w:t xml:space="preserve">J. Ababneh, E. Y. A. Al-Nsour, A. Al-Shaikh, M. R. Al-Mousa, A. Al-Zabin, M. Asassfeh, and H. Abualese, “Enhancing DevOps Continuous Monitoring Phase: Hybrid Intrusion Detection and Ensemble Learning System (HIDELS),” </w:t>
      </w:r>
      <w:r w:rsidRPr="0094438B">
        <w:rPr>
          <w:i/>
          <w:iCs/>
        </w:rPr>
        <w:t>IEEE Access</w:t>
      </w:r>
      <w:r w:rsidRPr="0094438B">
        <w:t>, vol. 14, pp. 4733–4755, 2026, doi: 10.1109/ACCESS.2026.3650793.</w:t>
      </w:r>
    </w:p>
    <w:p w14:paraId="2B7CB615" w14:textId="77777777" w:rsidR="00816184" w:rsidRDefault="00816184"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4D03F28C" w:rsidR="00836367" w:rsidRPr="00F44186" w:rsidRDefault="002F527D" w:rsidP="008B6524">
      <w:pPr>
        <w:pStyle w:val="references"/>
        <w:numPr>
          <w:ilvl w:val="0"/>
          <w:numId w:val="0"/>
        </w:numPr>
        <w:spacing w:line="12pt" w:lineRule="auto"/>
        <w:ind w:start="18pt" w:hanging="18pt"/>
        <w:jc w:val="center"/>
        <w:rPr>
          <w:rFonts w:eastAsia="SimSun"/>
          <w:b/>
          <w:noProof w:val="0"/>
          <w:color w:val="00B0F0"/>
          <w:spacing w:val="-1"/>
          <w:sz w:val="20"/>
          <w:szCs w:val="20"/>
          <w:lang w:eastAsia="x-none"/>
        </w:rPr>
        <w:sectPr w:rsidR="00836367" w:rsidRPr="00F44186" w:rsidSect="003B4E04">
          <w:type w:val="continuous"/>
          <w:pgSz w:w="595.30pt" w:h="841.90pt" w:code="9"/>
          <w:pgMar w:top="54pt" w:right="45.35pt" w:bottom="72pt" w:left="45.35pt" w:header="36pt" w:footer="36pt" w:gutter="0pt"/>
          <w:cols w:num="2" w:space="18pt"/>
          <w:docGrid w:linePitch="360"/>
        </w:sectPr>
      </w:pPr>
      <w:r w:rsidRPr="00F44186">
        <w:rPr>
          <w:rFonts w:eastAsia="SimSun"/>
          <w:b/>
          <w:noProof w:val="0"/>
          <w:color w:val="00B0F0"/>
          <w:spacing w:val="-1"/>
          <w:sz w:val="20"/>
          <w:szCs w:val="20"/>
          <w:lang w:eastAsia="x-none"/>
        </w:rPr>
        <w:t>Make sure to remove all placeholder and explanatory text from the template when you add your own text</w:t>
      </w:r>
      <w:r w:rsidR="009C259A" w:rsidRPr="00F44186">
        <w:rPr>
          <w:rFonts w:eastAsia="SimSun"/>
          <w:b/>
          <w:noProof w:val="0"/>
          <w:color w:val="00B0F0"/>
          <w:spacing w:val="-1"/>
          <w:sz w:val="20"/>
          <w:szCs w:val="20"/>
          <w:lang w:eastAsia="x-none"/>
        </w:rPr>
        <w:t>. This text should not be here in the final version!</w:t>
      </w:r>
    </w:p>
    <w:p w14:paraId="0159E230" w14:textId="0597DF04" w:rsidR="009303D9" w:rsidRPr="009C259A" w:rsidRDefault="009303D9" w:rsidP="005B520E"/>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727A6DE" w14:textId="77777777" w:rsidR="009A0F33" w:rsidRDefault="009A0F33" w:rsidP="001A3B3D">
      <w:r>
        <w:separator/>
      </w:r>
    </w:p>
  </w:endnote>
  <w:endnote w:type="continuationSeparator" w:id="0">
    <w:p w14:paraId="1C917C4C" w14:textId="77777777" w:rsidR="009A0F33" w:rsidRDefault="009A0F3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A8C0FCF" w14:textId="77777777" w:rsidR="009A0F33" w:rsidRDefault="009A0F33" w:rsidP="001A3B3D">
      <w:r>
        <w:separator/>
      </w:r>
    </w:p>
  </w:footnote>
  <w:footnote w:type="continuationSeparator" w:id="0">
    <w:p w14:paraId="1C5144BF" w14:textId="77777777" w:rsidR="009A0F33" w:rsidRDefault="009A0F3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A9F21E60"/>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343A9"/>
    <w:rsid w:val="0004781E"/>
    <w:rsid w:val="0008758A"/>
    <w:rsid w:val="000C1E68"/>
    <w:rsid w:val="000C4438"/>
    <w:rsid w:val="000D36F9"/>
    <w:rsid w:val="001A2EFD"/>
    <w:rsid w:val="001A3B3D"/>
    <w:rsid w:val="001B67DC"/>
    <w:rsid w:val="002254A9"/>
    <w:rsid w:val="00233D97"/>
    <w:rsid w:val="002347A2"/>
    <w:rsid w:val="00253304"/>
    <w:rsid w:val="002850E3"/>
    <w:rsid w:val="00291280"/>
    <w:rsid w:val="002E7CBA"/>
    <w:rsid w:val="002F527D"/>
    <w:rsid w:val="00354FCF"/>
    <w:rsid w:val="0035639D"/>
    <w:rsid w:val="003923DD"/>
    <w:rsid w:val="00397225"/>
    <w:rsid w:val="003A19E2"/>
    <w:rsid w:val="003A4283"/>
    <w:rsid w:val="003B2B40"/>
    <w:rsid w:val="003B4E04"/>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95427"/>
    <w:rsid w:val="004A2E66"/>
    <w:rsid w:val="004D72B5"/>
    <w:rsid w:val="005067CE"/>
    <w:rsid w:val="00511CCF"/>
    <w:rsid w:val="00551B7F"/>
    <w:rsid w:val="0056610F"/>
    <w:rsid w:val="00575BCA"/>
    <w:rsid w:val="00582C8E"/>
    <w:rsid w:val="005B0344"/>
    <w:rsid w:val="005B520E"/>
    <w:rsid w:val="005E2800"/>
    <w:rsid w:val="00605825"/>
    <w:rsid w:val="00645D22"/>
    <w:rsid w:val="00651A08"/>
    <w:rsid w:val="00654204"/>
    <w:rsid w:val="00670434"/>
    <w:rsid w:val="006A1357"/>
    <w:rsid w:val="006B6B66"/>
    <w:rsid w:val="006F6D3D"/>
    <w:rsid w:val="007142F8"/>
    <w:rsid w:val="00715BEA"/>
    <w:rsid w:val="00740EEA"/>
    <w:rsid w:val="0075335F"/>
    <w:rsid w:val="00794804"/>
    <w:rsid w:val="007B33F1"/>
    <w:rsid w:val="007B6DDA"/>
    <w:rsid w:val="007C0308"/>
    <w:rsid w:val="007C2FF2"/>
    <w:rsid w:val="007C6F08"/>
    <w:rsid w:val="007D6232"/>
    <w:rsid w:val="007E1AFF"/>
    <w:rsid w:val="007F1F99"/>
    <w:rsid w:val="007F768F"/>
    <w:rsid w:val="0080791D"/>
    <w:rsid w:val="00810E26"/>
    <w:rsid w:val="00816184"/>
    <w:rsid w:val="00836367"/>
    <w:rsid w:val="008422CE"/>
    <w:rsid w:val="00861A80"/>
    <w:rsid w:val="0087101F"/>
    <w:rsid w:val="00873603"/>
    <w:rsid w:val="008A2C7D"/>
    <w:rsid w:val="008B6524"/>
    <w:rsid w:val="008C3C24"/>
    <w:rsid w:val="008C4B23"/>
    <w:rsid w:val="008F6E2C"/>
    <w:rsid w:val="009303D9"/>
    <w:rsid w:val="00933C64"/>
    <w:rsid w:val="0094438B"/>
    <w:rsid w:val="00953C65"/>
    <w:rsid w:val="00970D63"/>
    <w:rsid w:val="00972203"/>
    <w:rsid w:val="00994367"/>
    <w:rsid w:val="009A0F33"/>
    <w:rsid w:val="009A58D9"/>
    <w:rsid w:val="009C259A"/>
    <w:rsid w:val="009F1D79"/>
    <w:rsid w:val="00A059B3"/>
    <w:rsid w:val="00A46460"/>
    <w:rsid w:val="00A74B0F"/>
    <w:rsid w:val="00AE3409"/>
    <w:rsid w:val="00B11A60"/>
    <w:rsid w:val="00B22613"/>
    <w:rsid w:val="00B30723"/>
    <w:rsid w:val="00B44A76"/>
    <w:rsid w:val="00B66F5D"/>
    <w:rsid w:val="00B768D1"/>
    <w:rsid w:val="00BA1025"/>
    <w:rsid w:val="00BC3420"/>
    <w:rsid w:val="00BD5962"/>
    <w:rsid w:val="00BD670B"/>
    <w:rsid w:val="00BE7D3C"/>
    <w:rsid w:val="00BF5FF6"/>
    <w:rsid w:val="00C0207F"/>
    <w:rsid w:val="00C16117"/>
    <w:rsid w:val="00C3075A"/>
    <w:rsid w:val="00C37ACC"/>
    <w:rsid w:val="00C50090"/>
    <w:rsid w:val="00C8040C"/>
    <w:rsid w:val="00C919A4"/>
    <w:rsid w:val="00C929B4"/>
    <w:rsid w:val="00CA4392"/>
    <w:rsid w:val="00CA73E0"/>
    <w:rsid w:val="00CC393F"/>
    <w:rsid w:val="00CE418D"/>
    <w:rsid w:val="00D2176E"/>
    <w:rsid w:val="00D632BE"/>
    <w:rsid w:val="00D72D06"/>
    <w:rsid w:val="00D7522C"/>
    <w:rsid w:val="00D7536F"/>
    <w:rsid w:val="00D76668"/>
    <w:rsid w:val="00DA7733"/>
    <w:rsid w:val="00DC1FE8"/>
    <w:rsid w:val="00DE073B"/>
    <w:rsid w:val="00E07383"/>
    <w:rsid w:val="00E165BC"/>
    <w:rsid w:val="00E204AA"/>
    <w:rsid w:val="00E61E12"/>
    <w:rsid w:val="00E7596C"/>
    <w:rsid w:val="00E878F2"/>
    <w:rsid w:val="00EB5191"/>
    <w:rsid w:val="00ED0149"/>
    <w:rsid w:val="00EF7DE3"/>
    <w:rsid w:val="00F03103"/>
    <w:rsid w:val="00F271DE"/>
    <w:rsid w:val="00F3774B"/>
    <w:rsid w:val="00F44186"/>
    <w:rsid w:val="00F627DA"/>
    <w:rsid w:val="00F7288F"/>
    <w:rsid w:val="00F847A6"/>
    <w:rsid w:val="00F9441B"/>
    <w:rsid w:val="00FA4C32"/>
    <w:rsid w:val="00FC3476"/>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253304"/>
    <w:rPr>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image" Target="media/image1.jpe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46</TotalTime>
  <Pages>1</Pages>
  <Words>1264</Words>
  <Characters>7208</Characters>
  <Application>Microsoft Office Word</Application>
  <DocSecurity>0</DocSecurity>
  <Lines>60</Lines>
  <Paragraphs>16</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Paper Title (use style: paper title)</vt:lpstr>
      <vt:lpstr>Introduction</vt:lpstr>
      <vt:lpstr>    Secure DevOps Architecture</vt:lpstr>
      <vt:lpstr>        CI/CD Pipeline Integration: A Secure DevOps (DevSecOps) pipeline integrates secu</vt:lpstr>
      <vt:lpstr>        Security Scanning and Deployment: Security scanning tools such as OWASP ZAP and </vt:lpstr>
      <vt:lpstr>    Deployment in Cloud Environment</vt:lpstr>
      <vt:lpstr>This Is Another Level 1 Heading</vt:lpstr>
    </vt:vector>
  </TitlesOfParts>
  <Company>IEEE</Company>
  <LinksUpToDate>false</LinksUpToDate>
  <CharactersWithSpaces>8456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sanketh kulkarni</cp:lastModifiedBy>
  <cp:revision>7</cp:revision>
  <dcterms:created xsi:type="dcterms:W3CDTF">2026-03-09T13:44:00Z</dcterms:created>
  <dcterms:modified xsi:type="dcterms:W3CDTF">2026-03-09T16:37:00Z</dcterms:modified>
</cp:coreProperties>
</file>