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drawing>
          <wp:inline distT="0" distB="0" distL="0" distR="0">
            <wp:extent cx="2667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590675"/>
                    </a:xfrm>
                    <a:prstGeom prst="rect">
                      <a:avLst/>
                    </a:prstGeom>
                  </pic:spPr>
                </pic:pic>
              </a:graphicData>
            </a:graphic>
          </wp:inline>
        </w:drawing>
      </w:r>
    </w:p>
    <w:p>
      <w:pPr>
        <w:spacing w:before="600"/>
        <w:jc w:val="center"/>
      </w:pPr>
      <w:r>
        <w:rPr>
          <w:rFonts w:ascii="Georgia" w:cs="Georgia" w:eastAsia="Georgia" w:hAnsi="Georgia"/>
          <w:b/>
          <w:bCs/>
          <w:color w:val="753A07"/>
          <w:spacing w:val="30"/>
          <w:sz w:val="52"/>
          <w:szCs w:val="52"/>
        </w:rPr>
        <w:t xml:space="preserve">SHAKTI GROUP</w:t>
      </w:r>
    </w:p>
    <w:p>
      <w:pPr>
        <w:spacing w:before="140"/>
        <w:jc w:val="center"/>
      </w:pPr>
      <w:r>
        <w:rPr>
          <w:rFonts w:ascii="Calibri" w:cs="Calibri" w:eastAsia="Calibri" w:hAnsi="Calibri"/>
          <w:b/>
          <w:bCs/>
          <w:color w:val="AC7743"/>
          <w:spacing w:val="40"/>
          <w:sz w:val="22"/>
          <w:szCs w:val="22"/>
        </w:rPr>
        <w:t xml:space="preserve">CORPORATE PROFILE</w:t>
      </w:r>
    </w:p>
    <w:p>
      <w:pPr>
        <w:pBdr>
          <w:bottom w:val="single" w:color="AC7743" w:sz="6" w:space="1"/>
        </w:pBdr>
        <w:spacing w:after="320" w:before="320"/>
        <w:jc w:val="center"/>
      </w:pPr>
    </w:p>
    <w:p>
      <w:pPr>
        <w:spacing/>
        <w:jc w:val="center"/>
      </w:pPr>
      <w:r>
        <w:rPr>
          <w:rFonts w:ascii="Georgia" w:cs="Georgia" w:eastAsia="Georgia" w:hAnsi="Georgia"/>
          <w:i/>
          <w:iCs/>
          <w:color w:val="2B2118"/>
          <w:sz w:val="24"/>
          <w:szCs w:val="24"/>
        </w:rPr>
        <w:t xml:space="preserve">A multi-industry ecosystem built on one source of energy.</w:t>
      </w:r>
    </w:p>
    <w:p>
      <w:pPr>
        <w:spacing w:before="260"/>
        <w:jc w:val="center"/>
      </w:pPr>
      <w:r>
        <w:rPr>
          <w:rFonts w:ascii="Calibri" w:cs="Calibri" w:eastAsia="Calibri" w:hAnsi="Calibri"/>
          <w:color w:val="6B6B6B"/>
          <w:sz w:val="18"/>
          <w:szCs w:val="18"/>
        </w:rPr>
        <w:t xml:space="preserve">Vadodara, India</w:t>
      </w:r>
    </w:p>
    <w:p>
      <w:pPr>
        <w:sectPr>
          <w:pgSz w:w="12240" w:h="15840" w:orient="portrait"/>
          <w:pgMar w:top="1440" w:right="1440" w:bottom="1440" w:left="1440" w:header="708" w:footer="708" w:gutter="0"/>
          <w:pgNumType/>
          <w:docGrid w:linePitch="360"/>
        </w:sectPr>
      </w:pPr>
    </w:p>
    <w:p>
      <w:pPr>
        <w:spacing w:after="60"/>
      </w:pPr>
      <w:r>
        <w:rPr>
          <w:rFonts w:ascii="Calibri" w:cs="Calibri" w:eastAsia="Calibri" w:hAnsi="Calibri"/>
          <w:b/>
          <w:bCs/>
          <w:color w:val="AC7743"/>
          <w:spacing w:val="20"/>
          <w:sz w:val="18"/>
          <w:szCs w:val="18"/>
        </w:rPr>
        <w:t xml:space="preserve">ABOUT US</w:t>
      </w:r>
    </w:p>
    <w:p>
      <w:pPr>
        <w:pBdr>
          <w:bottom w:val="single" w:color="753A07" w:sz="8" w:space="8"/>
        </w:pBdr>
        <w:spacing w:after="160" w:before="120"/>
      </w:pPr>
      <w:r>
        <w:rPr>
          <w:rFonts w:ascii="Georgia" w:cs="Georgia" w:eastAsia="Georgia" w:hAnsi="Georgia"/>
          <w:b/>
          <w:bCs/>
          <w:color w:val="753A07"/>
          <w:sz w:val="34"/>
          <w:szCs w:val="34"/>
        </w:rPr>
        <w:t xml:space="preserve">Who We Are</w:t>
      </w:r>
    </w:p>
    <w:p>
      <w:pPr>
        <w:spacing w:after="140" w:line="300"/>
      </w:pPr>
      <w:r>
        <w:rPr>
          <w:rFonts w:ascii="Calibri" w:cs="Calibri" w:eastAsia="Calibri" w:hAnsi="Calibri"/>
          <w:color w:val="2B2118"/>
          <w:sz w:val="22"/>
          <w:szCs w:val="22"/>
        </w:rPr>
        <w:t xml:space="preserve">Shakti Group is a multi-industry holding ecosystem headquartered in Vadodara, India. The name comes from the Sanskrit word for power and energy — the force that drives creation, growth, and transformation.</w:t>
      </w:r>
    </w:p>
    <w:p>
      <w:pPr>
        <w:spacing w:after="140" w:line="300"/>
      </w:pPr>
      <w:r>
        <w:rPr>
          <w:rFonts w:ascii="Calibri" w:cs="Calibri" w:eastAsia="Calibri" w:hAnsi="Calibri"/>
          <w:color w:val="2B2118"/>
          <w:sz w:val="22"/>
          <w:szCs w:val="22"/>
        </w:rPr>
        <w:t xml:space="preserve">The Group brings together ventures across technology, manufacturing, sustainability, sports, hospitality, engineering, and business — each built and run independently, all drawing from the same foundation of expertise, capital, and network.</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F3EDE8" w:val="clear"/>
            <w:tcMar>
              <w:top w:type="dxa" w:w="220"/>
              <w:left w:type="dxa" w:w="260"/>
              <w:bottom w:type="dxa" w:w="220"/>
              <w:right w:type="dxa" w:w="260"/>
            </w:tcMar>
          </w:tcPr>
          <w:p>
            <w:pPr>
              <w:spacing w:after="80"/>
            </w:pPr>
            <w:r>
              <w:rPr>
                <w:rFonts w:ascii="Georgia" w:cs="Georgia" w:eastAsia="Georgia" w:hAnsi="Georgia"/>
                <w:b/>
                <w:bCs/>
                <w:color w:val="753A07"/>
                <w:sz w:val="24"/>
                <w:szCs w:val="24"/>
              </w:rPr>
              <w:t xml:space="preserve">Our Approach</w:t>
            </w:r>
          </w:p>
          <w:p>
            <w:r>
              <w:rPr>
                <w:rFonts w:ascii="Calibri" w:cs="Calibri" w:eastAsia="Calibri" w:hAnsi="Calibri"/>
                <w:color w:val="2B2118"/>
                <w:sz w:val="21"/>
                <w:szCs w:val="21"/>
              </w:rPr>
              <w:t xml:space="preserve">We build and back businesses the same way across every sector: rooted in craftsmanship, guided by long-term value, and connected through a shared ecosystem rather than run as disconnected bets.</w:t>
            </w:r>
          </w:p>
        </w:tc>
      </w:tr>
    </w:tbl>
    <w:p>
      <w:r>
        <w:br w:type="page"/>
      </w:r>
    </w:p>
    <w:p>
      <w:pPr>
        <w:spacing w:after="60"/>
      </w:pPr>
      <w:r>
        <w:rPr>
          <w:rFonts w:ascii="Calibri" w:cs="Calibri" w:eastAsia="Calibri" w:hAnsi="Calibri"/>
          <w:b/>
          <w:bCs/>
          <w:color w:val="AC7743"/>
          <w:spacing w:val="20"/>
          <w:sz w:val="18"/>
          <w:szCs w:val="18"/>
        </w:rPr>
        <w:t xml:space="preserve">DIRECTION</w:t>
      </w:r>
    </w:p>
    <w:p>
      <w:pPr>
        <w:pBdr>
          <w:bottom w:val="single" w:color="753A07" w:sz="8" w:space="8"/>
        </w:pBdr>
        <w:spacing w:after="160" w:before="120"/>
      </w:pPr>
      <w:r>
        <w:rPr>
          <w:rFonts w:ascii="Georgia" w:cs="Georgia" w:eastAsia="Georgia" w:hAnsi="Georgia"/>
          <w:b/>
          <w:bCs/>
          <w:color w:val="753A07"/>
          <w:sz w:val="34"/>
          <w:szCs w:val="34"/>
        </w:rPr>
        <w:t xml:space="preserve">Mission &amp; Vision</w:t>
      </w:r>
    </w:p>
    <w:p>
      <w:pPr>
        <w:spacing w:after="100" w:before="200"/>
      </w:pPr>
      <w:r>
        <w:rPr>
          <w:rFonts w:ascii="Georgia" w:cs="Georgia" w:eastAsia="Georgia" w:hAnsi="Georgia"/>
          <w:b/>
          <w:bCs/>
          <w:color w:val="2B2118"/>
          <w:sz w:val="25"/>
          <w:szCs w:val="25"/>
        </w:rPr>
        <w:t xml:space="preserve">Mission</w:t>
      </w:r>
    </w:p>
    <w:p>
      <w:pPr>
        <w:spacing w:after="140" w:line="300"/>
      </w:pPr>
      <w:r>
        <w:rPr>
          <w:rFonts w:ascii="Calibri" w:cs="Calibri" w:eastAsia="Calibri" w:hAnsi="Calibri"/>
          <w:color w:val="2B2118"/>
          <w:sz w:val="22"/>
          <w:szCs w:val="22"/>
        </w:rPr>
        <w:t xml:space="preserve">To build and empower ventures across industries with the ecosystem, expertise, and strategic partnerships needed for lasting, globally competitive growth.</w:t>
      </w:r>
    </w:p>
    <w:p>
      <w:pPr>
        <w:spacing w:after="100" w:before="200"/>
      </w:pPr>
      <w:r>
        <w:rPr>
          <w:rFonts w:ascii="Georgia" w:cs="Georgia" w:eastAsia="Georgia" w:hAnsi="Georgia"/>
          <w:b/>
          <w:bCs/>
          <w:color w:val="2B2118"/>
          <w:sz w:val="25"/>
          <w:szCs w:val="25"/>
        </w:rPr>
        <w:t xml:space="preserve">Vision</w:t>
      </w:r>
    </w:p>
    <w:p>
      <w:pPr>
        <w:spacing w:after="140" w:line="300"/>
      </w:pPr>
      <w:r>
        <w:rPr>
          <w:rFonts w:ascii="Calibri" w:cs="Calibri" w:eastAsia="Calibri" w:hAnsi="Calibri"/>
          <w:color w:val="2B2118"/>
          <w:sz w:val="22"/>
          <w:szCs w:val="22"/>
        </w:rPr>
        <w:t xml:space="preserve">To be one of the most trusted multi-industry ecosystems — where founders, industry leaders, and communities come together to build businesses that shape the future.</w:t>
      </w:r>
    </w:p>
    <w:p>
      <w:pPr>
        <w:spacing w:after="100" w:before="200"/>
      </w:pPr>
      <w:r>
        <w:rPr>
          <w:rFonts w:ascii="Georgia" w:cs="Georgia" w:eastAsia="Georgia" w:hAnsi="Georgia"/>
          <w:b/>
          <w:bCs/>
          <w:color w:val="2B2118"/>
          <w:sz w:val="25"/>
          <w:szCs w:val="25"/>
        </w:rPr>
        <w:t xml:space="preserve">Our Values</w:t>
      </w:r>
    </w:p>
    <w:p>
      <w:pPr>
        <w:pStyle w:val="ListParagraph"/>
        <w:numPr>
          <w:ilvl w:val="0"/>
          <w:numId w:val="1"/>
        </w:numPr>
        <w:spacing w:after="90" w:line="280"/>
      </w:pPr>
      <w:r>
        <w:rPr>
          <w:rFonts w:ascii="Calibri" w:cs="Calibri" w:eastAsia="Calibri" w:hAnsi="Calibri"/>
          <w:color w:val="2B2118"/>
          <w:sz w:val="22"/>
          <w:szCs w:val="22"/>
        </w:rPr>
        <w:t xml:space="preserve">Rooted Strength — a heritage-driven, trustworthy foundation.</w:t>
      </w:r>
    </w:p>
    <w:p>
      <w:pPr>
        <w:pStyle w:val="ListParagraph"/>
        <w:numPr>
          <w:ilvl w:val="0"/>
          <w:numId w:val="1"/>
        </w:numPr>
        <w:spacing w:after="90" w:line="280"/>
      </w:pPr>
      <w:r>
        <w:rPr>
          <w:rFonts w:ascii="Calibri" w:cs="Calibri" w:eastAsia="Calibri" w:hAnsi="Calibri"/>
          <w:color w:val="2B2118"/>
          <w:sz w:val="22"/>
          <w:szCs w:val="22"/>
        </w:rPr>
        <w:t xml:space="preserve">Convergent Energy — independent ventures, one shared ecosystem.</w:t>
      </w:r>
    </w:p>
    <w:p>
      <w:pPr>
        <w:pStyle w:val="ListParagraph"/>
        <w:numPr>
          <w:ilvl w:val="0"/>
          <w:numId w:val="1"/>
        </w:numPr>
        <w:spacing w:after="90" w:line="280"/>
      </w:pPr>
      <w:r>
        <w:rPr>
          <w:rFonts w:ascii="Calibri" w:cs="Calibri" w:eastAsia="Calibri" w:hAnsi="Calibri"/>
          <w:color w:val="2B2118"/>
          <w:sz w:val="22"/>
          <w:szCs w:val="22"/>
        </w:rPr>
        <w:t xml:space="preserve">Purposeful Growth — expansion guided by long-term value.</w:t>
      </w:r>
    </w:p>
    <w:p>
      <w:pPr>
        <w:pStyle w:val="ListParagraph"/>
        <w:numPr>
          <w:ilvl w:val="0"/>
          <w:numId w:val="1"/>
        </w:numPr>
        <w:spacing w:after="90" w:line="280"/>
      </w:pPr>
      <w:r>
        <w:rPr>
          <w:rFonts w:ascii="Calibri" w:cs="Calibri" w:eastAsia="Calibri" w:hAnsi="Calibri"/>
          <w:color w:val="2B2118"/>
          <w:sz w:val="22"/>
          <w:szCs w:val="22"/>
        </w:rPr>
        <w:t xml:space="preserve">Integrity Always — trust as the foundation of every partnership.</w:t>
      </w:r>
    </w:p>
    <w:p>
      <w:r>
        <w:br w:type="page"/>
      </w:r>
    </w:p>
    <w:p>
      <w:pPr>
        <w:spacing w:after="60"/>
      </w:pPr>
      <w:r>
        <w:rPr>
          <w:rFonts w:ascii="Calibri" w:cs="Calibri" w:eastAsia="Calibri" w:hAnsi="Calibri"/>
          <w:b/>
          <w:bCs/>
          <w:color w:val="AC7743"/>
          <w:spacing w:val="20"/>
          <w:sz w:val="18"/>
          <w:szCs w:val="18"/>
        </w:rPr>
        <w:t xml:space="preserve">THE ECOSYSTEM</w:t>
      </w:r>
    </w:p>
    <w:p>
      <w:pPr>
        <w:pBdr>
          <w:bottom w:val="single" w:color="753A07" w:sz="8" w:space="8"/>
        </w:pBdr>
        <w:spacing w:after="160" w:before="120"/>
      </w:pPr>
      <w:r>
        <w:rPr>
          <w:rFonts w:ascii="Georgia" w:cs="Georgia" w:eastAsia="Georgia" w:hAnsi="Georgia"/>
          <w:b/>
          <w:bCs/>
          <w:color w:val="753A07"/>
          <w:sz w:val="34"/>
          <w:szCs w:val="34"/>
        </w:rPr>
        <w:t xml:space="preserve">What We Do</w:t>
      </w:r>
    </w:p>
    <w:p>
      <w:pPr>
        <w:spacing w:after="140" w:line="300"/>
      </w:pPr>
      <w:r>
        <w:rPr>
          <w:rFonts w:ascii="Calibri" w:cs="Calibri" w:eastAsia="Calibri" w:hAnsi="Calibri"/>
          <w:color w:val="2B2118"/>
          <w:sz w:val="22"/>
          <w:szCs w:val="22"/>
        </w:rPr>
        <w:t xml:space="preserve">Shakti Group operates across seven verticals, each carrying the Group's standards of quality and long-term thinking into its own sector.</w:t>
      </w:r>
    </w:p>
    <w:tbl>
      <w:tblPr>
        <w:tblW w:type="dxa" w:w="9350"/>
        <w:tblBorders>
          <w:top w:val="none" w:color="FFFFFF" w:sz="0"/>
          <w:left w:val="none" w:color="FFFFFF" w:sz="0"/>
          <w:bottom w:val="none" w:color="FFFFFF" w:sz="0"/>
          <w:right w:val="none" w:color="FFFFFF" w:sz="0"/>
          <w:insideH w:val="single" w:color="C4A78D" w:sz="4"/>
          <w:insideV w:val="none" w:color="FFFFFF" w:sz="0"/>
        </w:tblBorders>
      </w:tblPr>
      <w:tblGrid>
        <w:gridCol w:w="2600"/>
        <w:gridCol w:w="6750"/>
      </w:tblGrid>
      <w:tr>
        <w:tc>
          <w:tcPr>
            <w:tcW w:type="dxa" w:w="2600"/>
            <w:shd w:fill="F3EDE8" w:val="clear"/>
            <w:tcMar>
              <w:top w:type="dxa" w:w="120"/>
              <w:left w:type="dxa" w:w="160"/>
              <w:bottom w:type="dxa" w:w="120"/>
              <w:right w:type="dxa" w:w="120"/>
            </w:tcMar>
            <w:vAlign w:val="center"/>
          </w:tcPr>
          <w:p>
            <w:r>
              <w:rPr>
                <w:rFonts w:ascii="Georgia" w:cs="Georgia" w:eastAsia="Georgia" w:hAnsi="Georgia"/>
                <w:b/>
                <w:bCs/>
                <w:color w:val="753A07"/>
                <w:sz w:val="22"/>
                <w:szCs w:val="22"/>
              </w:rPr>
              <w:t xml:space="preserve">Technology</w:t>
            </w:r>
          </w:p>
        </w:tc>
        <w:tc>
          <w:tcPr>
            <w:tcW w:type="dxa" w:w="6750"/>
            <w:tcMar>
              <w:top w:type="dxa" w:w="120"/>
              <w:left w:type="dxa" w:w="160"/>
              <w:bottom w:type="dxa" w:w="120"/>
              <w:right w:type="dxa" w:w="120"/>
            </w:tcMar>
            <w:vAlign w:val="center"/>
          </w:tcPr>
          <w:p>
            <w:r>
              <w:rPr>
                <w:rFonts w:ascii="Calibri" w:cs="Calibri" w:eastAsia="Calibri" w:hAnsi="Calibri"/>
                <w:color w:val="2B2118"/>
                <w:sz w:val="21"/>
                <w:szCs w:val="21"/>
              </w:rPr>
              <w:t xml:space="preserve">ShaktiAiTechLabs — venture building, incubation &amp; AI innovation</w:t>
            </w:r>
          </w:p>
        </w:tc>
      </w:tr>
      <w:tr>
        <w:tc>
          <w:tcPr>
            <w:tcW w:type="dxa" w:w="2600"/>
            <w:shd w:fill="F3EDE8" w:val="clear"/>
            <w:tcMar>
              <w:top w:type="dxa" w:w="120"/>
              <w:left w:type="dxa" w:w="160"/>
              <w:bottom w:type="dxa" w:w="120"/>
              <w:right w:type="dxa" w:w="120"/>
            </w:tcMar>
            <w:vAlign w:val="center"/>
          </w:tcPr>
          <w:p>
            <w:r>
              <w:rPr>
                <w:rFonts w:ascii="Georgia" w:cs="Georgia" w:eastAsia="Georgia" w:hAnsi="Georgia"/>
                <w:b/>
                <w:bCs/>
                <w:color w:val="753A07"/>
                <w:sz w:val="22"/>
                <w:szCs w:val="22"/>
              </w:rPr>
              <w:t xml:space="preserve">Manufacturing</w:t>
            </w:r>
          </w:p>
        </w:tc>
        <w:tc>
          <w:tcPr>
            <w:tcW w:type="dxa" w:w="6750"/>
            <w:tcMar>
              <w:top w:type="dxa" w:w="120"/>
              <w:left w:type="dxa" w:w="160"/>
              <w:bottom w:type="dxa" w:w="120"/>
              <w:right w:type="dxa" w:w="120"/>
            </w:tcMar>
            <w:vAlign w:val="center"/>
          </w:tcPr>
          <w:p>
            <w:r>
              <w:rPr>
                <w:rFonts w:ascii="Calibri" w:cs="Calibri" w:eastAsia="Calibri" w:hAnsi="Calibri"/>
                <w:color w:val="2B2118"/>
                <w:sz w:val="21"/>
                <w:szCs w:val="21"/>
              </w:rPr>
              <w:t xml:space="preserve">Industrial production and supply capability</w:t>
            </w:r>
          </w:p>
        </w:tc>
      </w:tr>
      <w:tr>
        <w:tc>
          <w:tcPr>
            <w:tcW w:type="dxa" w:w="2600"/>
            <w:shd w:fill="F3EDE8" w:val="clear"/>
            <w:tcMar>
              <w:top w:type="dxa" w:w="120"/>
              <w:left w:type="dxa" w:w="160"/>
              <w:bottom w:type="dxa" w:w="120"/>
              <w:right w:type="dxa" w:w="120"/>
            </w:tcMar>
            <w:vAlign w:val="center"/>
          </w:tcPr>
          <w:p>
            <w:r>
              <w:rPr>
                <w:rFonts w:ascii="Georgia" w:cs="Georgia" w:eastAsia="Georgia" w:hAnsi="Georgia"/>
                <w:b/>
                <w:bCs/>
                <w:color w:val="753A07"/>
                <w:sz w:val="22"/>
                <w:szCs w:val="22"/>
              </w:rPr>
              <w:t xml:space="preserve">Sustainability</w:t>
            </w:r>
          </w:p>
        </w:tc>
        <w:tc>
          <w:tcPr>
            <w:tcW w:type="dxa" w:w="6750"/>
            <w:tcMar>
              <w:top w:type="dxa" w:w="120"/>
              <w:left w:type="dxa" w:w="160"/>
              <w:bottom w:type="dxa" w:w="120"/>
              <w:right w:type="dxa" w:w="120"/>
            </w:tcMar>
            <w:vAlign w:val="center"/>
          </w:tcPr>
          <w:p>
            <w:r>
              <w:rPr>
                <w:rFonts w:ascii="Calibri" w:cs="Calibri" w:eastAsia="Calibri" w:hAnsi="Calibri"/>
                <w:color w:val="2B2118"/>
                <w:sz w:val="21"/>
                <w:szCs w:val="21"/>
              </w:rPr>
              <w:t xml:space="preserve">Environment-forward practices across the Group</w:t>
            </w:r>
          </w:p>
        </w:tc>
      </w:tr>
      <w:tr>
        <w:tc>
          <w:tcPr>
            <w:tcW w:type="dxa" w:w="2600"/>
            <w:shd w:fill="F3EDE8" w:val="clear"/>
            <w:tcMar>
              <w:top w:type="dxa" w:w="120"/>
              <w:left w:type="dxa" w:w="160"/>
              <w:bottom w:type="dxa" w:w="120"/>
              <w:right w:type="dxa" w:w="120"/>
            </w:tcMar>
            <w:vAlign w:val="center"/>
          </w:tcPr>
          <w:p>
            <w:r>
              <w:rPr>
                <w:rFonts w:ascii="Georgia" w:cs="Georgia" w:eastAsia="Georgia" w:hAnsi="Georgia"/>
                <w:b/>
                <w:bCs/>
                <w:color w:val="753A07"/>
                <w:sz w:val="22"/>
                <w:szCs w:val="22"/>
              </w:rPr>
              <w:t xml:space="preserve">Sports</w:t>
            </w:r>
          </w:p>
        </w:tc>
        <w:tc>
          <w:tcPr>
            <w:tcW w:type="dxa" w:w="6750"/>
            <w:tcMar>
              <w:top w:type="dxa" w:w="120"/>
              <w:left w:type="dxa" w:w="160"/>
              <w:bottom w:type="dxa" w:w="120"/>
              <w:right w:type="dxa" w:w="120"/>
            </w:tcMar>
            <w:vAlign w:val="center"/>
          </w:tcPr>
          <w:p>
            <w:r>
              <w:rPr>
                <w:rFonts w:ascii="Calibri" w:cs="Calibri" w:eastAsia="Calibri" w:hAnsi="Calibri"/>
                <w:color w:val="2B2118"/>
                <w:sz w:val="21"/>
                <w:szCs w:val="21"/>
              </w:rPr>
              <w:t xml:space="preserve">Sport-sector ventures and initiatives</w:t>
            </w:r>
          </w:p>
        </w:tc>
      </w:tr>
      <w:tr>
        <w:tc>
          <w:tcPr>
            <w:tcW w:type="dxa" w:w="2600"/>
            <w:shd w:fill="F3EDE8" w:val="clear"/>
            <w:tcMar>
              <w:top w:type="dxa" w:w="120"/>
              <w:left w:type="dxa" w:w="160"/>
              <w:bottom w:type="dxa" w:w="120"/>
              <w:right w:type="dxa" w:w="120"/>
            </w:tcMar>
            <w:vAlign w:val="center"/>
          </w:tcPr>
          <w:p>
            <w:r>
              <w:rPr>
                <w:rFonts w:ascii="Georgia" w:cs="Georgia" w:eastAsia="Georgia" w:hAnsi="Georgia"/>
                <w:b/>
                <w:bCs/>
                <w:color w:val="753A07"/>
                <w:sz w:val="22"/>
                <w:szCs w:val="22"/>
              </w:rPr>
              <w:t xml:space="preserve">Hospitality</w:t>
            </w:r>
          </w:p>
        </w:tc>
        <w:tc>
          <w:tcPr>
            <w:tcW w:type="dxa" w:w="6750"/>
            <w:tcMar>
              <w:top w:type="dxa" w:w="120"/>
              <w:left w:type="dxa" w:w="160"/>
              <w:bottom w:type="dxa" w:w="120"/>
              <w:right w:type="dxa" w:w="120"/>
            </w:tcMar>
            <w:vAlign w:val="center"/>
          </w:tcPr>
          <w:p>
            <w:r>
              <w:rPr>
                <w:rFonts w:ascii="Calibri" w:cs="Calibri" w:eastAsia="Calibri" w:hAnsi="Calibri"/>
                <w:color w:val="2B2118"/>
                <w:sz w:val="21"/>
                <w:szCs w:val="21"/>
              </w:rPr>
              <w:t xml:space="preserve">Guest-facing and lifestyle businesses</w:t>
            </w:r>
          </w:p>
        </w:tc>
      </w:tr>
      <w:tr>
        <w:tc>
          <w:tcPr>
            <w:tcW w:type="dxa" w:w="2600"/>
            <w:shd w:fill="F3EDE8" w:val="clear"/>
            <w:tcMar>
              <w:top w:type="dxa" w:w="120"/>
              <w:left w:type="dxa" w:w="160"/>
              <w:bottom w:type="dxa" w:w="120"/>
              <w:right w:type="dxa" w:w="120"/>
            </w:tcMar>
            <w:vAlign w:val="center"/>
          </w:tcPr>
          <w:p>
            <w:r>
              <w:rPr>
                <w:rFonts w:ascii="Georgia" w:cs="Georgia" w:eastAsia="Georgia" w:hAnsi="Georgia"/>
                <w:b/>
                <w:bCs/>
                <w:color w:val="753A07"/>
                <w:sz w:val="22"/>
                <w:szCs w:val="22"/>
              </w:rPr>
              <w:t xml:space="preserve">Engineering</w:t>
            </w:r>
          </w:p>
        </w:tc>
        <w:tc>
          <w:tcPr>
            <w:tcW w:type="dxa" w:w="6750"/>
            <w:tcMar>
              <w:top w:type="dxa" w:w="120"/>
              <w:left w:type="dxa" w:w="160"/>
              <w:bottom w:type="dxa" w:w="120"/>
              <w:right w:type="dxa" w:w="120"/>
            </w:tcMar>
            <w:vAlign w:val="center"/>
          </w:tcPr>
          <w:p>
            <w:r>
              <w:rPr>
                <w:rFonts w:ascii="Calibri" w:cs="Calibri" w:eastAsia="Calibri" w:hAnsi="Calibri"/>
                <w:color w:val="2B2118"/>
                <w:sz w:val="21"/>
                <w:szCs w:val="21"/>
              </w:rPr>
              <w:t xml:space="preserve">Applied engineering and infrastructure</w:t>
            </w:r>
          </w:p>
        </w:tc>
      </w:tr>
      <w:tr>
        <w:tc>
          <w:tcPr>
            <w:tcW w:type="dxa" w:w="2600"/>
            <w:shd w:fill="F3EDE8" w:val="clear"/>
            <w:tcMar>
              <w:top w:type="dxa" w:w="120"/>
              <w:left w:type="dxa" w:w="160"/>
              <w:bottom w:type="dxa" w:w="120"/>
              <w:right w:type="dxa" w:w="120"/>
            </w:tcMar>
            <w:vAlign w:val="center"/>
          </w:tcPr>
          <w:p>
            <w:r>
              <w:rPr>
                <w:rFonts w:ascii="Georgia" w:cs="Georgia" w:eastAsia="Georgia" w:hAnsi="Georgia"/>
                <w:b/>
                <w:bCs/>
                <w:color w:val="753A07"/>
                <w:sz w:val="22"/>
                <w:szCs w:val="22"/>
              </w:rPr>
              <w:t xml:space="preserve">Business</w:t>
            </w:r>
          </w:p>
        </w:tc>
        <w:tc>
          <w:tcPr>
            <w:tcW w:type="dxa" w:w="6750"/>
            <w:tcMar>
              <w:top w:type="dxa" w:w="120"/>
              <w:left w:type="dxa" w:w="160"/>
              <w:bottom w:type="dxa" w:w="120"/>
              <w:right w:type="dxa" w:w="120"/>
            </w:tcMar>
            <w:vAlign w:val="center"/>
          </w:tcPr>
          <w:p>
            <w:r>
              <w:rPr>
                <w:rFonts w:ascii="Calibri" w:cs="Calibri" w:eastAsia="Calibri" w:hAnsi="Calibri"/>
                <w:color w:val="2B2118"/>
                <w:sz w:val="21"/>
                <w:szCs w:val="21"/>
              </w:rPr>
              <w:t xml:space="preserve">Core commercial and operating ventures</w:t>
            </w:r>
          </w:p>
        </w:tc>
      </w:tr>
    </w:tbl>
    <w:p>
      <w:pPr>
        <w:spacing w:before="260"/>
      </w:pPr>
    </w:p>
    <w:p>
      <w:pPr>
        <w:spacing w:after="100" w:before="200"/>
      </w:pPr>
      <w:r>
        <w:rPr>
          <w:rFonts w:ascii="Georgia" w:cs="Georgia" w:eastAsia="Georgia" w:hAnsi="Georgia"/>
          <w:b/>
          <w:bCs/>
          <w:color w:val="2B2118"/>
          <w:sz w:val="25"/>
          <w:szCs w:val="25"/>
        </w:rPr>
        <w:t xml:space="preserve">Featured Venture — ShaktiAiTechLabs</w:t>
      </w:r>
    </w:p>
    <w:p>
      <w:pPr>
        <w:spacing w:after="140" w:line="300"/>
      </w:pPr>
      <w:r>
        <w:rPr>
          <w:rFonts w:ascii="Calibri" w:cs="Calibri" w:eastAsia="Calibri" w:hAnsi="Calibri"/>
          <w:color w:val="2B2118"/>
          <w:sz w:val="22"/>
          <w:szCs w:val="22"/>
        </w:rPr>
        <w:t xml:space="preserve">ShaktiAiTechLabs is the Group's venture-building and innovation arm — helping ambitious founders turn bold ideas into globally scalable businesses through incubation, acceleration, mentorship, and technology enablement. It is the clearest expression of the Group's mission applied to the technology sector.</w:t>
      </w:r>
    </w:p>
    <w:p>
      <w:r>
        <w:br w:type="page"/>
      </w:r>
    </w:p>
    <w:p>
      <w:pPr>
        <w:spacing w:after="60"/>
      </w:pPr>
      <w:r>
        <w:rPr>
          <w:rFonts w:ascii="Calibri" w:cs="Calibri" w:eastAsia="Calibri" w:hAnsi="Calibri"/>
          <w:b/>
          <w:bCs/>
          <w:color w:val="AC7743"/>
          <w:spacing w:val="20"/>
          <w:sz w:val="18"/>
          <w:szCs w:val="18"/>
        </w:rPr>
        <w:t xml:space="preserve">GET IN TOUCH</w:t>
      </w:r>
    </w:p>
    <w:p>
      <w:pPr>
        <w:pBdr>
          <w:bottom w:val="single" w:color="753A07" w:sz="8" w:space="8"/>
        </w:pBdr>
        <w:spacing w:after="160" w:before="120"/>
      </w:pPr>
      <w:r>
        <w:rPr>
          <w:rFonts w:ascii="Georgia" w:cs="Georgia" w:eastAsia="Georgia" w:hAnsi="Georgia"/>
          <w:b/>
          <w:bCs/>
          <w:color w:val="753A07"/>
          <w:sz w:val="34"/>
          <w:szCs w:val="34"/>
        </w:rPr>
        <w:t xml:space="preserve">Contact Us</w:t>
      </w:r>
    </w:p>
    <w:p>
      <w:pPr>
        <w:spacing w:after="140" w:line="300"/>
      </w:pPr>
      <w:r>
        <w:rPr>
          <w:rFonts w:ascii="Calibri" w:cs="Calibri" w:eastAsia="Calibri" w:hAnsi="Calibri"/>
          <w:color w:val="2B2118"/>
          <w:sz w:val="22"/>
          <w:szCs w:val="22"/>
        </w:rPr>
        <w:t xml:space="preserve">We welcome conversations with founders, partners, and organizations who share our approach to building long-term value.</w:t>
      </w:r>
    </w:p>
    <w:p>
      <w:pPr>
        <w:spacing w:before="200"/>
      </w:pPr>
    </w:p>
    <w:p>
      <w:pPr>
        <w:spacing w:after="140" w:line="300"/>
      </w:pPr>
      <w:r>
        <w:rPr>
          <w:rFonts w:ascii="Calibri" w:cs="Calibri" w:eastAsia="Calibri" w:hAnsi="Calibri"/>
          <w:b/>
          <w:bCs/>
          <w:color w:val="2B2118"/>
          <w:sz w:val="22"/>
          <w:szCs w:val="22"/>
        </w:rPr>
        <w:t xml:space="preserve">Website:  www.shaktigroup.in</w:t>
      </w:r>
    </w:p>
    <w:p>
      <w:pPr>
        <w:spacing w:after="140" w:line="300"/>
      </w:pPr>
      <w:r>
        <w:rPr>
          <w:rFonts w:ascii="Calibri" w:cs="Calibri" w:eastAsia="Calibri" w:hAnsi="Calibri"/>
          <w:b/>
          <w:bCs/>
          <w:color w:val="2B2118"/>
          <w:sz w:val="22"/>
          <w:szCs w:val="22"/>
        </w:rPr>
        <w:t xml:space="preserve">Email:  contact@shaktigroup.in</w:t>
      </w:r>
    </w:p>
    <w:p>
      <w:pPr>
        <w:spacing w:after="140" w:line="300"/>
      </w:pPr>
      <w:r>
        <w:rPr>
          <w:rFonts w:ascii="Calibri" w:cs="Calibri" w:eastAsia="Calibri" w:hAnsi="Calibri"/>
          <w:b/>
          <w:bCs/>
          <w:color w:val="2B2118"/>
          <w:sz w:val="22"/>
          <w:szCs w:val="22"/>
        </w:rPr>
        <w:t xml:space="preserve">Location:  Vadodara, Gujarat, India</w:t>
      </w:r>
    </w:p>
    <w:p>
      <w:pPr>
        <w:spacing w:before="400"/>
      </w:pPr>
    </w:p>
    <w:p>
      <w:pPr>
        <w:spacing/>
        <w:jc w:val="center"/>
      </w:pPr>
      <w:r>
        <w:rPr>
          <w:rFonts w:ascii="Georgia" w:cs="Georgia" w:eastAsia="Georgia" w:hAnsi="Georgia"/>
          <w:b/>
          <w:bCs/>
          <w:color w:val="753A07"/>
          <w:spacing w:val="20"/>
          <w:sz w:val="30"/>
          <w:szCs w:val="30"/>
        </w:rPr>
        <w:t xml:space="preserve">SHAKTI GROUP</w:t>
      </w:r>
    </w:p>
    <w:p>
      <w:pPr>
        <w:spacing w:before="100"/>
        <w:jc w:val="center"/>
      </w:pPr>
      <w:r>
        <w:rPr>
          <w:rFonts w:ascii="Calibri" w:cs="Calibri" w:eastAsia="Calibri" w:hAnsi="Calibri"/>
          <w:i/>
          <w:iCs/>
          <w:color w:val="AC7743"/>
          <w:sz w:val="20"/>
          <w:szCs w:val="20"/>
        </w:rPr>
        <w:t xml:space="preserve">One Source. Many Ventures.</w:t>
      </w:r>
    </w:p>
    <w:sectPr>
      <w:headerReference w:type="default" r:id="rId7"/>
      <w:footerReference w:type="default" r:id="rId8"/>
      <w:pgSz w:w="12240" w:h="15840" w:orient="portrait"/>
      <w:pgMar w:top="1260" w:right="1350" w:bottom="126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9A9A"/>
        <w:sz w:val="14"/>
        <w:szCs w:val="14"/>
      </w:rPr>
      <w:t xml:space="preserve">SHAKTI GROUP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1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1d6c3d924bd2ed18256e6bd6ddfb4a792f788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Shakti Group Corporate Profile</dc:title>
  <dc:creator>Shakti Group</dc:creator>
  <cp:lastModifiedBy>Un-named</cp:lastModifiedBy>
  <cp:revision>1</cp:revision>
  <dcterms:created xsi:type="dcterms:W3CDTF">2026-08-08T06:52:24.922Z</dcterms:created>
  <dcterms:modified xsi:type="dcterms:W3CDTF">2026-08-08T06:52:24.923Z</dcterms:modified>
</cp:coreProperties>
</file>

<file path=docProps/custom.xml><?xml version="1.0" encoding="utf-8"?>
<Properties xmlns="http://schemas.openxmlformats.org/officeDocument/2006/custom-properties" xmlns:vt="http://schemas.openxmlformats.org/officeDocument/2006/docPropsVTypes"/>
</file>