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78889C"/>
          <w:sz w:val="16"/>
        </w:rPr>
        <w:t>PRODUCT OVERVIEW</w:t>
      </w:r>
    </w:p>
    <w:p>
      <w:pPr>
        <w:spacing w:after="120"/>
      </w:pPr>
      <w:r>
        <w:rPr>
          <w:rFonts w:ascii="Georgia" w:hAnsi="Georgia"/>
          <w:b/>
          <w:color w:val="0E1826"/>
          <w:sz w:val="60"/>
        </w:rPr>
        <w:t>Transaction Tracker</w:t>
      </w:r>
    </w:p>
    <w:p>
      <w:pPr>
        <w:pBdr>
          <w:bottom w:val="single" w:sz="12" w:space="4" w:color="17457E"/>
        </w:pBdr>
      </w:pPr>
      <w:r>
        <w:rPr>
          <w:color w:val="46566B"/>
          <w:sz w:val="24"/>
        </w:rPr>
        <w:t>Bank alert emails, turned into a running picture of the money. It reads the alerts a bank already sends, pulls out the amount, the direction, who it went to and the balance left, and puts them on one screen — per business, per bank, per account.</w:t>
      </w:r>
    </w:p>
    <w:p>
      <w:pPr>
        <w:spacing w:before="120"/>
      </w:pPr>
      <w:r>
        <w:rPr>
          <w:color w:val="78889C"/>
          <w:sz w:val="18"/>
        </w:rPr>
        <w:t>Built by Shakti AI Labs   ·   Status: live on Render   ·   First client: Shakti Sports   ·   25 August 2026</w:t>
      </w:r>
    </w:p>
    <w:p>
      <w:pPr>
        <w:pStyle w:val="Heading1"/>
      </w:pPr>
      <w:r>
        <w:t>The problem it solves</w:t>
      </w:r>
    </w:p>
    <w:p>
      <w:r>
        <w:rPr>
          <w:b w:val="0"/>
          <w:i w:val="0"/>
          <w:color w:val="46566B"/>
          <w:sz w:val="23"/>
        </w:rPr>
        <w:t>A business owner with four bank accounts gets forty alert emails a week and reads none of them. The information is already in the inbox; it just isn't usable there.</w:t>
      </w:r>
    </w:p>
    <w:p>
      <w:r>
        <w:rPr>
          <w:b w:val="0"/>
          <w:i w:val="0"/>
        </w:rPr>
        <w:t>Net banking shows one bank at a time and forgets everything older than the statement period. A spreadsheet means someone types it in. Accounting software is built for the accountant, not the owner, and arrives weeks late. The owner's actual question — where did the money go this week, and what's left — has no cheap answer.</w:t>
      </w:r>
    </w:p>
    <w:p>
      <w:r>
        <w:rPr>
          <w:b w:val="0"/>
          <w:i w:val="0"/>
        </w:rPr>
        <w:t>This reads the alerts themselves. Nothing to type in, no bank integration to negotiate, and no waiting on a statement.</w:t>
      </w:r>
    </w:p>
    <w:p>
      <w:pPr>
        <w:pStyle w:val="Heading1"/>
      </w:pPr>
      <w:r>
        <w:t>How it works</w:t>
      </w:r>
    </w:p>
    <w:p>
      <w:r>
        <w:rPr>
          <w:b w:val="0"/>
          <w:i w:val="0"/>
        </w:rPr>
        <w:t>One pass, run every five minutes while the dashboard is open, and on demand from a button. Each stage feeds the next.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44"/>
        <w:gridCol w:w="7056"/>
      </w:tblGrid>
      <w:tr>
        <w:tc>
          <w:tcPr>
            <w:tcW w:type="dxa" w:w="1944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7056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>
        <w:tc>
          <w:tcPr>
            <w:tcW w:type="dxa" w:w="1944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1. Read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Connects to the client's Gmail over IMAP using a Google App Password. Read-only, and revocable by the client at any time.</w:t>
            </w:r>
          </w:p>
        </w:tc>
      </w:tr>
      <w:tr>
        <w:tc>
          <w:tcPr>
            <w:tcW w:type="dxa" w:w="1944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2. Recognise</w:t>
            </w:r>
          </w:p>
        </w:tc>
        <w:tc>
          <w:tcPr>
            <w:tcW w:type="dxa" w:w="7056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Matches the sender against the banks that client has set up. Anything else is left alone and never stored.</w:t>
            </w:r>
          </w:p>
        </w:tc>
      </w:tr>
      <w:tr>
        <w:tc>
          <w:tcPr>
            <w:tcW w:type="dxa" w:w="1944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3. Extract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Pulls the amount, debit or credit, counterparty, balance, payment mode, and the last four digits of the account.</w:t>
            </w:r>
          </w:p>
        </w:tc>
      </w:tr>
      <w:tr>
        <w:tc>
          <w:tcPr>
            <w:tcW w:type="dxa" w:w="1944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4. File</w:t>
            </w:r>
          </w:p>
        </w:tc>
        <w:tc>
          <w:tcPr>
            <w:tcW w:type="dxa" w:w="7056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Writes it to that client's own database, keyed on the email's ID so the same alert is never counted twice.</w:t>
            </w:r>
          </w:p>
        </w:tc>
      </w:tr>
      <w:tr>
        <w:tc>
          <w:tcPr>
            <w:tcW w:type="dxa" w:w="1944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5. Show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Tables, balances per account, cheque returns, charts on request, and a written summary of the period.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78889C"/>
          <w:sz w:val="19"/>
        </w:rPr>
        <w:t>An alert it can't read isn't dropped — it goes to a review list, with the reason.</w:t>
      </w:r>
    </w:p>
    <w:p>
      <w:pPr>
        <w:pStyle w:val="Heading1"/>
      </w:pPr>
      <w:r>
        <w:t>What it does</w:t>
      </w:r>
    </w:p>
    <w:p>
      <w:pPr>
        <w:pStyle w:val="ListBullet"/>
        <w:spacing w:after="100"/>
      </w:pPr>
      <w:r>
        <w:rPr>
          <w:b/>
        </w:rPr>
        <w:t xml:space="preserve">Every transaction. </w:t>
      </w:r>
      <w:r>
        <w:rPr>
          <w:color w:val="46566B"/>
        </w:rPr>
        <w:t>Date, bank, account, debit or credit, amount, counterparty and balance after. Filter by date range, bank, account or payment mode. Any table exports to CSV.</w:t>
      </w:r>
    </w:p>
    <w:p>
      <w:pPr>
        <w:pStyle w:val="ListBullet"/>
        <w:spacing w:after="100"/>
      </w:pPr>
      <w:r>
        <w:rPr>
          <w:b/>
        </w:rPr>
        <w:t xml:space="preserve">Balances per account. </w:t>
      </w:r>
      <w:r>
        <w:rPr>
          <w:color w:val="46566B"/>
        </w:rPr>
        <w:t>The latest known balance for each account, from the last alert that carried one, with a combined total across all of them.</w:t>
      </w:r>
    </w:p>
    <w:p>
      <w:pPr>
        <w:pStyle w:val="ListBullet"/>
        <w:spacing w:after="100"/>
      </w:pPr>
      <w:r>
        <w:rPr>
          <w:b/>
        </w:rPr>
        <w:t xml:space="preserve">Several accounts at one bank. </w:t>
      </w:r>
      <w:r>
        <w:rPr>
          <w:color w:val="46566B"/>
        </w:rPr>
        <w:t>Two accounts at the same bank send alerts from the same address. The last four digits of the account number, read out of the alert, tell them apart — each gets its own balance and its own name.</w:t>
      </w:r>
    </w:p>
    <w:p>
      <w:pPr>
        <w:pStyle w:val="ListBullet"/>
        <w:spacing w:after="100"/>
      </w:pPr>
      <w:r>
        <w:rPr>
          <w:b/>
        </w:rPr>
        <w:t xml:space="preserve">Cheque returns. </w:t>
      </w:r>
      <w:r>
        <w:rPr>
          <w:color w:val="46566B"/>
        </w:rPr>
        <w:t>Bounced cheques are kept separate from ordinary transactions — no money moved, so counting them as a debit would be wrong. Cheque number, amount, and the reason the bank gave, from 17 known return reasons.</w:t>
      </w:r>
    </w:p>
    <w:p>
      <w:pPr>
        <w:pStyle w:val="ListBullet"/>
        <w:spacing w:after="100"/>
      </w:pPr>
      <w:r>
        <w:rPr>
          <w:b/>
        </w:rPr>
        <w:t xml:space="preserve">Payment mode. </w:t>
      </w:r>
      <w:r>
        <w:rPr>
          <w:color w:val="46566B"/>
        </w:rPr>
        <w:t>UPI, NEFT, RTGS, IMPS, cheque, card, ATM, net banking, auto-debit or cash, read from the bank's own wording. Left blank rather than guessed when the alert doesn't say.</w:t>
      </w:r>
    </w:p>
    <w:p>
      <w:pPr>
        <w:pStyle w:val="ListBullet"/>
        <w:spacing w:after="100"/>
      </w:pPr>
      <w:r>
        <w:rPr>
          <w:b/>
        </w:rPr>
        <w:t xml:space="preserve">Live updates. </w:t>
      </w:r>
      <w:r>
        <w:rPr>
          <w:color w:val="46566B"/>
        </w:rPr>
        <w:t>Checks every five minutes and shows mails as they land, with what was read out of each one.</w:t>
      </w:r>
    </w:p>
    <w:p>
      <w:pPr>
        <w:pStyle w:val="ListBullet"/>
        <w:spacing w:after="100"/>
      </w:pPr>
      <w:r>
        <w:rPr>
          <w:b/>
        </w:rPr>
        <w:t xml:space="preserve">High-value flagging. </w:t>
      </w:r>
      <w:r>
        <w:rPr>
          <w:color w:val="46566B"/>
        </w:rPr>
        <w:t>Anything above a threshold the client sets is separated out, so a large payment isn't lost among small ones.</w:t>
      </w:r>
    </w:p>
    <w:p>
      <w:pPr>
        <w:pStyle w:val="ListBullet"/>
        <w:spacing w:after="100"/>
      </w:pPr>
      <w:r>
        <w:rPr>
          <w:b/>
        </w:rPr>
        <w:t xml:space="preserve">Three languages. </w:t>
      </w:r>
      <w:r>
        <w:rPr>
          <w:color w:val="46566B"/>
        </w:rPr>
        <w:t>English, Hindi and Gujarati, switchable on screen. 119 strings, complete in all three.</w:t>
      </w:r>
    </w:p>
    <w:p>
      <w:r>
        <w:br w:type="page"/>
      </w:r>
    </w:p>
    <w:p>
      <w:pPr>
        <w:pStyle w:val="Heading1"/>
      </w:pPr>
      <w:r>
        <w:t>Tech stack</w:t>
      </w:r>
    </w:p>
    <w:p>
      <w:r>
        <w:rPr>
          <w:b w:val="0"/>
          <w:i w:val="0"/>
          <w:color w:val="46566B"/>
        </w:rPr>
        <w:t>Deliberately small — three dependencies, all pinned to tested versions.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2"/>
        <w:gridCol w:w="2160"/>
        <w:gridCol w:w="5328"/>
      </w:tblGrid>
      <w:tr>
        <w:tc>
          <w:tcPr>
            <w:tcW w:type="dxa" w:w="1512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160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5328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WHY THIS ONE</w:t>
            </w:r>
          </w:p>
        </w:tc>
      </w:tr>
      <w:tr>
        <w:tc>
          <w:tcPr>
            <w:tcW w:type="dxa" w:w="1512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Interface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Streamlit 1.60</w:t>
            </w:r>
          </w:p>
        </w:tc>
        <w:tc>
          <w:tcPr>
            <w:tcW w:type="dxa" w:w="5328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One language across the whole product. No separate frontend to build, host or keep in sync — decisive for a two-person team.</w:t>
            </w:r>
          </w:p>
        </w:tc>
      </w:tr>
      <w:tr>
        <w:tc>
          <w:tcPr>
            <w:tcW w:type="dxa" w:w="1512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Data handling</w:t>
            </w:r>
          </w:p>
        </w:tc>
        <w:tc>
          <w:tcPr>
            <w:tcW w:type="dxa" w:w="2160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pandas 3.0.5</w:t>
            </w:r>
          </w:p>
        </w:tc>
        <w:tc>
          <w:tcPr>
            <w:tcW w:type="dxa" w:w="5328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Filtering, grouping and CSV export come free rather than being written by hand.</w:t>
            </w:r>
          </w:p>
        </w:tc>
      </w:tr>
      <w:tr>
        <w:tc>
          <w:tcPr>
            <w:tcW w:type="dxa" w:w="1512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Charts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plotly 6.9.0</w:t>
            </w:r>
          </w:p>
        </w:tc>
        <w:tc>
          <w:tcPr>
            <w:tcW w:type="dxa" w:w="5328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Interactive charts, off by default. Most clients want the table.</w:t>
            </w:r>
          </w:p>
        </w:tc>
      </w:tr>
      <w:tr>
        <w:tc>
          <w:tcPr>
            <w:tcW w:type="dxa" w:w="1512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Mail</w:t>
            </w:r>
          </w:p>
        </w:tc>
        <w:tc>
          <w:tcPr>
            <w:tcW w:type="dxa" w:w="2160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IMAP over SSL</w:t>
            </w:r>
          </w:p>
        </w:tc>
        <w:tc>
          <w:tcPr>
            <w:tcW w:type="dxa" w:w="5328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Standard library. Works with any Gmail account and needs no OAuth review, no partner agreement, and no bank's permission.</w:t>
            </w:r>
          </w:p>
        </w:tc>
      </w:tr>
      <w:tr>
        <w:tc>
          <w:tcPr>
            <w:tcW w:type="dxa" w:w="1512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Extraction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Regular expressions</w:t>
            </w:r>
          </w:p>
        </w:tc>
        <w:tc>
          <w:tcPr>
            <w:tcW w:type="dxa" w:w="5328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Per-bank patterns with sensible defaults. Predictable, inspectable and free to run — no model in the loop and nothing sent to a third party.</w:t>
            </w:r>
          </w:p>
        </w:tc>
      </w:tr>
      <w:tr>
        <w:tc>
          <w:tcPr>
            <w:tcW w:type="dxa" w:w="1512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Client data</w:t>
            </w:r>
          </w:p>
        </w:tc>
        <w:tc>
          <w:tcPr>
            <w:tcW w:type="dxa" w:w="2160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SQLite</w:t>
            </w:r>
          </w:p>
        </w:tc>
        <w:tc>
          <w:tcPr>
            <w:tcW w:type="dxa" w:w="5328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One database file per client. Isolation is a directory boundary, not a WHERE clause someone can forget.</w:t>
            </w:r>
          </w:p>
        </w:tc>
      </w:tr>
      <w:tr>
        <w:tc>
          <w:tcPr>
            <w:tcW w:type="dxa" w:w="1512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Logins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Supabase (Postgres)</w:t>
            </w:r>
          </w:p>
        </w:tc>
        <w:tc>
          <w:tcPr>
            <w:tcW w:type="dxa" w:w="5328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Reached over PostgREST. Survives the server being rebuilt or moved.</w:t>
            </w:r>
          </w:p>
        </w:tc>
      </w:tr>
      <w:tr>
        <w:tc>
          <w:tcPr>
            <w:tcW w:type="dxa" w:w="1512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Hosting</w:t>
            </w:r>
          </w:p>
        </w:tc>
        <w:tc>
          <w:tcPr>
            <w:tcW w:type="dxa" w:w="2160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Render</w:t>
            </w:r>
          </w:p>
        </w:tc>
        <w:tc>
          <w:tcPr>
            <w:tcW w:type="dxa" w:w="5328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Long-running server with a persistent disk. Streamlit needs a live WebSocket, so serverless platforms cannot host it.</w:t>
            </w:r>
          </w:p>
        </w:tc>
      </w:tr>
      <w:tr>
        <w:tc>
          <w:tcPr>
            <w:tcW w:type="dxa" w:w="1512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Codebase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4,160 lines · 17 modules</w:t>
            </w:r>
          </w:p>
        </w:tc>
        <w:tc>
          <w:tcPr>
            <w:tcW w:type="dxa" w:w="5328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Small enough for one person to hold in their head.</w:t>
            </w:r>
          </w:p>
        </w:tc>
      </w:tr>
    </w:tbl>
    <w:p>
      <w:pPr>
        <w:spacing w:after="40"/>
      </w:pPr>
    </w:p>
    <w:p>
      <w:pPr>
        <w:pStyle w:val="Heading1"/>
      </w:pPr>
      <w:r>
        <w:t>Where the data lives</w:t>
      </w:r>
    </w:p>
    <w:p>
      <w:r>
        <w:rPr>
          <w:b w:val="0"/>
          <w:i w:val="0"/>
        </w:rPr>
        <w:t>The split is deliberate, and it is the thing to say out loud in a sales conversation.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16"/>
        <w:gridCol w:w="3456"/>
        <w:gridCol w:w="3528"/>
      </w:tblGrid>
      <w:tr>
        <w:tc>
          <w:tcPr>
            <w:tcW w:type="dxa" w:w="2016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STORE</w:t>
            </w:r>
          </w:p>
        </w:tc>
        <w:tc>
          <w:tcPr>
            <w:tcW w:type="dxa" w:w="3456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HOLDS</w:t>
            </w:r>
          </w:p>
        </w:tc>
        <w:tc>
          <w:tcPr>
            <w:tcW w:type="dxa" w:w="3528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CONSEQUENCE</w:t>
            </w:r>
          </w:p>
        </w:tc>
      </w:tr>
      <w:tr>
        <w:tc>
          <w:tcPr>
            <w:tcW w:type="dxa" w:w="2016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Supabase (hosted)</w:t>
            </w:r>
          </w:p>
        </w:tc>
        <w:tc>
          <w:tcPr>
            <w:tcW w:type="dxa" w:w="3456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Logins only — account name, role, and a PBKDF2-SHA256 password hash with a per-account salt.</w:t>
            </w:r>
          </w:p>
        </w:tc>
        <w:tc>
          <w:tcPr>
            <w:tcW w:type="dxa" w:w="3528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Plain passwords are never sent and cannot be recovered. A copy of this database tells you nothing about anyone's money.</w:t>
            </w:r>
          </w:p>
        </w:tc>
      </w:tr>
      <w:tr>
        <w:tc>
          <w:tcPr>
            <w:tcW w:type="dxa" w:w="2016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Render disk (our server)</w:t>
            </w:r>
          </w:p>
        </w:tc>
        <w:tc>
          <w:tcPr>
            <w:tcW w:type="dxa" w:w="3456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Everything financial — transactions, balances, cheque returns and the bank emails they came from.</w:t>
            </w:r>
          </w:p>
        </w:tc>
        <w:tc>
          <w:tcPr>
            <w:tcW w:type="dxa" w:w="3528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One SQLite file per client. This never goes to a third party and never leaves the server.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Non-bank email is discarded during the scan and never written down. The app has no business keeping a copy of a client's personal correspondence.</w:t>
      </w:r>
    </w:p>
    <w:p>
      <w:pPr>
        <w:pStyle w:val="Heading1"/>
      </w:pPr>
      <w:r>
        <w:t>Security</w:t>
      </w:r>
    </w:p>
    <w:p>
      <w:r>
        <w:rPr>
          <w:b w:val="0"/>
          <w:i w:val="0"/>
        </w:rPr>
        <w:t>Audited in August 2026, before selling this as a hosted product. Five issues were found and fixed.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44"/>
        <w:gridCol w:w="7056"/>
      </w:tblGrid>
      <w:tr>
        <w:tc>
          <w:tcPr>
            <w:tcW w:type="dxa" w:w="1944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056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POSITION</w:t>
            </w:r>
          </w:p>
        </w:tc>
      </w:tr>
      <w:tr>
        <w:tc>
          <w:tcPr>
            <w:tcW w:type="dxa" w:w="1944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Passwords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PBKDF2-HMAC-SHA256, 100,000 iterations, 16-byte per-account salt. Never stored or shown in plain text — a forgotten password is replaced, not recovered.</w:t>
            </w:r>
          </w:p>
        </w:tc>
      </w:tr>
      <w:tr>
        <w:tc>
          <w:tcPr>
            <w:tcW w:type="dxa" w:w="1944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Tenant isolation</w:t>
            </w:r>
          </w:p>
        </w:tc>
        <w:tc>
          <w:tcPr>
            <w:tcW w:type="dxa" w:w="7056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Identity comes only from a completed login, held server-side. It is never read from a URL, so one client cannot request another's data.</w:t>
            </w:r>
          </w:p>
        </w:tc>
      </w:tr>
      <w:tr>
        <w:tc>
          <w:tcPr>
            <w:tcW w:type="dxa" w:w="1944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Brute force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Eight failed attempts locks a name for five minutes, counted across the whole server rather than per browser tab.</w:t>
            </w:r>
          </w:p>
        </w:tc>
      </w:tr>
      <w:tr>
        <w:tc>
          <w:tcPr>
            <w:tcW w:type="dxa" w:w="1944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Password strength</w:t>
            </w:r>
          </w:p>
        </w:tc>
        <w:tc>
          <w:tcPr>
            <w:tcW w:type="dxa" w:w="7056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Ten-character minimum on every account created or reset.</w:t>
            </w:r>
          </w:p>
        </w:tc>
      </w:tr>
      <w:tr>
        <w:tc>
          <w:tcPr>
            <w:tcW w:type="dxa" w:w="1944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Failure mode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Missing configuration cannot switch authentication off. A deployment without a login configured refuses to start rather than opening up.</w:t>
            </w:r>
          </w:p>
        </w:tc>
      </w:tr>
      <w:tr>
        <w:tc>
          <w:tcPr>
            <w:tcW w:type="dxa" w:w="1944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Gmail access</w:t>
            </w:r>
          </w:p>
        </w:tc>
        <w:tc>
          <w:tcPr>
            <w:tcW w:type="dxa" w:w="7056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A Google App Password, not the client's real password. Read-only, scoped to this app, and revocable by the client from their own Google account without our involvement.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BF3E2"/>
          </w:tcPr>
          <w:p>
            <w:pPr>
              <w:spacing w:after="60"/>
            </w:pPr>
            <w:r/>
            <w:r>
              <w:rPr>
                <w:b/>
                <w:color w:val="8A5A00"/>
                <w:sz w:val="17"/>
              </w:rPr>
              <w:t>KNOWN, AND DISCLOSED ON PURPOSE</w:t>
            </w:r>
          </w:p>
          <w:p>
            <w:r>
              <w:rPr>
                <w:color w:val="0E1826"/>
                <w:sz w:val="19"/>
              </w:rPr>
              <w:t>Gmail App Passwords are stored unencrypted on the server disk. Encrypting them requires a key whose loss would force every client to reconnect — a real trade-off, not an oversight, and it is recorded rather than glossed over. There is also no audit log of logins yet, and sessions do not expire.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Who it is for</w:t>
      </w:r>
    </w:p>
    <w:p>
      <w:r>
        <w:rPr>
          <w:b w:val="0"/>
          <w:i w:val="0"/>
          <w:color w:val="46566B"/>
          <w:sz w:val="23"/>
        </w:rPr>
        <w:t>The common thread is not company size. It is someone accountable for money moving through accounts they do not personally watch all day.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1224"/>
        <w:gridCol w:w="3024"/>
        <w:gridCol w:w="2808"/>
      </w:tblGrid>
      <w:tr>
        <w:tc>
          <w:tcPr>
            <w:tcW w:type="dxa" w:w="1872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1224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024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WHO THEY ARE</w:t>
            </w:r>
          </w:p>
        </w:tc>
        <w:tc>
          <w:tcPr>
            <w:tcW w:type="dxa" w:w="2808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READINESS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Small businesses and traders</w:t>
            </w:r>
          </w:p>
        </w:tc>
        <w:tc>
          <w:tcPr>
            <w:tcW w:type="dxa" w:w="1224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Live client</w:t>
            </w:r>
          </w:p>
        </w:tc>
        <w:tc>
          <w:tcPr>
            <w:tcW w:type="dxa" w:w="3024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An owner with two to five accounts across banks who wants the week's movement and the current balance without logging into each one.</w:t>
            </w:r>
          </w:p>
        </w:tc>
        <w:tc>
          <w:tcPr>
            <w:tcW w:type="dxa" w:w="2808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Shakti Sports is the first paying client, and the one multi-account tracking was built for.</w:t>
            </w:r>
          </w:p>
        </w:tc>
      </w:tr>
      <w:tr>
        <w:tc>
          <w:tcPr>
            <w:tcW w:type="dxa" w:w="1872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Family and joint finances</w:t>
            </w:r>
          </w:p>
        </w:tc>
        <w:tc>
          <w:tcPr>
            <w:tcW w:type="dxa" w:w="1224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Strong fit</w:t>
            </w:r>
          </w:p>
        </w:tc>
        <w:tc>
          <w:tcPr>
            <w:tcW w:type="dxa" w:w="3024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A household running a business account and personal accounts at the same bank, who wants them separated rather than pooled.</w:t>
            </w:r>
          </w:p>
        </w:tc>
        <w:tc>
          <w:tcPr>
            <w:tcW w:type="dxa" w:w="2808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Handled today by the last-four-digit account split. No extra work needed.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Housing societies and RWAs</w:t>
            </w:r>
          </w:p>
        </w:tc>
        <w:tc>
          <w:tcPr>
            <w:tcW w:type="dxa" w:w="1224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Asked for</w:t>
            </w:r>
          </w:p>
        </w:tc>
        <w:tc>
          <w:tcPr>
            <w:tcW w:type="dxa" w:w="3024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One common account, and residents who want to see what the secretary is spending. A builder has asked for this for a 135-house society.</w:t>
            </w:r>
          </w:p>
        </w:tc>
        <w:tc>
          <w:tcPr>
            <w:tcW w:type="dxa" w:w="2808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NOT YET READY. Needs a view-only role first — every resident sharing one login can currently also reach the setup screen.</w:t>
            </w:r>
          </w:p>
        </w:tc>
      </w:tr>
      <w:tr>
        <w:tc>
          <w:tcPr>
            <w:tcW w:type="dxa" w:w="1872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Trusts, temples and small NGOs</w:t>
            </w:r>
          </w:p>
        </w:tc>
        <w:tc>
          <w:tcPr>
            <w:tcW w:type="dxa" w:w="1224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Plausible next</w:t>
            </w:r>
          </w:p>
        </w:tc>
        <w:tc>
          <w:tcPr>
            <w:tcW w:type="dxa" w:w="3024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Bodies that must show donors and members where the money went, and today do it with a spreadsheet a month after the fact.</w:t>
            </w:r>
          </w:p>
        </w:tc>
        <w:tc>
          <w:tcPr>
            <w:tcW w:type="dxa" w:w="2808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Same shape as the society case, unlocked by the same view-only role.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Accountants and CAs</w:t>
            </w:r>
          </w:p>
        </w:tc>
        <w:tc>
          <w:tcPr>
            <w:tcW w:type="dxa" w:w="1224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Plausible next</w:t>
            </w:r>
          </w:p>
        </w:tc>
        <w:tc>
          <w:tcPr>
            <w:tcW w:type="dxa" w:w="3024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A practice watching several clients' accounts at once, as a working view between filing periods.</w:t>
            </w:r>
          </w:p>
        </w:tc>
        <w:tc>
          <w:tcPr>
            <w:tcW w:type="dxa" w:w="2808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One login per client already works. A single screen across clients does not exist yet.</w:t>
            </w:r>
          </w:p>
        </w:tc>
      </w:tr>
    </w:tbl>
    <w:p>
      <w:pPr>
        <w:spacing w:after="40"/>
      </w:pPr>
    </w:p>
    <w:p>
      <w:pPr>
        <w:pStyle w:val="Heading1"/>
      </w:pPr>
      <w:r>
        <w:t>How it is sold</w:t>
      </w:r>
    </w:p>
    <w:p>
      <w:r>
        <w:rPr>
          <w:b w:val="0"/>
          <w:i w:val="0"/>
        </w:rPr>
        <w:t>Word of mouth, one client at a time. We create the account, sit with them once to connect Gmail and add their banks, and hand over a name and password. There is no sign-up page and no self-service — deliberately, while the number of clients is small enough to onboard personally.</w:t>
      </w:r>
    </w:p>
    <w:p>
      <w:r>
        <w:rPr>
          <w:b w:val="0"/>
          <w:i w:val="0"/>
        </w:rPr>
        <w:t>That first session is the whole setup. After it, the client opens a web address and logs in; nothing is installed, and it works on a phone.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DF2F9"/>
          </w:tcPr>
          <w:p>
            <w:pPr>
              <w:spacing w:after="60"/>
            </w:pPr>
            <w:r/>
            <w:r>
              <w:rPr>
                <w:b/>
                <w:color w:val="17457E"/>
                <w:sz w:val="17"/>
              </w:rPr>
              <w:t>RUNNING COST</w:t>
            </w:r>
          </w:p>
          <w:p>
            <w:r>
              <w:rPr>
                <w:color w:val="0E1826"/>
                <w:sz w:val="19"/>
              </w:rPr>
              <w:t>One Render instance with a disk, around $7 a month, plus Supabase on its free tier. That is the cost of serving every client on the system, not each one — the marginal cost of the next client is effectively nothing until the instance needs to grow.</w:t>
            </w:r>
          </w:p>
        </w:tc>
      </w:tr>
    </w:tbl>
    <w:p>
      <w:pPr>
        <w:spacing w:after="40"/>
      </w:pPr>
    </w:p>
    <w:p>
      <w:pPr>
        <w:pStyle w:val="Heading1"/>
      </w:pPr>
      <w:r>
        <w:t>Where it stands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1224"/>
        <w:gridCol w:w="5040"/>
      </w:tblGrid>
      <w:tr>
        <w:tc>
          <w:tcPr>
            <w:tcW w:type="dxa" w:w="2736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224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5040"/>
            <w:shd w:val="clear" w:fill="17457E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736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Core product</w:t>
            </w:r>
          </w:p>
        </w:tc>
        <w:tc>
          <w:tcPr>
            <w:tcW w:type="dxa" w:w="1224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Live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Deployed on Render and in use.</w:t>
            </w:r>
          </w:p>
        </w:tc>
      </w:tr>
      <w:tr>
        <w:tc>
          <w:tcPr>
            <w:tcW w:type="dxa" w:w="2736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Multi-account per bank</w:t>
            </w:r>
          </w:p>
        </w:tc>
        <w:tc>
          <w:tcPr>
            <w:tcW w:type="dxa" w:w="1224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Live</w:t>
            </w:r>
          </w:p>
        </w:tc>
        <w:tc>
          <w:tcPr>
            <w:tcW w:type="dxa" w:w="5040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Built for Shakti Sports; verified against 17 alert formats.</w:t>
            </w:r>
          </w:p>
        </w:tc>
      </w:tr>
      <w:tr>
        <w:tc>
          <w:tcPr>
            <w:tcW w:type="dxa" w:w="2736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Admin account management</w:t>
            </w:r>
          </w:p>
        </w:tc>
        <w:tc>
          <w:tcPr>
            <w:tcW w:type="dxa" w:w="1224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Live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Create, remove, and reset the password on any account.</w:t>
            </w:r>
          </w:p>
        </w:tc>
      </w:tr>
      <w:tr>
        <w:tc>
          <w:tcPr>
            <w:tcW w:type="dxa" w:w="2736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Security fixes</w:t>
            </w:r>
          </w:p>
        </w:tc>
        <w:tc>
          <w:tcPr>
            <w:tcW w:type="dxa" w:w="1224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Live</w:t>
            </w:r>
          </w:p>
        </w:tc>
        <w:tc>
          <w:tcPr>
            <w:tcW w:type="dxa" w:w="5040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Five findings from the August audit, closed.</w:t>
            </w:r>
          </w:p>
        </w:tc>
      </w:tr>
      <w:tr>
        <w:tc>
          <w:tcPr>
            <w:tcW w:type="dxa" w:w="2736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View-only role</w:t>
            </w:r>
          </w:p>
        </w:tc>
        <w:tc>
          <w:tcPr>
            <w:tcW w:type="dxa" w:w="1224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Blocking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Required before the society and NGO segments can be sold.</w:t>
            </w:r>
          </w:p>
        </w:tc>
      </w:tr>
      <w:tr>
        <w:tc>
          <w:tcPr>
            <w:tcW w:type="dxa" w:w="2736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Encrypted Gmail credentials</w:t>
            </w:r>
          </w:p>
        </w:tc>
        <w:tc>
          <w:tcPr>
            <w:tcW w:type="dxa" w:w="1224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Open</w:t>
            </w:r>
          </w:p>
        </w:tc>
        <w:tc>
          <w:tcPr>
            <w:tcW w:type="dxa" w:w="5040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Needs a key-management decision.</w:t>
            </w:r>
          </w:p>
        </w:tc>
      </w:tr>
      <w:tr>
        <w:tc>
          <w:tcPr>
            <w:tcW w:type="dxa" w:w="2736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Login audit log</w:t>
            </w:r>
          </w:p>
        </w:tc>
        <w:tc>
          <w:tcPr>
            <w:tcW w:type="dxa" w:w="1224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Next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Who signed in, when, and what an admin changed.</w:t>
            </w:r>
          </w:p>
        </w:tc>
      </w:tr>
      <w:tr>
        <w:tc>
          <w:tcPr>
            <w:tcW w:type="dxa" w:w="2736"/>
            <w:shd w:val="clear" w:fill="F1F4F9"/>
          </w:tcPr>
          <w:p>
            <w:pPr>
              <w:spacing w:after="60" w:before="60"/>
            </w:pPr>
            <w:r/>
            <w:r>
              <w:rPr>
                <w:b/>
                <w:sz w:val="19"/>
              </w:rPr>
              <w:t>Cross-client view</w:t>
            </w:r>
          </w:p>
        </w:tc>
        <w:tc>
          <w:tcPr>
            <w:tcW w:type="dxa" w:w="1224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Next</w:t>
            </w:r>
          </w:p>
        </w:tc>
        <w:tc>
          <w:tcPr>
            <w:tcW w:type="dxa" w:w="5040"/>
            <w:shd w:val="clear" w:fill="F1F4F9"/>
          </w:tcPr>
          <w:p>
            <w:pPr>
              <w:spacing w:after="60" w:before="60"/>
            </w:pPr>
            <w:r/>
            <w:r>
              <w:rPr>
                <w:color w:val="46566B"/>
                <w:sz w:val="19"/>
              </w:rPr>
              <w:t>Would open the accountant segment.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DF2F9"/>
          </w:tcPr>
          <w:p>
            <w:pPr>
              <w:spacing w:after="60"/>
            </w:pPr>
            <w:r/>
            <w:r>
              <w:rPr>
                <w:b/>
                <w:color w:val="17457E"/>
                <w:sz w:val="17"/>
              </w:rPr>
              <w:t>THE HONEST LIMIT</w:t>
            </w:r>
          </w:p>
          <w:p>
            <w:r>
              <w:rPr>
                <w:color w:val="0E1826"/>
                <w:sz w:val="19"/>
              </w:rPr>
              <w:t>Everything depends on the bank sending an alert email. A bank that doesn't, or a client who has alerts switched off, produces nothing — and no amount of work on our side changes that. Where an alert omits a figure, the field is left blank rather than estimated. A wrong number would be worse than a missing one.</w:t>
            </w:r>
          </w:p>
        </w:tc>
      </w:tr>
    </w:tbl>
    <w:p>
      <w:pPr>
        <w:spacing w:after="40"/>
      </w:pPr>
    </w:p>
    <w:p>
      <w:pPr>
        <w:spacing w:before="360"/>
        <w:pBdr>
          <w:bottom w:val="single" w:sz="12" w:space="4" w:color="17457E"/>
        </w:pBdr>
        <w:jc w:val="left"/>
      </w:pPr>
      <w:r>
        <w:rPr>
          <w:color w:val="78889C"/>
          <w:sz w:val="17"/>
        </w:rPr>
        <w:t>Shakti AI Labs  ·  Transaction Tracker — product overview  ·  25 August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0E18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7457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0E182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0E18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