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6B5F52"/>
          <w:spacing w:val="14"/>
          <w:sz w:val="16"/>
          <w:szCs w:val="16"/>
        </w:rPr>
        <w:t>SHAKTI · FINANCE AUTOMATION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5C3A24"/>
          <w:sz w:val="56"/>
          <w:szCs w:val="56"/>
        </w:rPr>
        <w:t>Transaction Tracker</w:t>
      </w:r>
    </w:p>
    <w:p>
      <w:pPr>
        <w:pStyle w:val="Normal"/>
        <w:pBdr>
          <w:bottom w:val="single" w:sz="6" w:space="12" w:color="D9D2C8"/>
        </w:pBdr>
        <w:spacing w:before="0" w:after="200"/>
        <w:rPr/>
      </w:pPr>
      <w:r>
        <w:rPr>
          <w:rFonts w:eastAsia="Calibri" w:cs="Calibri" w:ascii="Calibri" w:hAnsi="Calibri"/>
          <w:i/>
          <w:iCs/>
          <w:color w:val="CD542B"/>
          <w:sz w:val="24"/>
          <w:szCs w:val="24"/>
        </w:rPr>
        <w:t>Automated bank-alert tracking for multi-account businesses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Overview</w:t>
      </w:r>
    </w:p>
    <w:p>
      <w:pPr>
        <w:pStyle w:val="Normal"/>
        <w:spacing w:lineRule="auto" w:line="276" w:before="0" w:after="140"/>
        <w:rPr/>
      </w:pPr>
      <w:r>
        <w:rPr>
          <w:rFonts w:eastAsia="Calibri" w:cs="Calibri" w:ascii="Calibri" w:hAnsi="Calibri"/>
          <w:color w:val="2B2118"/>
          <w:sz w:val="21"/>
          <w:szCs w:val="21"/>
        </w:rPr>
        <w:t>Transaction Tracker reads a business's bank alert emails automatically and turns them into one live dashboard — one balance, one list of transactions, per business, per bank, per account. There's nothing to type in, and no bank login to hand over.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The Problem</w:t>
      </w:r>
    </w:p>
    <w:p>
      <w:pPr>
        <w:pStyle w:val="Normal"/>
        <w:spacing w:lineRule="auto" w:line="276" w:before="0" w:after="140"/>
        <w:rPr/>
      </w:pPr>
      <w:r>
        <w:rPr>
          <w:rFonts w:eastAsia="Calibri" w:cs="Calibri" w:ascii="Calibri" w:hAnsi="Calibri"/>
          <w:color w:val="2B2118"/>
          <w:sz w:val="21"/>
          <w:szCs w:val="21"/>
        </w:rPr>
        <w:t>A business owner with four bank accounts gets about forty alert emails a week, and reads almost none of them. Net banking shows one account at a time. A spreadsheet means typing every line in by hand. Accounting software is built for the accountant, and its reports arrive weeks late. The one question that matters — where did the money go this week, and what's left — has never had a quick, cheap answer.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How It Works</w:t>
      </w:r>
    </w:p>
    <w:p>
      <w:pPr>
        <w:pStyle w:val="ListParagraph"/>
        <w:numPr>
          <w:ilvl w:val="0"/>
          <w:numId w:val="6"/>
        </w:numPr>
        <w:spacing w:lineRule="auto" w:line="264" w:before="0" w:after="7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>Read</w:t>
      </w:r>
      <w:r>
        <w:rPr>
          <w:rFonts w:eastAsia="Calibri" w:cs="Calibri" w:ascii="Calibri" w:hAnsi="Calibri"/>
          <w:color w:val="2B2118"/>
          <w:sz w:val="20"/>
          <w:szCs w:val="20"/>
        </w:rPr>
        <w:t xml:space="preserve"> — reads bank alert emails by IMAP, read-only.</w:t>
      </w:r>
    </w:p>
    <w:p>
      <w:pPr>
        <w:pStyle w:val="ListParagraph"/>
        <w:numPr>
          <w:ilvl w:val="0"/>
          <w:numId w:val="3"/>
        </w:numPr>
        <w:spacing w:lineRule="auto" w:line="264" w:before="0" w:after="7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>Recognise</w:t>
      </w:r>
      <w:r>
        <w:rPr>
          <w:rFonts w:eastAsia="Calibri" w:cs="Calibri" w:ascii="Calibri" w:hAnsi="Calibri"/>
          <w:color w:val="2B2118"/>
          <w:sz w:val="20"/>
          <w:szCs w:val="20"/>
        </w:rPr>
        <w:t xml:space="preserve"> — matches the sender to a known bank.</w:t>
      </w:r>
    </w:p>
    <w:p>
      <w:pPr>
        <w:pStyle w:val="ListParagraph"/>
        <w:numPr>
          <w:ilvl w:val="0"/>
          <w:numId w:val="3"/>
        </w:numPr>
        <w:spacing w:lineRule="auto" w:line="264" w:before="0" w:after="7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>Extract</w:t>
      </w:r>
      <w:r>
        <w:rPr>
          <w:rFonts w:eastAsia="Calibri" w:cs="Calibri" w:ascii="Calibri" w:hAnsi="Calibri"/>
          <w:color w:val="2B2118"/>
          <w:sz w:val="20"/>
          <w:szCs w:val="20"/>
        </w:rPr>
        <w:t xml:space="preserve"> — pulls out the amount, direction and balance.</w:t>
      </w:r>
    </w:p>
    <w:p>
      <w:pPr>
        <w:pStyle w:val="ListParagraph"/>
        <w:numPr>
          <w:ilvl w:val="0"/>
          <w:numId w:val="3"/>
        </w:numPr>
        <w:spacing w:lineRule="auto" w:line="264" w:before="0" w:after="7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>File</w:t>
      </w:r>
      <w:r>
        <w:rPr>
          <w:rFonts w:eastAsia="Calibri" w:cs="Calibri" w:ascii="Calibri" w:hAnsi="Calibri"/>
          <w:color w:val="2B2118"/>
          <w:sz w:val="20"/>
          <w:szCs w:val="20"/>
        </w:rPr>
        <w:t xml:space="preserve"> — saves it to that client's own database.</w:t>
      </w:r>
    </w:p>
    <w:p>
      <w:pPr>
        <w:pStyle w:val="ListParagraph"/>
        <w:numPr>
          <w:ilvl w:val="0"/>
          <w:numId w:val="3"/>
        </w:numPr>
        <w:spacing w:lineRule="auto" w:line="264" w:before="0" w:after="7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>Show</w:t>
      </w:r>
      <w:r>
        <w:rPr>
          <w:rFonts w:eastAsia="Calibri" w:cs="Calibri" w:ascii="Calibri" w:hAnsi="Calibri"/>
          <w:color w:val="2B2118"/>
          <w:sz w:val="20"/>
          <w:szCs w:val="20"/>
        </w:rPr>
        <w:t xml:space="preserve"> — tables, balances, charts and alerts, on one dashboard.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4389120" cy="29260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20"/>
        <w:jc w:val="center"/>
        <w:rPr/>
      </w:pPr>
      <w:r>
        <w:rPr>
          <w:rFonts w:eastAsia="Calibri" w:cs="Calibri" w:ascii="Calibri" w:hAnsi="Calibri"/>
          <w:i/>
          <w:iCs/>
          <w:color w:val="6B5F52"/>
          <w:sz w:val="18"/>
          <w:szCs w:val="18"/>
        </w:rPr>
        <w:t>Figure 1. System architecture — capture, processing and presentation, on Gmail, Supabase and Render.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Key Features</w:t>
      </w:r>
    </w:p>
    <w:p>
      <w:pPr>
        <w:pStyle w:val="ListParagraph"/>
        <w:numPr>
          <w:ilvl w:val="0"/>
          <w:numId w:val="7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Every transaction — </w:t>
      </w:r>
      <w:r>
        <w:rPr>
          <w:rFonts w:eastAsia="Calibri" w:cs="Calibri" w:ascii="Calibri" w:hAnsi="Calibri"/>
          <w:color w:val="2B2118"/>
          <w:sz w:val="20"/>
          <w:szCs w:val="20"/>
        </w:rPr>
        <w:t>date, bank, account, type, amount, counterparty and balance after. Filterable, and exportable to CSV.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Balances — </w:t>
      </w:r>
      <w:r>
        <w:rPr>
          <w:rFonts w:eastAsia="Calibri" w:cs="Calibri" w:ascii="Calibri" w:hAnsi="Calibri"/>
          <w:color w:val="2B2118"/>
          <w:sz w:val="20"/>
          <w:szCs w:val="20"/>
        </w:rPr>
        <w:t>per account, plus one combined total across every account and bank.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Multi-account detection — </w:t>
      </w:r>
      <w:r>
        <w:rPr>
          <w:rFonts w:eastAsia="Calibri" w:cs="Calibri" w:ascii="Calibri" w:hAnsi="Calibri"/>
          <w:color w:val="2B2118"/>
          <w:sz w:val="20"/>
          <w:szCs w:val="20"/>
        </w:rPr>
        <w:t>accounts at the same bank told apart by the last four digits in the alert.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Cheque returns — </w:t>
      </w:r>
      <w:r>
        <w:rPr>
          <w:rFonts w:eastAsia="Calibri" w:cs="Calibri" w:ascii="Calibri" w:hAnsi="Calibri"/>
          <w:color w:val="2B2118"/>
          <w:sz w:val="20"/>
          <w:szCs w:val="20"/>
        </w:rPr>
        <w:t>kept separate from real transactions, with reason, from 17 known return types.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Payment mode — </w:t>
      </w:r>
      <w:r>
        <w:rPr>
          <w:rFonts w:eastAsia="Calibri" w:cs="Calibri" w:ascii="Calibri" w:hAnsi="Calibri"/>
          <w:color w:val="2B2118"/>
          <w:sz w:val="20"/>
          <w:szCs w:val="20"/>
        </w:rPr>
        <w:t>UPI, NEFT, RTGS, IMPS, cheque, card, ATM, net banking, auto-debit or cash, read automatically.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>
          <w:rFonts w:ascii="Calibri" w:hAnsi="Calibri" w:eastAsia="Calibri" w:cs="Calibri"/>
          <w:color w:val="2B2118"/>
          <w:sz w:val="20"/>
          <w:szCs w:val="20"/>
        </w:rPr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High-value alerts — </w:t>
      </w:r>
      <w:r>
        <w:rPr>
          <w:rFonts w:eastAsia="Calibri" w:cs="Calibri" w:ascii="Calibri" w:hAnsi="Calibri"/>
          <w:color w:val="2B2118"/>
          <w:sz w:val="20"/>
          <w:szCs w:val="20"/>
        </w:rPr>
        <w:t>anything above a client-set threshold is flagged, so a large payment is never lost among small ones.</w:t>
      </w:r>
    </w:p>
    <w:p>
      <w:pPr>
        <w:pStyle w:val="ListParagraph"/>
        <w:numPr>
          <w:ilvl w:val="0"/>
          <w:numId w:val="4"/>
        </w:numPr>
        <w:spacing w:lineRule="auto" w:line="264" w:before="0" w:after="80"/>
        <w:rPr/>
      </w:pPr>
      <w:r>
        <w:rPr>
          <w:rFonts w:eastAsia="Calibri" w:cs="Calibri" w:ascii="Calibri" w:hAnsi="Calibri"/>
          <w:b/>
          <w:bCs/>
          <w:color w:val="5C3A24"/>
          <w:sz w:val="20"/>
          <w:szCs w:val="20"/>
        </w:rPr>
        <w:t xml:space="preserve">Live refresh — </w:t>
      </w:r>
      <w:r>
        <w:rPr>
          <w:rFonts w:eastAsia="Calibri" w:cs="Calibri" w:ascii="Calibri" w:hAnsi="Calibri"/>
          <w:color w:val="2B2118"/>
          <w:sz w:val="20"/>
          <w:szCs w:val="20"/>
        </w:rPr>
        <w:t>checks for new mail every five minutes, or on demand.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Who It's For</w:t>
      </w:r>
    </w:p>
    <w:p>
      <w:pPr>
        <w:pStyle w:val="Normal"/>
        <w:spacing w:lineRule="auto" w:line="276" w:before="0" w:after="140"/>
        <w:rPr/>
      </w:pPr>
      <w:r>
        <w:rPr>
          <w:rFonts w:eastAsia="Calibri" w:cs="Calibri" w:ascii="Calibri" w:hAnsi="Calibri"/>
          <w:color w:val="2B2118"/>
          <w:sz w:val="21"/>
          <w:szCs w:val="21"/>
        </w:rPr>
        <w:t>Anyone accountable for money moving through accounts they don't watch all day. Today: a sports club with several accounts across banks. Next: a family, a housing society, or a small trust.</w:t>
      </w:r>
    </w:p>
    <w:p>
      <w:pPr>
        <w:pStyle w:val="Heading2"/>
        <w:spacing w:before="260" w:after="100"/>
        <w:rPr/>
      </w:pPr>
      <w:r>
        <w:rPr>
          <w:rFonts w:eastAsia="Calibri" w:cs="Calibri" w:ascii="Calibri" w:hAnsi="Calibri"/>
          <w:b/>
          <w:bCs/>
          <w:color w:val="5C3A24"/>
          <w:sz w:val="26"/>
          <w:szCs w:val="26"/>
        </w:rPr>
        <w:t>The Dashboard</w:t>
      </w:r>
    </w:p>
    <w:p>
      <w:pPr>
        <w:pStyle w:val="Normal"/>
        <w:spacing w:lineRule="auto" w:line="276" w:before="0" w:after="140"/>
        <w:rPr/>
      </w:pPr>
      <w:r>
        <w:rPr>
          <w:rFonts w:eastAsia="Calibri" w:cs="Calibri" w:ascii="Calibri" w:hAnsi="Calibri"/>
          <w:color w:val="2B2118"/>
          <w:sz w:val="21"/>
          <w:szCs w:val="21"/>
        </w:rPr>
        <w:t>Four accounts on the left, each with a live balance. One combined total at the top — ₹43,11,916.75, up 2.99% on yesterday. The five latest transactions below, each showing bank, direction, counterparty and balance after. A ₹4,95,000 payment is flagged “High Value” in orange — exactly the transaction a busy owner would otherwise miss.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4389120" cy="292608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20"/>
        <w:jc w:val="center"/>
        <w:rPr/>
      </w:pPr>
      <w:r>
        <w:rPr>
          <w:rFonts w:eastAsia="Calibri" w:cs="Calibri" w:ascii="Calibri" w:hAnsi="Calibri"/>
          <w:i/>
          <w:iCs/>
          <w:color w:val="6B5F52"/>
          <w:sz w:val="18"/>
          <w:szCs w:val="18"/>
        </w:rPr>
        <w:t>Figure 2. Client dashboard — Shreeji Industries Pvt. Ltd.</w:t>
      </w:r>
    </w:p>
    <w:p>
      <w:pPr>
        <w:pStyle w:val="Heading2"/>
        <w:spacing w:before="260" w:after="100"/>
        <w:rPr>
          <w:rFonts w:ascii="Calibri" w:hAnsi="Calibri" w:eastAsia="Calibri" w:cs="Calibri"/>
          <w:b/>
          <w:bCs/>
          <w:color w:val="2B2118"/>
          <w:sz w:val="21"/>
          <w:szCs w:val="21"/>
        </w:rPr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00" w:right="1100" w:gutter="0" w:header="0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2C8"/>
      </w:pBdr>
      <w:jc w:val="center"/>
      <w:rPr/>
    </w:pPr>
    <w:r>
      <w:rPr>
        <w:rFonts w:eastAsia="Calibri" w:cs="Calibri" w:ascii="Calibri" w:hAnsi="Calibri"/>
        <w:color w:val="6B5F52"/>
        <w:sz w:val="16"/>
        <w:szCs w:val="16"/>
      </w:rPr>
      <w:t xml:space="preserve">Transaction Tracker — Product Overview   ·   Page </w:t>
    </w:r>
    <w:r>
      <w:rPr>
        <w:rFonts w:eastAsia="Calibri" w:cs="Calibri" w:ascii="Calibri" w:hAnsi="Calibri"/>
        <w:color w:val="2B2118"/>
        <w:sz w:val="21"/>
        <w:szCs w:val="21"/>
      </w:rPr>
      <w:fldChar w:fldCharType="begin"/>
    </w:r>
    <w:r>
      <w:rPr>
        <w:rFonts w:eastAsia="Calibri" w:cs="Calibri" w:ascii="Calibri" w:hAnsi="Calibri"/>
        <w:color w:val="2B2118"/>
        <w:sz w:val="21"/>
        <w:szCs w:val="21"/>
      </w:rPr>
      <w:instrText xml:space="preserve"> PAGE </w:instrText>
    </w:r>
    <w:r>
      <w:rPr>
        <w:rFonts w:eastAsia="Calibri" w:cs="Calibri" w:ascii="Calibri" w:hAnsi="Calibri"/>
        <w:color w:val="2B2118"/>
        <w:sz w:val="21"/>
        <w:szCs w:val="21"/>
      </w:rPr>
      <w:fldChar w:fldCharType="separate"/>
    </w:r>
    <w:r>
      <w:rPr>
        <w:rFonts w:eastAsia="Calibri" w:cs="Calibri" w:ascii="Calibri" w:hAnsi="Calibri"/>
        <w:color w:val="2B2118"/>
        <w:sz w:val="21"/>
        <w:szCs w:val="21"/>
      </w:rPr>
      <w:t>2</w:t>
    </w:r>
    <w:r>
      <w:rPr>
        <w:rFonts w:eastAsia="Calibri" w:cs="Calibri" w:ascii="Calibri" w:hAnsi="Calibri"/>
        <w:color w:val="2B2118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2C8"/>
      </w:pBdr>
      <w:jc w:val="center"/>
      <w:rPr/>
    </w:pPr>
    <w:r>
      <w:rPr>
        <w:rFonts w:eastAsia="Calibri" w:cs="Calibri" w:ascii="Calibri" w:hAnsi="Calibri"/>
        <w:color w:val="6B5F52"/>
        <w:sz w:val="16"/>
        <w:szCs w:val="16"/>
      </w:rPr>
      <w:t xml:space="preserve">Transaction Tracker — Product Overview   ·   Page </w:t>
    </w:r>
    <w:r>
      <w:rPr>
        <w:rFonts w:eastAsia="Calibri" w:cs="Calibri" w:ascii="Calibri" w:hAnsi="Calibri"/>
        <w:color w:val="2B2118"/>
        <w:sz w:val="21"/>
        <w:szCs w:val="21"/>
      </w:rPr>
      <w:fldChar w:fldCharType="begin"/>
    </w:r>
    <w:r>
      <w:rPr>
        <w:rFonts w:eastAsia="Calibri" w:cs="Calibri" w:ascii="Calibri" w:hAnsi="Calibri"/>
        <w:color w:val="2B2118"/>
        <w:sz w:val="21"/>
        <w:szCs w:val="21"/>
      </w:rPr>
      <w:instrText xml:space="preserve"> PAGE </w:instrText>
    </w:r>
    <w:r>
      <w:rPr>
        <w:rFonts w:eastAsia="Calibri" w:cs="Calibri" w:ascii="Calibri" w:hAnsi="Calibri"/>
        <w:color w:val="2B2118"/>
        <w:sz w:val="21"/>
        <w:szCs w:val="21"/>
      </w:rPr>
      <w:fldChar w:fldCharType="separate"/>
    </w:r>
    <w:r>
      <w:rPr>
        <w:rFonts w:eastAsia="Calibri" w:cs="Calibri" w:ascii="Calibri" w:hAnsi="Calibri"/>
        <w:color w:val="2B2118"/>
        <w:sz w:val="21"/>
        <w:szCs w:val="21"/>
      </w:rPr>
      <w:t>2</w:t>
    </w:r>
    <w:r>
      <w:rPr>
        <w:rFonts w:eastAsia="Calibri" w:cs="Calibri" w:ascii="Calibri" w:hAnsi="Calibri"/>
        <w:color w:val="2B2118"/>
        <w:sz w:val="21"/>
        <w:szCs w:val="21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60" w:hanging="316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60" w:hanging="316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8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2</Pages>
  <Words>414</Words>
  <Characters>2170</Characters>
  <CharactersWithSpaces>2572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2026-08-26T09:05:27Z</dcterms:created>
  <dc:creator>Un-named</dc:creator>
  <dc:description/>
  <dc:language>en-US</dc:language>
  <cp:lastModifiedBy/>
  <dcterms:modified xsi:type="dcterms:W3CDTF">2026-08-31T11:26:47Z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