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4E79"/>
          <w:sz w:val="18"/>
          <w:szCs w:val="18"/>
        </w:rPr>
        <w:t xml:space="preserve">TITLECLEAR.AI</w:t>
      </w:r>
    </w:p>
    <w:p>
      <w:pPr>
        <w:spacing w:after="100"/>
      </w:pPr>
      <w:r>
        <w:rPr>
          <w:rFonts w:ascii="Calibri" w:cs="Calibri" w:eastAsia="Calibri" w:hAnsi="Calibri"/>
          <w:b/>
          <w:bCs/>
          <w:color w:val="1B2430"/>
          <w:sz w:val="44"/>
          <w:szCs w:val="44"/>
        </w:rPr>
        <w:t xml:space="preserve">Document drafting module</w:t>
      </w:r>
    </w:p>
    <w:p>
      <w:pPr>
        <w:spacing w:after="200"/>
      </w:pPr>
      <w:r>
        <w:rPr>
          <w:rFonts w:ascii="Calibri" w:cs="Calibri" w:eastAsia="Calibri" w:hAnsi="Calibri"/>
          <w:color w:val="5B6472"/>
          <w:sz w:val="24"/>
          <w:szCs w:val="24"/>
        </w:rPr>
        <w:t xml:space="preserve">Product brief — everything needed to write about this feature</w:t>
      </w:r>
    </w:p>
    <w:p>
      <w:pPr>
        <w:pBdr>
          <w:top w:val="single" w:color="DDD9CF" w:sz="6" w:space="8"/>
        </w:pBdr>
        <w:spacing w:after="60"/>
      </w:pPr>
      <w:r>
        <w:rPr>
          <w:rFonts w:ascii="Calibri" w:cs="Calibri" w:eastAsia="Calibri" w:hAnsi="Calibri"/>
          <w:color w:val="5B6472"/>
          <w:sz w:val="18"/>
          <w:szCs w:val="18"/>
        </w:rPr>
        <w:t xml:space="preserve">Prepared 26 August 2026  ·  Gujarat  ·  8 templates live</w:t>
      </w:r>
    </w:p>
    <w:p>
      <w:pPr>
        <w:spacing w:after="200"/>
      </w:pPr>
    </w:p>
    <w:p>
      <w:pPr>
        <w:spacing w:after="140" w:line="300"/>
      </w:pPr>
      <w:r>
        <w:rPr>
          <w:rFonts w:ascii="Calibri" w:cs="Calibri" w:eastAsia="Calibri" w:hAnsi="Calibri"/>
          <w:b/>
          <w:bCs/>
          <w:color w:val="1B2430"/>
          <w:sz w:val="21"/>
          <w:szCs w:val="21"/>
        </w:rPr>
        <w:t xml:space="preserve">Read this first.</w:t>
      </w:r>
      <w:r>
        <w:rPr>
          <w:rFonts w:ascii="Calibri" w:cs="Calibri" w:eastAsia="Calibri" w:hAnsi="Calibri"/>
          <w:color w:val="1B2430"/>
          <w:sz w:val="21"/>
          <w:szCs w:val="21"/>
        </w:rPr>
        <w:t xml:space="preserve"> Everything below is taken either from the working code or from sourced research, and the last section marks exactly which claims are safe to publish and which are not yet. Two things in particular must not appear in promotional copy: the title-check report is </w:t>
      </w:r>
      <w:r>
        <w:rPr>
          <w:rFonts w:ascii="Calibri" w:cs="Calibri" w:eastAsia="Calibri" w:hAnsi="Calibri"/>
          <w:b/>
          <w:bCs/>
          <w:color w:val="1B2430"/>
          <w:sz w:val="21"/>
          <w:szCs w:val="21"/>
        </w:rPr>
        <w:t xml:space="preserve">not live yet</w:t>
      </w:r>
      <w:r>
        <w:rPr>
          <w:rFonts w:ascii="Calibri" w:cs="Calibri" w:eastAsia="Calibri" w:hAnsi="Calibri"/>
          <w:color w:val="1B2430"/>
          <w:sz w:val="21"/>
          <w:szCs w:val="21"/>
        </w:rPr>
        <w:t xml:space="preserve">, and the templates are </w:t>
      </w:r>
      <w:r>
        <w:rPr>
          <w:rFonts w:ascii="Calibri" w:cs="Calibri" w:eastAsia="Calibri" w:hAnsi="Calibri"/>
          <w:b/>
          <w:bCs/>
          <w:color w:val="1B2430"/>
          <w:sz w:val="21"/>
          <w:szCs w:val="21"/>
        </w:rPr>
        <w:t xml:space="preserve">not yet lawyer-verified</w:t>
      </w:r>
      <w:r>
        <w:rPr>
          <w:rFonts w:ascii="Calibri" w:cs="Calibri" w:eastAsia="Calibri" w:hAnsi="Calibri"/>
          <w:color w:val="1B2430"/>
          <w:sz w:val="21"/>
          <w:szCs w:val="21"/>
        </w:rPr>
        <w:t xml:space="preserve"> — that review is in progress. Section 15 has the full list.</w:t>
      </w:r>
    </w:p>
    <w:p>
      <w:pPr>
        <w:pStyle w:val="Heading1"/>
        <w:pBdr>
          <w:bottom w:val="single" w:color="DDD9CF" w:sz="6" w:space="6"/>
        </w:pBdr>
        <w:spacing w:after="160" w:before="400"/>
      </w:pPr>
      <w:r>
        <w:rPr>
          <w:rFonts w:ascii="Calibri" w:cs="Calibri" w:eastAsia="Calibri" w:hAnsi="Calibri"/>
          <w:b/>
          <w:bCs/>
          <w:color w:val="1F4E79"/>
          <w:sz w:val="30"/>
          <w:szCs w:val="30"/>
        </w:rPr>
        <w:t xml:space="preserve">1. What it is</w:t>
      </w:r>
    </w:p>
    <w:p>
      <w:pPr>
        <w:pStyle w:val="Heading2"/>
        <w:spacing w:after="120" w:before="280"/>
      </w:pPr>
      <w:r>
        <w:rPr>
          <w:rFonts w:ascii="Calibri" w:cs="Calibri" w:eastAsia="Calibri" w:hAnsi="Calibri"/>
          <w:b/>
          <w:bCs/>
          <w:color w:val="1B2430"/>
          <w:sz w:val="23"/>
          <w:szCs w:val="23"/>
        </w:rPr>
        <w:t xml:space="preserve">One line</w:t>
      </w:r>
    </w:p>
    <w:p>
      <w:pPr>
        <w:spacing w:after="140" w:line="300"/>
      </w:pPr>
      <w:r>
        <w:rPr>
          <w:rFonts w:ascii="Calibri" w:cs="Calibri" w:eastAsia="Calibri" w:hAnsi="Calibri"/>
          <w:color w:val="1B2430"/>
          <w:sz w:val="21"/>
          <w:szCs w:val="21"/>
        </w:rPr>
        <w:t xml:space="preserve">Answer a short form in Gujarati or English, and your property document writes itself — ready to print or download as Word.</w:t>
      </w:r>
    </w:p>
    <w:p>
      <w:pPr>
        <w:pStyle w:val="Heading2"/>
        <w:spacing w:after="120" w:before="280"/>
      </w:pPr>
      <w:r>
        <w:rPr>
          <w:rFonts w:ascii="Calibri" w:cs="Calibri" w:eastAsia="Calibri" w:hAnsi="Calibri"/>
          <w:b/>
          <w:bCs/>
          <w:color w:val="1B2430"/>
          <w:sz w:val="23"/>
          <w:szCs w:val="23"/>
        </w:rPr>
        <w:t xml:space="preserve">One paragraph</w:t>
      </w:r>
    </w:p>
    <w:p>
      <w:pPr>
        <w:spacing w:after="140" w:line="300"/>
      </w:pPr>
      <w:r>
        <w:rPr>
          <w:rFonts w:ascii="Calibri" w:cs="Calibri" w:eastAsia="Calibri" w:hAnsi="Calibri"/>
          <w:color w:val="1B2430"/>
          <w:sz w:val="21"/>
          <w:szCs w:val="21"/>
        </w:rPr>
        <w:t xml:space="preserve">TitleClear's document module turns Gujarat's official property-document formats into fill-in-the-blank forms. You pick a document — sale deed, gift deed, rent agreement, will, power of attorney — answer questions with labels in both Gujarati and English, and watch the complete Gujarati draft build itself on screen as you type. Print it, or download an editable Word file to take to your advocate. The formats come from the Gujarat registration department's own model drafts published on the Garvi portal.</w:t>
      </w:r>
    </w:p>
    <w:p>
      <w:pPr>
        <w:pStyle w:val="Heading2"/>
        <w:spacing w:after="120" w:before="280"/>
      </w:pPr>
      <w:r>
        <w:rPr>
          <w:rFonts w:ascii="Calibri" w:cs="Calibri" w:eastAsia="Calibri" w:hAnsi="Calibri"/>
          <w:b/>
          <w:bCs/>
          <w:color w:val="1B2430"/>
          <w:sz w:val="23"/>
          <w:szCs w:val="23"/>
        </w:rPr>
        <w:t xml:space="preserve">The short version, for a banner or a card</w:t>
      </w:r>
    </w:p>
    <w:p>
      <w:pPr>
        <w:pStyle w:val="ListParagraph"/>
        <w:numPr>
          <w:ilvl w:val="0"/>
          <w:numId w:val="1"/>
        </w:numPr>
        <w:spacing w:after="80" w:line="290"/>
      </w:pPr>
      <w:r>
        <w:rPr>
          <w:rFonts w:ascii="Calibri" w:cs="Calibri" w:eastAsia="Calibri" w:hAnsi="Calibri"/>
          <w:b/>
          <w:bCs/>
          <w:color w:val="1B2430"/>
          <w:sz w:val="21"/>
          <w:szCs w:val="21"/>
        </w:rPr>
        <w:t xml:space="preserve">English:</w:t>
      </w:r>
      <w:r>
        <w:rPr>
          <w:rFonts w:ascii="Calibri" w:cs="Calibri" w:eastAsia="Calibri" w:hAnsi="Calibri"/>
          <w:color w:val="1B2430"/>
          <w:sz w:val="21"/>
          <w:szCs w:val="21"/>
        </w:rPr>
        <w:t xml:space="preserve"> Gujarat property documents, written in Gujarati, in minutes.</w:t>
      </w:r>
    </w:p>
    <w:p>
      <w:pPr>
        <w:pStyle w:val="ListParagraph"/>
        <w:numPr>
          <w:ilvl w:val="0"/>
          <w:numId w:val="1"/>
        </w:numPr>
        <w:spacing w:after="80" w:line="290"/>
      </w:pPr>
      <w:r>
        <w:rPr>
          <w:rFonts w:ascii="Shruti" w:cs="Shruti" w:eastAsia="Shruti" w:hAnsi="Shruti"/>
          <w:b/>
          <w:bCs/>
          <w:color w:val="1B2430"/>
          <w:sz w:val="21"/>
          <w:szCs w:val="21"/>
        </w:rPr>
        <w:t xml:space="preserve">ગુજરાતી:</w:t>
      </w:r>
      <w:r>
        <w:rPr>
          <w:rFonts w:ascii="Calibri" w:cs="Calibri" w:eastAsia="Calibri" w:hAnsi="Calibri"/>
          <w:color w:val="1B2430"/>
          <w:sz w:val="21"/>
          <w:szCs w:val="21"/>
        </w:rPr>
        <w:t xml:space="preserve"> </w:t>
      </w:r>
      <w:r>
        <w:rPr>
          <w:rFonts w:ascii="Shruti" w:cs="Shruti" w:eastAsia="Shruti" w:hAnsi="Shruti"/>
          <w:color w:val="1B2430"/>
          <w:sz w:val="21"/>
          <w:szCs w:val="21"/>
        </w:rPr>
        <w:t xml:space="preserve">મિલકતના દસ્તાવેજ — સવાલોના જવાબ આપો, તૈયાર ડ્રાફ્ટ મેળવો.</w:t>
      </w:r>
    </w:p>
    <w:p>
      <w:pPr>
        <w:spacing w:after="140" w:line="280"/>
      </w:pPr>
      <w:r>
        <w:rPr>
          <w:rFonts w:ascii="Calibri" w:cs="Calibri" w:eastAsia="Calibri" w:hAnsi="Calibri"/>
          <w:i/>
          <w:iCs/>
          <w:color w:val="5B6472"/>
          <w:sz w:val="19"/>
          <w:szCs w:val="19"/>
        </w:rPr>
        <w:t xml:space="preserve">The Gujarati line above is the headline the app itself uses on /documents. Reusing it keeps the promo and the product consistent.</w:t>
      </w:r>
    </w:p>
    <w:p>
      <w:pPr>
        <w:pStyle w:val="Heading1"/>
        <w:pBdr>
          <w:bottom w:val="single" w:color="DDD9CF" w:sz="6" w:space="6"/>
        </w:pBdr>
        <w:spacing w:after="160" w:before="400"/>
      </w:pPr>
      <w:r>
        <w:rPr>
          <w:rFonts w:ascii="Calibri" w:cs="Calibri" w:eastAsia="Calibri" w:hAnsi="Calibri"/>
          <w:b/>
          <w:bCs/>
          <w:color w:val="1F4E79"/>
          <w:sz w:val="30"/>
          <w:szCs w:val="30"/>
        </w:rPr>
        <w:t xml:space="preserve">2. The problem it solves</w:t>
      </w:r>
    </w:p>
    <w:p>
      <w:pPr>
        <w:spacing w:after="140" w:line="300"/>
      </w:pPr>
      <w:r>
        <w:rPr>
          <w:rFonts w:ascii="Calibri" w:cs="Calibri" w:eastAsia="Calibri" w:hAnsi="Calibri"/>
          <w:color w:val="1B2430"/>
          <w:sz w:val="21"/>
          <w:szCs w:val="21"/>
        </w:rPr>
        <w:t xml:space="preserve">Four facts. Any of them works as an opening hook.</w:t>
      </w:r>
    </w:p>
    <w:p>
      <w:pPr>
        <w:pStyle w:val="ListParagraph"/>
        <w:numPr>
          <w:ilvl w:val="0"/>
          <w:numId w:val="1"/>
        </w:numPr>
        <w:spacing w:after="80" w:line="290"/>
      </w:pPr>
      <w:r>
        <w:rPr>
          <w:rFonts w:ascii="Calibri" w:cs="Calibri" w:eastAsia="Calibri" w:hAnsi="Calibri"/>
          <w:b/>
          <w:bCs/>
          <w:color w:val="1B2430"/>
          <w:sz w:val="21"/>
          <w:szCs w:val="21"/>
        </w:rPr>
        <w:t xml:space="preserve">A deed is still written by hand.</w:t>
      </w:r>
      <w:r>
        <w:rPr>
          <w:rFonts w:ascii="Calibri" w:cs="Calibri" w:eastAsia="Calibri" w:hAnsi="Calibri"/>
          <w:color w:val="1B2430"/>
          <w:sz w:val="21"/>
          <w:szCs w:val="21"/>
        </w:rPr>
        <w:t xml:space="preserve"> In Gujarat, property documents are typically drafted by a </w:t>
      </w:r>
      <w:r>
        <w:rPr>
          <w:rFonts w:ascii="Shruti" w:cs="Shruti" w:eastAsia="Shruti" w:hAnsi="Shruti"/>
          <w:color w:val="1B2430"/>
          <w:sz w:val="21"/>
          <w:szCs w:val="21"/>
        </w:rPr>
        <w:t xml:space="preserve">દસ્તાવેજ લેખક (</w:t>
      </w:r>
      <w:r>
        <w:rPr>
          <w:rFonts w:ascii="Calibri" w:cs="Calibri" w:eastAsia="Calibri" w:hAnsi="Calibri"/>
          <w:color w:val="1B2430"/>
          <w:sz w:val="21"/>
          <w:szCs w:val="21"/>
        </w:rPr>
        <w:t xml:space="preserve">deed writer) sitting outside the sub-registrar office — roughly ₹500 for the first page and ₹250–₹300 for every page after. A sale deed runs well past one page.</w:t>
      </w:r>
    </w:p>
    <w:p>
      <w:pPr>
        <w:pStyle w:val="ListParagraph"/>
        <w:numPr>
          <w:ilvl w:val="0"/>
          <w:numId w:val="1"/>
        </w:numPr>
        <w:spacing w:after="80" w:line="290"/>
      </w:pPr>
      <w:r>
        <w:rPr>
          <w:rFonts w:ascii="Calibri" w:cs="Calibri" w:eastAsia="Calibri" w:hAnsi="Calibri"/>
          <w:b/>
          <w:bCs/>
          <w:color w:val="1B2430"/>
          <w:sz w:val="21"/>
          <w:szCs w:val="21"/>
        </w:rPr>
        <w:t xml:space="preserve">The official formats are free, but unusable.</w:t>
      </w:r>
      <w:r>
        <w:rPr>
          <w:rFonts w:ascii="Calibri" w:cs="Calibri" w:eastAsia="Calibri" w:hAnsi="Calibri"/>
          <w:color w:val="1B2430"/>
          <w:sz w:val="21"/>
          <w:szCs w:val="21"/>
        </w:rPr>
        <w:t xml:space="preserve"> The registration department publishes model drafts (</w:t>
      </w:r>
      <w:r>
        <w:rPr>
          <w:rFonts w:ascii="Shruti" w:cs="Shruti" w:eastAsia="Shruti" w:hAnsi="Shruti"/>
          <w:color w:val="1B2430"/>
          <w:sz w:val="21"/>
          <w:szCs w:val="21"/>
        </w:rPr>
        <w:t xml:space="preserve">મોડેલ ડ્રાફ્ટ) </w:t>
      </w:r>
      <w:r>
        <w:rPr>
          <w:rFonts w:ascii="Calibri" w:cs="Calibri" w:eastAsia="Calibri" w:hAnsi="Calibri"/>
          <w:color w:val="1B2430"/>
          <w:sz w:val="21"/>
          <w:szCs w:val="21"/>
        </w:rPr>
        <w:t xml:space="preserve">on the Garvi portal. They are Word files full of blanks, written in formal legal Gujarati. Almost nobody outside the profession can fill one correctly.</w:t>
      </w:r>
    </w:p>
    <w:p>
      <w:pPr>
        <w:pStyle w:val="ListParagraph"/>
        <w:numPr>
          <w:ilvl w:val="0"/>
          <w:numId w:val="1"/>
        </w:numPr>
        <w:spacing w:after="80" w:line="290"/>
      </w:pPr>
      <w:r>
        <w:rPr>
          <w:rFonts w:ascii="Calibri" w:cs="Calibri" w:eastAsia="Calibri" w:hAnsi="Calibri"/>
          <w:b/>
          <w:bCs/>
          <w:color w:val="1B2430"/>
          <w:sz w:val="21"/>
          <w:szCs w:val="21"/>
        </w:rPr>
        <w:t xml:space="preserve">Getting it wrong is expensive.</w:t>
      </w:r>
      <w:r>
        <w:rPr>
          <w:rFonts w:ascii="Calibri" w:cs="Calibri" w:eastAsia="Calibri" w:hAnsi="Calibri"/>
          <w:color w:val="1B2430"/>
          <w:sz w:val="21"/>
          <w:szCs w:val="21"/>
        </w:rPr>
        <w:t xml:space="preserve"> Gujarat charges about 4.9% stamp duty plus 1% registration on a sale. On a ₹40 lakh flat that is roughly ₹2.36 lakh — and a deed rejected at the counter means another trip and, sometimes, paying again.</w:t>
      </w:r>
    </w:p>
    <w:p>
      <w:pPr>
        <w:pStyle w:val="ListParagraph"/>
        <w:numPr>
          <w:ilvl w:val="0"/>
          <w:numId w:val="1"/>
        </w:numPr>
        <w:spacing w:after="80" w:line="290"/>
      </w:pPr>
      <w:r>
        <w:rPr>
          <w:rFonts w:ascii="Calibri" w:cs="Calibri" w:eastAsia="Calibri" w:hAnsi="Calibri"/>
          <w:b/>
          <w:bCs/>
          <w:color w:val="1B2430"/>
          <w:sz w:val="21"/>
          <w:szCs w:val="21"/>
        </w:rPr>
        <w:t xml:space="preserve">Online drafting services work in English.</w:t>
      </w:r>
      <w:r>
        <w:rPr>
          <w:rFonts w:ascii="Calibri" w:cs="Calibri" w:eastAsia="Calibri" w:hAnsi="Calibri"/>
          <w:color w:val="1B2430"/>
          <w:sz w:val="21"/>
          <w:szCs w:val="21"/>
        </w:rPr>
        <w:t xml:space="preserve"> LegalDesk, eDrafter, eSahayak, NoBroker and the rest are pan-India and English-first. Gujarati property deeds are the gap almost nobody fills.</w:t>
      </w:r>
    </w:p>
    <w:p>
      <w:pPr>
        <w:pStyle w:val="Heading1"/>
        <w:pBdr>
          <w:bottom w:val="single" w:color="DDD9CF" w:sz="6" w:space="6"/>
        </w:pBdr>
        <w:spacing w:after="160" w:before="400"/>
      </w:pPr>
      <w:r>
        <w:rPr>
          <w:rFonts w:ascii="Calibri" w:cs="Calibri" w:eastAsia="Calibri" w:hAnsi="Calibri"/>
          <w:b/>
          <w:bCs/>
          <w:color w:val="1F4E79"/>
          <w:sz w:val="30"/>
          <w:szCs w:val="30"/>
        </w:rPr>
        <w:t xml:space="preserve">3. Who it is for</w:t>
      </w:r>
    </w:p>
    <w:p>
      <w:pPr>
        <w:spacing w:after="60"/>
      </w:pPr>
    </w:p>
    <w:tbl>
      <w:tblPr>
        <w:tblW w:type="pct" w:w="100%"/>
        <w:tblBorders>
          <w:top w:val="single" w:color="DDD9CF" w:sz="4"/>
          <w:left w:val="single" w:color="DDD9CF" w:sz="4"/>
          <w:bottom w:val="single" w:color="DDD9CF" w:sz="4"/>
          <w:right w:val="single" w:color="DDD9CF" w:sz="4"/>
          <w:insideH w:val="single" w:color="DDD9CF" w:sz="4"/>
          <w:insideV w:val="single" w:color="DDD9CF" w:sz="4"/>
        </w:tblBorders>
      </w:tblPr>
      <w:tblGrid>
        <w:gridCol w:w="100"/>
        <w:gridCol w:w="100"/>
        <w:gridCol w:w="100"/>
      </w:tblGrid>
      <w:tr>
        <w:trPr>
          <w:tblHeader/>
        </w:trPr>
        <w:tc>
          <w:tcPr>
            <w:tcW w:type="pct" w:w="24%"/>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Audience</w:t>
            </w:r>
          </w:p>
        </w:tc>
        <w:tc>
          <w:tcPr>
            <w:tcW w:type="pct" w:w="56%"/>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Why they come</w:t>
            </w:r>
          </w:p>
        </w:tc>
        <w:tc>
          <w:tcPr>
            <w:tcW w:type="pct" w:w="20%"/>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How often</w:t>
            </w:r>
          </w:p>
        </w:tc>
      </w:tr>
      <w:tr>
        <w:tc>
          <w:tcPr>
            <w:tcW w:type="pct" w:w="2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Property buyers and sellers</w:t>
            </w:r>
          </w:p>
        </w:tc>
        <w:tc>
          <w:tcPr>
            <w:tcW w:type="pct" w:w="5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About to register a sale and need the </w:t>
            </w:r>
            <w:r>
              <w:rPr>
                <w:rFonts w:ascii="Shruti" w:cs="Shruti" w:eastAsia="Shruti" w:hAnsi="Shruti"/>
                <w:b w:val="false"/>
                <w:bCs w:val="false"/>
                <w:color w:val="1B2430"/>
                <w:sz w:val="19"/>
                <w:szCs w:val="19"/>
              </w:rPr>
              <w:t xml:space="preserve">બાનાખત </w:t>
            </w:r>
            <w:r>
              <w:rPr>
                <w:rFonts w:ascii="Calibri" w:cs="Calibri" w:eastAsia="Calibri" w:hAnsi="Calibri"/>
                <w:b w:val="false"/>
                <w:bCs w:val="false"/>
                <w:color w:val="1B2430"/>
                <w:sz w:val="19"/>
                <w:szCs w:val="19"/>
              </w:rPr>
              <w:t xml:space="preserve">and </w:t>
            </w:r>
            <w:r>
              <w:rPr>
                <w:rFonts w:ascii="Shruti" w:cs="Shruti" w:eastAsia="Shruti" w:hAnsi="Shruti"/>
                <w:b w:val="false"/>
                <w:bCs w:val="false"/>
                <w:color w:val="1B2430"/>
                <w:sz w:val="19"/>
                <w:szCs w:val="19"/>
              </w:rPr>
              <w:t xml:space="preserve">વેચાણ દસ્તાવેજ. </w:t>
            </w:r>
            <w:r>
              <w:rPr>
                <w:rFonts w:ascii="Calibri" w:cs="Calibri" w:eastAsia="Calibri" w:hAnsi="Calibri"/>
                <w:b w:val="false"/>
                <w:bCs w:val="false"/>
                <w:color w:val="1B2430"/>
                <w:sz w:val="19"/>
                <w:szCs w:val="19"/>
              </w:rPr>
              <w:t xml:space="preserve">High stakes, high anxiety, no experience.</w:t>
            </w:r>
          </w:p>
        </w:tc>
        <w:tc>
          <w:tcPr>
            <w:tcW w:type="pct" w:w="2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Once a decade</w:t>
            </w:r>
          </w:p>
        </w:tc>
      </w:tr>
      <w:tr>
        <w:tc>
          <w:tcPr>
            <w:tcW w:type="pct" w:w="2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Families transferring property</w:t>
            </w:r>
          </w:p>
        </w:tc>
        <w:tc>
          <w:tcPr>
            <w:tcW w:type="pct" w:w="5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Gift to a child, release of an inherited share between siblings, a will. Emotional, not commercial — they want it done properly and privately.</w:t>
            </w:r>
          </w:p>
        </w:tc>
        <w:tc>
          <w:tcPr>
            <w:tcW w:type="pct" w:w="2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 few times a lifetime</w:t>
            </w:r>
          </w:p>
        </w:tc>
      </w:tr>
      <w:tr>
        <w:tc>
          <w:tcPr>
            <w:tcW w:type="pct" w:w="2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Landlords</w:t>
            </w:r>
          </w:p>
        </w:tc>
        <w:tc>
          <w:tcPr>
            <w:tcW w:type="pct" w:w="5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Letting a house or a shop on the standard 11-month agreement.</w:t>
            </w:r>
          </w:p>
        </w:tc>
        <w:tc>
          <w:tcPr>
            <w:tcW w:type="pct" w:w="2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Yearly</w:t>
            </w:r>
          </w:p>
        </w:tc>
      </w:tr>
      <w:tr>
        <w:tc>
          <w:tcPr>
            <w:tcW w:type="pct" w:w="2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Professionals — deed writers, advocates, brokers, small builders</w:t>
            </w:r>
          </w:p>
        </w:tc>
        <w:tc>
          <w:tcPr>
            <w:tcW w:type="pct" w:w="5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Draft the same documents weekly. Want speed and a clean Word file they can finish in their own style.</w:t>
            </w:r>
          </w:p>
        </w:tc>
        <w:tc>
          <w:tcPr>
            <w:tcW w:type="pct" w:w="2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Weekly</w:t>
            </w:r>
          </w:p>
        </w:tc>
      </w:tr>
    </w:tbl>
    <w:p>
      <w:pPr>
        <w:spacing w:after="120"/>
      </w:pPr>
    </w:p>
    <w:p>
      <w:pPr>
        <w:spacing w:after="140" w:line="280"/>
      </w:pPr>
      <w:r>
        <w:rPr>
          <w:rFonts w:ascii="Calibri" w:cs="Calibri" w:eastAsia="Calibri" w:hAnsi="Calibri"/>
          <w:i/>
          <w:iCs/>
          <w:color w:val="5B6472"/>
          <w:sz w:val="19"/>
          <w:szCs w:val="19"/>
        </w:rPr>
        <w:t xml:space="preserve">The first three are the story to tell in promotion. The fourth is where the repeat revenue is — worth a separate section on a website, not the headline.</w:t>
      </w:r>
    </w:p>
    <w:p>
      <w:pPr>
        <w:pStyle w:val="Heading1"/>
        <w:pBdr>
          <w:bottom w:val="single" w:color="DDD9CF" w:sz="6" w:space="6"/>
        </w:pBdr>
        <w:spacing w:after="160" w:before="400"/>
      </w:pPr>
      <w:r>
        <w:rPr>
          <w:rFonts w:ascii="Calibri" w:cs="Calibri" w:eastAsia="Calibri" w:hAnsi="Calibri"/>
          <w:b/>
          <w:bCs/>
          <w:color w:val="1F4E79"/>
          <w:sz w:val="30"/>
          <w:szCs w:val="30"/>
        </w:rPr>
        <w:t xml:space="preserve">4. How it works</w:t>
      </w:r>
    </w:p>
    <w:p>
      <w:pPr>
        <w:pStyle w:val="ListParagraph"/>
        <w:numPr>
          <w:ilvl w:val="0"/>
          <w:numId w:val="2"/>
        </w:numPr>
        <w:spacing w:after="80" w:line="290"/>
      </w:pPr>
      <w:r>
        <w:rPr>
          <w:rFonts w:ascii="Calibri" w:cs="Calibri" w:eastAsia="Calibri" w:hAnsi="Calibri"/>
          <w:b/>
          <w:bCs/>
          <w:color w:val="1B2430"/>
          <w:sz w:val="21"/>
          <w:szCs w:val="21"/>
        </w:rPr>
        <w:t xml:space="preserve">Pick a document.</w:t>
      </w:r>
      <w:r>
        <w:rPr>
          <w:rFonts w:ascii="Calibri" w:cs="Calibri" w:eastAsia="Calibri" w:hAnsi="Calibri"/>
          <w:color w:val="1B2430"/>
          <w:sz w:val="21"/>
          <w:szCs w:val="21"/>
        </w:rPr>
        <w:t xml:space="preserve"> The catalog at /documents groups all eight by purpose — lease, sale, authority, declaration, family.</w:t>
      </w:r>
    </w:p>
    <w:p>
      <w:pPr>
        <w:pStyle w:val="ListParagraph"/>
        <w:numPr>
          <w:ilvl w:val="0"/>
          <w:numId w:val="2"/>
        </w:numPr>
        <w:spacing w:after="80" w:line="290"/>
      </w:pPr>
      <w:r>
        <w:rPr>
          <w:rFonts w:ascii="Calibri" w:cs="Calibri" w:eastAsia="Calibri" w:hAnsi="Calibri"/>
          <w:b/>
          <w:bCs/>
          <w:color w:val="1B2430"/>
          <w:sz w:val="21"/>
          <w:szCs w:val="21"/>
        </w:rPr>
        <w:t xml:space="preserve">Answer the form.</w:t>
      </w:r>
      <w:r>
        <w:rPr>
          <w:rFonts w:ascii="Calibri" w:cs="Calibri" w:eastAsia="Calibri" w:hAnsi="Calibri"/>
          <w:color w:val="1B2430"/>
          <w:sz w:val="21"/>
          <w:szCs w:val="21"/>
        </w:rPr>
        <w:t xml:space="preserve"> Every question carries both a Gujarati and an English label, so someone who reads English can still produce a Gujarati deed. A completeness meter shows what is still missing. Work is saved automatically in the browser.</w:t>
      </w:r>
    </w:p>
    <w:p>
      <w:pPr>
        <w:pStyle w:val="ListParagraph"/>
        <w:numPr>
          <w:ilvl w:val="0"/>
          <w:numId w:val="2"/>
        </w:numPr>
        <w:spacing w:after="80" w:line="290"/>
      </w:pPr>
      <w:r>
        <w:rPr>
          <w:rFonts w:ascii="Calibri" w:cs="Calibri" w:eastAsia="Calibri" w:hAnsi="Calibri"/>
          <w:b/>
          <w:bCs/>
          <w:color w:val="1B2430"/>
          <w:sz w:val="21"/>
          <w:szCs w:val="21"/>
        </w:rPr>
        <w:t xml:space="preserve">Watch it build.</w:t>
      </w:r>
      <w:r>
        <w:rPr>
          <w:rFonts w:ascii="Calibri" w:cs="Calibri" w:eastAsia="Calibri" w:hAnsi="Calibri"/>
          <w:color w:val="1B2430"/>
          <w:sz w:val="21"/>
          <w:szCs w:val="21"/>
        </w:rPr>
        <w:t xml:space="preserve"> The finished deed renders live beside the form, on a page laid out like the real thing — stamp space at the top, numbered clauses, property schedule, signature and witness blocks. Empty answers show as ____ so a half-filled draft still reads like a deed form.</w:t>
      </w:r>
    </w:p>
    <w:p>
      <w:pPr>
        <w:pStyle w:val="ListParagraph"/>
        <w:numPr>
          <w:ilvl w:val="0"/>
          <w:numId w:val="2"/>
        </w:numPr>
        <w:spacing w:after="80" w:line="290"/>
      </w:pPr>
      <w:r>
        <w:rPr>
          <w:rFonts w:ascii="Calibri" w:cs="Calibri" w:eastAsia="Calibri" w:hAnsi="Calibri"/>
          <w:b/>
          <w:bCs/>
          <w:color w:val="1B2430"/>
          <w:sz w:val="21"/>
          <w:szCs w:val="21"/>
        </w:rPr>
        <w:t xml:space="preserve">Take it away.</w:t>
      </w:r>
      <w:r>
        <w:rPr>
          <w:rFonts w:ascii="Calibri" w:cs="Calibri" w:eastAsia="Calibri" w:hAnsi="Calibri"/>
          <w:color w:val="1B2430"/>
          <w:sz w:val="21"/>
          <w:szCs w:val="21"/>
        </w:rPr>
        <w:t xml:space="preserve"> Print it directly, or download an editable .docx to hand to an advocate or deed writer.</w:t>
      </w:r>
    </w:p>
    <w:p>
      <w:pPr>
        <w:spacing w:after="120"/>
      </w:pPr>
    </w:p>
    <w:p>
      <w:pPr>
        <w:spacing w:after="140" w:line="280"/>
      </w:pPr>
      <w:r>
        <w:rPr>
          <w:rFonts w:ascii="Calibri" w:cs="Calibri" w:eastAsia="Calibri" w:hAnsi="Calibri"/>
          <w:i/>
          <w:iCs/>
          <w:color w:val="5B6472"/>
          <w:sz w:val="19"/>
          <w:szCs w:val="19"/>
        </w:rPr>
        <w:t xml:space="preserve">Screens to capture for this section are listed in section 13.</w:t>
      </w:r>
    </w:p>
    <w:p>
      <w:pPr>
        <w:pStyle w:val="Heading1"/>
        <w:pBdr>
          <w:bottom w:val="single" w:color="DDD9CF" w:sz="6" w:space="6"/>
        </w:pBdr>
        <w:spacing w:after="160" w:before="400"/>
      </w:pPr>
      <w:r>
        <w:rPr>
          <w:rFonts w:ascii="Calibri" w:cs="Calibri" w:eastAsia="Calibri" w:hAnsi="Calibri"/>
          <w:b/>
          <w:bCs/>
          <w:color w:val="1F4E79"/>
          <w:sz w:val="30"/>
          <w:szCs w:val="30"/>
        </w:rPr>
        <w:t xml:space="preserve">5. The eight documents</w:t>
      </w:r>
    </w:p>
    <w:p>
      <w:pPr>
        <w:spacing w:after="140" w:line="300"/>
      </w:pPr>
      <w:r>
        <w:rPr>
          <w:rFonts w:ascii="Calibri" w:cs="Calibri" w:eastAsia="Calibri" w:hAnsi="Calibri"/>
          <w:color w:val="1B2430"/>
          <w:sz w:val="21"/>
          <w:szCs w:val="21"/>
        </w:rPr>
        <w:t xml:space="preserve">Names exactly as the app shows them. Use the Gujarati name first in any Gujarati-facing material.</w:t>
      </w:r>
    </w:p>
    <w:p>
      <w:pPr>
        <w:spacing w:after="60"/>
      </w:pPr>
    </w:p>
    <w:tbl>
      <w:tblPr>
        <w:tblW w:type="pct" w:w="100%"/>
        <w:tblBorders>
          <w:top w:val="single" w:color="DDD9CF" w:sz="4"/>
          <w:left w:val="single" w:color="DDD9CF" w:sz="4"/>
          <w:bottom w:val="single" w:color="DDD9CF" w:sz="4"/>
          <w:right w:val="single" w:color="DDD9CF" w:sz="4"/>
          <w:insideH w:val="single" w:color="DDD9CF" w:sz="4"/>
          <w:insideV w:val="single" w:color="DDD9CF" w:sz="4"/>
        </w:tblBorders>
      </w:tblPr>
      <w:tblGrid>
        <w:gridCol w:w="100"/>
        <w:gridCol w:w="100"/>
        <w:gridCol w:w="100"/>
        <w:gridCol w:w="100"/>
      </w:tblGrid>
      <w:tr>
        <w:trPr>
          <w:tblHeader/>
        </w:trPr>
        <w:tc>
          <w:tcPr>
            <w:tcW w:type="pct" w:w="16%"/>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Document</w:t>
            </w:r>
          </w:p>
        </w:tc>
        <w:tc>
          <w:tcPr>
            <w:tcW w:type="pct" w:w="20%"/>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English</w:t>
            </w:r>
          </w:p>
        </w:tc>
        <w:tc>
          <w:tcPr>
            <w:tcW w:type="pct" w:w="42%"/>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What it does</w:t>
            </w:r>
          </w:p>
        </w:tc>
        <w:tc>
          <w:tcPr>
            <w:tcW w:type="pct" w:w="22%"/>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Choices offered</w:t>
            </w:r>
          </w:p>
        </w:tc>
      </w:tr>
      <w:tr>
        <w:tc>
          <w:tcPr>
            <w:tcW w:type="pct" w:w="16%"/>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ભાડા કરાર</w:t>
            </w:r>
          </w:p>
        </w:tc>
        <w:tc>
          <w:tcPr>
            <w:tcW w:type="pct" w:w="2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Rent agreement (leave &amp; licence)</w:t>
            </w:r>
          </w:p>
        </w:tc>
        <w:tc>
          <w:tcPr>
            <w:tcW w:type="pct" w:w="4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standard 11-month agreement for letting out a house or shop — term, rent, deposit and conditions.</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Residential or commercial</w:t>
            </w:r>
          </w:p>
        </w:tc>
      </w:tr>
      <w:tr>
        <w:tc>
          <w:tcPr>
            <w:tcW w:type="pct" w:w="16%"/>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બાનાખત</w:t>
            </w:r>
          </w:p>
        </w:tc>
        <w:tc>
          <w:tcPr>
            <w:tcW w:type="pct" w:w="2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Agreement to sell</w:t>
            </w:r>
          </w:p>
        </w:tc>
        <w:tc>
          <w:tcPr>
            <w:tcW w:type="pct" w:w="4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earnest-money agreement made before the sale deed.</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With or without possession</w:t>
            </w:r>
          </w:p>
        </w:tc>
      </w:tr>
      <w:tr>
        <w:tc>
          <w:tcPr>
            <w:tcW w:type="pct" w:w="16%"/>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વેચાણ દસ્તાવેજ</w:t>
            </w:r>
          </w:p>
        </w:tc>
        <w:tc>
          <w:tcPr>
            <w:tcW w:type="pct" w:w="2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Sale deed</w:t>
            </w:r>
          </w:p>
        </w:tc>
        <w:tc>
          <w:tcPr>
            <w:tcW w:type="pct" w:w="4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main deed transferring ownership of property.</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Agricultural land, NA open plot, or house/flat</w:t>
            </w:r>
          </w:p>
        </w:tc>
      </w:tr>
      <w:tr>
        <w:tc>
          <w:tcPr>
            <w:tcW w:type="pct" w:w="16%"/>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બક્ષિસ દસ્તાવેજ</w:t>
            </w:r>
          </w:p>
        </w:tc>
        <w:tc>
          <w:tcPr>
            <w:tcW w:type="pct" w:w="2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Gift deed</w:t>
            </w:r>
          </w:p>
        </w:tc>
        <w:tc>
          <w:tcPr>
            <w:tcW w:type="pct" w:w="4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Transfers property to a loved one out of love and affection, without consideration.</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Full or partial share</w:t>
            </w:r>
          </w:p>
        </w:tc>
      </w:tr>
      <w:tr>
        <w:tc>
          <w:tcPr>
            <w:tcW w:type="pct" w:w="16%"/>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રીલીઝ લેખ (હક કમી)</w:t>
            </w:r>
          </w:p>
        </w:tc>
        <w:tc>
          <w:tcPr>
            <w:tcW w:type="pct" w:w="2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Release / relinquishment deed</w:t>
            </w:r>
          </w:p>
        </w:tc>
        <w:tc>
          <w:tcPr>
            <w:tcW w:type="pct" w:w="4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Releases your share in inherited property in favour of a co-heir.</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With or without consideration</w:t>
            </w:r>
          </w:p>
        </w:tc>
      </w:tr>
      <w:tr>
        <w:tc>
          <w:tcPr>
            <w:tcW w:type="pct" w:w="16%"/>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વસિયતનામું</w:t>
            </w:r>
          </w:p>
        </w:tc>
        <w:tc>
          <w:tcPr>
            <w:tcW w:type="pct" w:w="2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Will</w:t>
            </w:r>
          </w:p>
        </w:tc>
        <w:tc>
          <w:tcPr>
            <w:tcW w:type="pct" w:w="4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Directs how your property passes after your lifetime — with property lists, beneficiaries and an executor.</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Immovable and movable schedules</w:t>
            </w:r>
          </w:p>
        </w:tc>
      </w:tr>
      <w:tr>
        <w:tc>
          <w:tcPr>
            <w:tcW w:type="pct" w:w="16%"/>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કુલમુખત્યારનામું</w:t>
            </w:r>
          </w:p>
        </w:tc>
        <w:tc>
          <w:tcPr>
            <w:tcW w:type="pct" w:w="2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General power of attorney</w:t>
            </w:r>
          </w:p>
        </w:tc>
        <w:tc>
          <w:tcPr>
            <w:tcW w:type="pct" w:w="4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Authorises someone for property management, government offices, banking and court matters.</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Power of sale on or off</w:t>
            </w:r>
          </w:p>
        </w:tc>
      </w:tr>
      <w:tr>
        <w:tc>
          <w:tcPr>
            <w:tcW w:type="pct" w:w="16%"/>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સોગંદનામું</w:t>
            </w:r>
          </w:p>
        </w:tc>
        <w:tc>
          <w:tcPr>
            <w:tcW w:type="pct" w:w="2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Affidavit</w:t>
            </w:r>
          </w:p>
        </w:tc>
        <w:tc>
          <w:tcPr>
            <w:tcW w:type="pct" w:w="4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General sworn declaration before a notary — property, name mismatch, residence, anything.</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Up to 10 numbered statements</w:t>
            </w:r>
          </w:p>
        </w:tc>
      </w:tr>
    </w:tbl>
    <w:p>
      <w:pPr>
        <w:spacing w:after="120"/>
      </w:pPr>
    </w:p>
    <w:p>
      <w:pPr>
        <w:spacing w:after="140" w:line="300"/>
      </w:pPr>
      <w:r>
        <w:rPr>
          <w:rFonts w:ascii="Calibri" w:cs="Calibri" w:eastAsia="Calibri" w:hAnsi="Calibri"/>
          <w:color w:val="1B2430"/>
          <w:sz w:val="21"/>
          <w:szCs w:val="21"/>
        </w:rPr>
        <w:t xml:space="preserve">Seven of the eight offer both a Gujarati and an English version of the finished document. </w:t>
      </w:r>
      <w:r>
        <w:rPr>
          <w:rFonts w:ascii="Shruti" w:cs="Shruti" w:eastAsia="Shruti" w:hAnsi="Shruti"/>
          <w:b/>
          <w:bCs/>
          <w:color w:val="1B2430"/>
          <w:sz w:val="21"/>
          <w:szCs w:val="21"/>
        </w:rPr>
        <w:t xml:space="preserve">રીલીઝ લેખ </w:t>
      </w:r>
      <w:r>
        <w:rPr>
          <w:rFonts w:ascii="Calibri" w:cs="Calibri" w:eastAsia="Calibri" w:hAnsi="Calibri"/>
          <w:b/>
          <w:bCs/>
          <w:color w:val="1B2430"/>
          <w:sz w:val="21"/>
          <w:szCs w:val="21"/>
        </w:rPr>
        <w:t xml:space="preserve">is Gujarati only</w:t>
      </w:r>
      <w:r>
        <w:rPr>
          <w:rFonts w:ascii="Calibri" w:cs="Calibri" w:eastAsia="Calibri" w:hAnsi="Calibri"/>
          <w:color w:val="1B2430"/>
          <w:sz w:val="21"/>
          <w:szCs w:val="21"/>
        </w:rPr>
        <w:t xml:space="preserve"> — the model drafts for it exist only in Gujarati.</w:t>
      </w:r>
    </w:p>
    <w:p>
      <w:pPr>
        <w:pStyle w:val="Heading1"/>
        <w:pBdr>
          <w:bottom w:val="single" w:color="DDD9CF" w:sz="6" w:space="6"/>
        </w:pBdr>
        <w:spacing w:after="160" w:before="400"/>
      </w:pPr>
      <w:r>
        <w:rPr>
          <w:rFonts w:ascii="Calibri" w:cs="Calibri" w:eastAsia="Calibri" w:hAnsi="Calibri"/>
          <w:b/>
          <w:bCs/>
          <w:color w:val="1F4E79"/>
          <w:sz w:val="30"/>
          <w:szCs w:val="30"/>
        </w:rPr>
        <w:t xml:space="preserve">6. What makes it different</w:t>
      </w:r>
    </w:p>
    <w:p>
      <w:pPr>
        <w:spacing w:after="140" w:line="300"/>
      </w:pPr>
      <w:r>
        <w:rPr>
          <w:rFonts w:ascii="Calibri" w:cs="Calibri" w:eastAsia="Calibri" w:hAnsi="Calibri"/>
          <w:color w:val="1B2430"/>
          <w:sz w:val="21"/>
          <w:szCs w:val="21"/>
        </w:rPr>
        <w:t xml:space="preserve">Six claims, each with the thing that backs it up. Do not use a claim without its proof — every one of these is checkable.</w:t>
      </w:r>
    </w:p>
    <w:p>
      <w:pPr>
        <w:spacing w:after="60"/>
      </w:pPr>
    </w:p>
    <w:tbl>
      <w:tblPr>
        <w:tblW w:type="pct" w:w="100%"/>
        <w:tblBorders>
          <w:top w:val="single" w:color="DDD9CF" w:sz="4"/>
          <w:left w:val="single" w:color="DDD9CF" w:sz="4"/>
          <w:bottom w:val="single" w:color="DDD9CF" w:sz="4"/>
          <w:right w:val="single" w:color="DDD9CF" w:sz="4"/>
          <w:insideH w:val="single" w:color="DDD9CF" w:sz="4"/>
          <w:insideV w:val="single" w:color="DDD9CF" w:sz="4"/>
        </w:tblBorders>
      </w:tblPr>
      <w:tblGrid>
        <w:gridCol w:w="100"/>
        <w:gridCol w:w="100"/>
      </w:tblGrid>
      <w:tr>
        <w:trPr>
          <w:tblHeader/>
        </w:trPr>
        <w:tc>
          <w:tcPr>
            <w:tcW w:type="pct" w:w="30%"/>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Claim</w:t>
            </w:r>
          </w:p>
        </w:tc>
        <w:tc>
          <w:tcPr>
            <w:tcW w:type="pct" w:w="70%"/>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Why it is true</w:t>
            </w:r>
          </w:p>
        </w:tc>
      </w:tr>
      <w:tr>
        <w:tc>
          <w:tcPr>
            <w:tcW w:type="pct" w:w="30%"/>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It writes real Gujarati, not translated Gujarati</w:t>
            </w:r>
          </w:p>
        </w:tc>
        <w:tc>
          <w:tcPr>
            <w:tcW w:type="pct" w:w="7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Amounts come out in the Indian system as a deed writes them — </w:t>
            </w:r>
            <w:r>
              <w:rPr>
                <w:rFonts w:ascii="Shruti" w:cs="Shruti" w:eastAsia="Shruti" w:hAnsi="Shruti"/>
                <w:b w:val="false"/>
                <w:bCs w:val="false"/>
                <w:color w:val="1B2430"/>
                <w:sz w:val="19"/>
                <w:szCs w:val="19"/>
              </w:rPr>
              <w:t xml:space="preserve">રૂ. ૫,૫૦,૦૦૦/- (અંકે રૂપિયા પાંચ લાખ પચાસ હજાર પૂરા). </w:t>
            </w:r>
            <w:r>
              <w:rPr>
                <w:rFonts w:ascii="Calibri" w:cs="Calibri" w:eastAsia="Calibri" w:hAnsi="Calibri"/>
                <w:b w:val="false"/>
                <w:bCs w:val="false"/>
                <w:color w:val="1B2430"/>
                <w:sz w:val="19"/>
                <w:szCs w:val="19"/>
              </w:rPr>
              <w:t xml:space="preserve">Dates come out as </w:t>
            </w:r>
            <w:r>
              <w:rPr>
                <w:rFonts w:ascii="Shruti" w:cs="Shruti" w:eastAsia="Shruti" w:hAnsi="Shruti"/>
                <w:b w:val="false"/>
                <w:bCs w:val="false"/>
                <w:color w:val="1B2430"/>
                <w:sz w:val="19"/>
                <w:szCs w:val="19"/>
              </w:rPr>
              <w:t xml:space="preserve">તા. ૧૮મી ઓગસ્ટ, ૨૦૨૬ ને સોમવાર. </w:t>
            </w:r>
            <w:r>
              <w:rPr>
                <w:rFonts w:ascii="Calibri" w:cs="Calibri" w:eastAsia="Calibri" w:hAnsi="Calibri"/>
                <w:b w:val="false"/>
                <w:bCs w:val="false"/>
                <w:color w:val="1B2430"/>
                <w:sz w:val="19"/>
                <w:szCs w:val="19"/>
              </w:rPr>
              <w:t xml:space="preserve">Ages use </w:t>
            </w:r>
            <w:r>
              <w:rPr>
                <w:rFonts w:ascii="Shruti" w:cs="Shruti" w:eastAsia="Shruti" w:hAnsi="Shruti"/>
                <w:b w:val="false"/>
                <w:bCs w:val="false"/>
                <w:color w:val="1B2430"/>
                <w:sz w:val="19"/>
                <w:szCs w:val="19"/>
              </w:rPr>
              <w:t xml:space="preserve">ઉ.વ.આ. </w:t>
            </w:r>
            <w:r>
              <w:rPr>
                <w:rFonts w:ascii="Calibri" w:cs="Calibri" w:eastAsia="Calibri" w:hAnsi="Calibri"/>
                <w:b w:val="false"/>
                <w:bCs w:val="false"/>
                <w:color w:val="1B2430"/>
                <w:sz w:val="19"/>
                <w:szCs w:val="19"/>
              </w:rPr>
              <w:t xml:space="preserve">Numerals are Gujarati throughout. This is the phrasing a sub-registrar expects, and it is the hardest part to copy.</w:t>
            </w:r>
          </w:p>
        </w:tc>
      </w:tr>
      <w:tr>
        <w:tc>
          <w:tcPr>
            <w:tcW w:type="pct" w:w="30%"/>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The formats are the government's own</w:t>
            </w:r>
          </w:p>
        </w:tc>
        <w:tc>
          <w:tcPr>
            <w:tcW w:type="pct" w:w="7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Encoded from the Gujarat registration department's model drafts (</w:t>
            </w:r>
            <w:r>
              <w:rPr>
                <w:rFonts w:ascii="Shruti" w:cs="Shruti" w:eastAsia="Shruti" w:hAnsi="Shruti"/>
                <w:b w:val="false"/>
                <w:bCs w:val="false"/>
                <w:color w:val="1B2430"/>
                <w:sz w:val="19"/>
                <w:szCs w:val="19"/>
              </w:rPr>
              <w:t xml:space="preserve">મોડેલ ડ્રાફ્ટ) </w:t>
            </w:r>
            <w:r>
              <w:rPr>
                <w:rFonts w:ascii="Calibri" w:cs="Calibri" w:eastAsia="Calibri" w:hAnsi="Calibri"/>
                <w:b w:val="false"/>
                <w:bCs w:val="false"/>
                <w:color w:val="1B2430"/>
                <w:sz w:val="19"/>
                <w:szCs w:val="19"/>
              </w:rPr>
              <w:t xml:space="preserve">published on the Garvi portal — the same formats sub-registrar offices hand out. Nothing was invented. See section 7.</w:t>
            </w:r>
          </w:p>
        </w:tc>
      </w:tr>
      <w:tr>
        <w:tc>
          <w:tcPr>
            <w:tcW w:type="pct" w:w="30%"/>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You can read the form in English and still get a Gujarati deed</w:t>
            </w:r>
          </w:p>
        </w:tc>
        <w:tc>
          <w:tcPr>
            <w:tcW w:type="pct" w:w="7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Every question carries both labels, and a toggle switches which one leads. The document language is a separate choice from the interface language.</w:t>
            </w:r>
          </w:p>
        </w:tc>
      </w:tr>
      <w:tr>
        <w:tc>
          <w:tcPr>
            <w:tcW w:type="pct" w:w="30%"/>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You can type Gujarati without a Gujarati keyboard</w:t>
            </w:r>
          </w:p>
        </w:tc>
        <w:tc>
          <w:tcPr>
            <w:tcW w:type="pct" w:w="7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 per-field typing assist converts Latin typing into Gujarati script at word boundaries. Off by default, switched on field by field. If the service is unreachable the text simply stays as typed.</w:t>
            </w:r>
          </w:p>
        </w:tc>
      </w:tr>
      <w:tr>
        <w:tc>
          <w:tcPr>
            <w:tcW w:type="pct" w:w="30%"/>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You get an editable Word file, not a locked PDF</w:t>
            </w:r>
          </w:p>
        </w:tc>
        <w:tc>
          <w:tcPr>
            <w:tcW w:type="pct" w:w="7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Many people take the draft to an advocate or deed writer for final touches. The .docx is A4 with the wide left binding margin deeds use, and stays fully editable.</w:t>
            </w:r>
          </w:p>
        </w:tc>
      </w:tr>
      <w:tr>
        <w:tc>
          <w:tcPr>
            <w:tcW w:type="pct" w:w="30%"/>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Every document carries a stamp-duty note</w:t>
            </w:r>
          </w:p>
        </w:tc>
        <w:tc>
          <w:tcPr>
            <w:tcW w:type="pct" w:w="7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Each template shows what stamp duty and registration to expect — always phrased as guidance to verify, never as a final figure. See section 11 on how to word this.</w:t>
            </w:r>
          </w:p>
        </w:tc>
      </w:tr>
    </w:tbl>
    <w:p>
      <w:pPr>
        <w:pStyle w:val="Heading1"/>
        <w:pBdr>
          <w:bottom w:val="single" w:color="DDD9CF" w:sz="6" w:space="6"/>
        </w:pBdr>
        <w:spacing w:after="160" w:before="400"/>
      </w:pPr>
      <w:r>
        <w:rPr>
          <w:rFonts w:ascii="Calibri" w:cs="Calibri" w:eastAsia="Calibri" w:hAnsi="Calibri"/>
          <w:b/>
          <w:bCs/>
          <w:color w:val="1F4E79"/>
          <w:sz w:val="30"/>
          <w:szCs w:val="30"/>
        </w:rPr>
        <w:t xml:space="preserve">7. Where the templates come from</w:t>
      </w:r>
    </w:p>
    <w:p>
      <w:pPr>
        <w:spacing w:after="140" w:line="300"/>
      </w:pPr>
      <w:r>
        <w:rPr>
          <w:rFonts w:ascii="Calibri" w:cs="Calibri" w:eastAsia="Calibri" w:hAnsi="Calibri"/>
          <w:color w:val="1B2430"/>
          <w:sz w:val="21"/>
          <w:szCs w:val="21"/>
        </w:rPr>
        <w:t xml:space="preserve">This is the trust story, and it is worth telling plainly. The Gujarat registration department publishes official model drafts on the Garvi portal. Those drafts were mirrored and encoded one by one; each template in the code records which source document it came from.</w:t>
      </w:r>
    </w:p>
    <w:p>
      <w:pPr>
        <w:pStyle w:val="ListParagraph"/>
        <w:numPr>
          <w:ilvl w:val="0"/>
          <w:numId w:val="1"/>
        </w:numPr>
        <w:spacing w:after="80" w:line="290"/>
      </w:pPr>
      <w:r>
        <w:rPr>
          <w:rFonts w:ascii="Calibri" w:cs="Calibri" w:eastAsia="Calibri" w:hAnsi="Calibri"/>
          <w:b/>
          <w:bCs/>
          <w:color w:val="1B2430"/>
          <w:sz w:val="21"/>
          <w:szCs w:val="21"/>
        </w:rPr>
        <w:t xml:space="preserve">Six are encoded from official model drafts:</w:t>
      </w:r>
      <w:r>
        <w:rPr>
          <w:rFonts w:ascii="Calibri" w:cs="Calibri" w:eastAsia="Calibri" w:hAnsi="Calibri"/>
          <w:color w:val="1B2430"/>
          <w:sz w:val="21"/>
          <w:szCs w:val="21"/>
        </w:rPr>
        <w:t xml:space="preserve"> </w:t>
      </w:r>
      <w:r>
        <w:rPr>
          <w:rFonts w:ascii="Shruti" w:cs="Shruti" w:eastAsia="Shruti" w:hAnsi="Shruti"/>
          <w:color w:val="1B2430"/>
          <w:sz w:val="21"/>
          <w:szCs w:val="21"/>
        </w:rPr>
        <w:t xml:space="preserve">બાનાખત, વેચાણ દસ્તાવેજ, બક્ષિસ દસ્તાવેજ, રીલીઝ લેખ, વસિયતનામું, કુલમુખત્યારનામું. </w:t>
      </w:r>
      <w:r>
        <w:rPr>
          <w:rFonts w:ascii="Calibri" w:cs="Calibri" w:eastAsia="Calibri" w:hAnsi="Calibri"/>
          <w:color w:val="1B2430"/>
          <w:sz w:val="21"/>
          <w:szCs w:val="21"/>
        </w:rPr>
        <w:t xml:space="preserve">Where the department publishes more than one variant — banakhat with and without possession, four kinds of sale deed — every variant is covered.</w:t>
      </w:r>
    </w:p>
    <w:p>
      <w:pPr>
        <w:pStyle w:val="ListParagraph"/>
        <w:numPr>
          <w:ilvl w:val="0"/>
          <w:numId w:val="1"/>
        </w:numPr>
        <w:spacing w:after="80" w:line="290"/>
      </w:pPr>
      <w:r>
        <w:rPr>
          <w:rFonts w:ascii="Calibri" w:cs="Calibri" w:eastAsia="Calibri" w:hAnsi="Calibri"/>
          <w:b/>
          <w:bCs/>
          <w:color w:val="1B2430"/>
          <w:sz w:val="21"/>
          <w:szCs w:val="21"/>
        </w:rPr>
        <w:t xml:space="preserve">Two follow the customary format</w:t>
      </w:r>
      <w:r>
        <w:rPr>
          <w:rFonts w:ascii="Calibri" w:cs="Calibri" w:eastAsia="Calibri" w:hAnsi="Calibri"/>
          <w:color w:val="1B2430"/>
          <w:sz w:val="21"/>
          <w:szCs w:val="21"/>
        </w:rPr>
        <w:t xml:space="preserve"> because no official model draft exists for them: </w:t>
      </w:r>
      <w:r>
        <w:rPr>
          <w:rFonts w:ascii="Shruti" w:cs="Shruti" w:eastAsia="Shruti" w:hAnsi="Shruti"/>
          <w:color w:val="1B2430"/>
          <w:sz w:val="21"/>
          <w:szCs w:val="21"/>
        </w:rPr>
        <w:t xml:space="preserve">ભાડા કરાર (</w:t>
      </w:r>
      <w:r>
        <w:rPr>
          <w:rFonts w:ascii="Calibri" w:cs="Calibri" w:eastAsia="Calibri" w:hAnsi="Calibri"/>
          <w:color w:val="1B2430"/>
          <w:sz w:val="21"/>
          <w:szCs w:val="21"/>
        </w:rPr>
        <w:t xml:space="preserve">the standard 11-month leave-and-licence format in general use) and </w:t>
      </w:r>
      <w:r>
        <w:rPr>
          <w:rFonts w:ascii="Shruti" w:cs="Shruti" w:eastAsia="Shruti" w:hAnsi="Shruti"/>
          <w:color w:val="1B2430"/>
          <w:sz w:val="21"/>
          <w:szCs w:val="21"/>
        </w:rPr>
        <w:t xml:space="preserve">સોગંદનામું (</w:t>
      </w:r>
      <w:r>
        <w:rPr>
          <w:rFonts w:ascii="Calibri" w:cs="Calibri" w:eastAsia="Calibri" w:hAnsi="Calibri"/>
          <w:color w:val="1B2430"/>
          <w:sz w:val="21"/>
          <w:szCs w:val="21"/>
        </w:rPr>
        <w:t xml:space="preserve">the ordinary affidavit frame used before a notary). Say so if the question comes up; do not describe these two as government formats.</w:t>
      </w:r>
    </w:p>
    <w:p>
      <w:pPr>
        <w:spacing w:after="120"/>
      </w:pPr>
    </w:p>
    <w:p>
      <w:pPr>
        <w:spacing w:after="140" w:line="300"/>
      </w:pPr>
      <w:r>
        <w:rPr>
          <w:rFonts w:ascii="Calibri" w:cs="Calibri" w:eastAsia="Calibri" w:hAnsi="Calibri"/>
          <w:b/>
          <w:bCs/>
          <w:color w:val="1B2430"/>
          <w:sz w:val="21"/>
          <w:szCs w:val="21"/>
        </w:rPr>
        <w:t xml:space="preserve">Legal review is in progress.</w:t>
      </w:r>
      <w:r>
        <w:rPr>
          <w:rFonts w:ascii="Calibri" w:cs="Calibri" w:eastAsia="Calibri" w:hAnsi="Calibri"/>
          <w:color w:val="1B2430"/>
          <w:sz w:val="21"/>
          <w:szCs w:val="21"/>
        </w:rPr>
        <w:t xml:space="preserve"> One review pack per template — the blank template plus every question the app asks — has been prepared for an advocate to check. Until that review is signed off, do not write "lawyer-verified", "lawyer-approved" or anything similar. Once it is, that becomes the single strongest line in the whole product.</w:t>
      </w:r>
    </w:p>
    <w:p>
      <w:pPr>
        <w:pStyle w:val="Heading1"/>
        <w:pBdr>
          <w:bottom w:val="single" w:color="DDD9CF" w:sz="6" w:space="6"/>
        </w:pBdr>
        <w:spacing w:after="160" w:before="400"/>
      </w:pPr>
      <w:r>
        <w:rPr>
          <w:rFonts w:ascii="Calibri" w:cs="Calibri" w:eastAsia="Calibri" w:hAnsi="Calibri"/>
          <w:b/>
          <w:bCs/>
          <w:color w:val="1F4E79"/>
          <w:sz w:val="30"/>
          <w:szCs w:val="30"/>
        </w:rPr>
        <w:t xml:space="preserve">8. Feature checklist</w:t>
      </w:r>
    </w:p>
    <w:p>
      <w:pPr>
        <w:spacing w:after="140" w:line="300"/>
      </w:pPr>
      <w:r>
        <w:rPr>
          <w:rFonts w:ascii="Calibri" w:cs="Calibri" w:eastAsia="Calibri" w:hAnsi="Calibri"/>
          <w:color w:val="1B2430"/>
          <w:sz w:val="21"/>
          <w:szCs w:val="21"/>
        </w:rPr>
        <w:t xml:space="preserve">The spec sheet. Everything here works today.</w:t>
      </w:r>
    </w:p>
    <w:p>
      <w:pPr>
        <w:spacing w:after="60"/>
      </w:pPr>
    </w:p>
    <w:tbl>
      <w:tblPr>
        <w:tblW w:type="pct" w:w="100%"/>
        <w:tblBorders>
          <w:top w:val="single" w:color="DDD9CF" w:sz="4"/>
          <w:left w:val="single" w:color="DDD9CF" w:sz="4"/>
          <w:bottom w:val="single" w:color="DDD9CF" w:sz="4"/>
          <w:right w:val="single" w:color="DDD9CF" w:sz="4"/>
          <w:insideH w:val="single" w:color="DDD9CF" w:sz="4"/>
          <w:insideV w:val="single" w:color="DDD9CF" w:sz="4"/>
        </w:tblBorders>
      </w:tblPr>
      <w:tblGrid>
        <w:gridCol w:w="100"/>
        <w:gridCol w:w="100"/>
      </w:tblGrid>
      <w:tr>
        <w:trPr>
          <w:tblHeader/>
        </w:trPr>
        <w:tc>
          <w:tcPr>
            <w:tcW w:type="pct" w:w="28%"/>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Feature</w:t>
            </w:r>
          </w:p>
        </w:tc>
        <w:tc>
          <w:tcPr>
            <w:tcW w:type="pct" w:w="72%"/>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Detail</w:t>
            </w:r>
          </w:p>
        </w:tc>
      </w:tr>
      <w:tr>
        <w:tc>
          <w:tcPr>
            <w:tcW w:type="pct" w:w="2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Documents</w:t>
            </w:r>
          </w:p>
        </w:tc>
        <w:tc>
          <w:tcPr>
            <w:tcW w:type="pct" w:w="7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8 templates, covering lease, sale, authority, declaration and family transfers</w:t>
            </w:r>
          </w:p>
        </w:tc>
      </w:tr>
      <w:tr>
        <w:tc>
          <w:tcPr>
            <w:tcW w:type="pct" w:w="2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Document language</w:t>
            </w:r>
          </w:p>
        </w:tc>
        <w:tc>
          <w:tcPr>
            <w:tcW w:type="pct" w:w="7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Gujarati for all 8; English also available for 7</w:t>
            </w:r>
          </w:p>
        </w:tc>
      </w:tr>
      <w:tr>
        <w:tc>
          <w:tcPr>
            <w:tcW w:type="pct" w:w="2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Interface language</w:t>
            </w:r>
          </w:p>
        </w:tc>
        <w:tc>
          <w:tcPr>
            <w:tcW w:type="pct" w:w="7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Gujarati and English labels always both visible; a toggle switches which leads</w:t>
            </w:r>
          </w:p>
        </w:tc>
      </w:tr>
      <w:tr>
        <w:tc>
          <w:tcPr>
            <w:tcW w:type="pct" w:w="2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Live preview</w:t>
            </w:r>
          </w:p>
        </w:tc>
        <w:tc>
          <w:tcPr>
            <w:tcW w:type="pct" w:w="7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deed renders beside the form and updates as you type</w:t>
            </w:r>
          </w:p>
        </w:tc>
      </w:tr>
      <w:tr>
        <w:tc>
          <w:tcPr>
            <w:tcW w:type="pct" w:w="2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Blank handling</w:t>
            </w:r>
          </w:p>
        </w:tc>
        <w:tc>
          <w:tcPr>
            <w:tcW w:type="pct" w:w="7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Unanswered fields render as ____ so a partial draft still reads like a deed form</w:t>
            </w:r>
          </w:p>
        </w:tc>
      </w:tr>
      <w:tr>
        <w:tc>
          <w:tcPr>
            <w:tcW w:type="pct" w:w="2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Gujarati typing assist</w:t>
            </w:r>
          </w:p>
        </w:tc>
        <w:tc>
          <w:tcPr>
            <w:tcW w:type="pct" w:w="7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Per-field, off by default; converts Latin typing to Gujarati script</w:t>
            </w:r>
          </w:p>
        </w:tc>
      </w:tr>
      <w:tr>
        <w:tc>
          <w:tcPr>
            <w:tcW w:type="pct" w:w="2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Gujarati numerals and money</w:t>
            </w:r>
          </w:p>
        </w:tc>
        <w:tc>
          <w:tcPr>
            <w:tcW w:type="pct" w:w="7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Amounts in figures and words, Indian system (</w:t>
            </w:r>
            <w:r>
              <w:rPr>
                <w:rFonts w:ascii="Shruti" w:cs="Shruti" w:eastAsia="Shruti" w:hAnsi="Shruti"/>
                <w:b w:val="false"/>
                <w:bCs w:val="false"/>
                <w:color w:val="1B2430"/>
                <w:sz w:val="19"/>
                <w:szCs w:val="19"/>
              </w:rPr>
              <w:t xml:space="preserve">લાખ / કરોડ)</w:t>
            </w:r>
          </w:p>
        </w:tc>
      </w:tr>
      <w:tr>
        <w:tc>
          <w:tcPr>
            <w:tcW w:type="pct" w:w="2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Dates</w:t>
            </w:r>
          </w:p>
        </w:tc>
        <w:tc>
          <w:tcPr>
            <w:tcW w:type="pct" w:w="7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Full deed-style Gujarati dates including the weekday</w:t>
            </w:r>
          </w:p>
        </w:tc>
      </w:tr>
      <w:tr>
        <w:tc>
          <w:tcPr>
            <w:tcW w:type="pct" w:w="2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Multiple parties</w:t>
            </w:r>
          </w:p>
        </w:tc>
        <w:tc>
          <w:tcPr>
            <w:tcW w:type="pct" w:w="7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Sellers, buyers, donors, donees, heirs and witnesses can each be added as repeating entries</w:t>
            </w:r>
          </w:p>
        </w:tc>
      </w:tr>
      <w:tr>
        <w:tc>
          <w:tcPr>
            <w:tcW w:type="pct" w:w="2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Property schedule</w:t>
            </w:r>
          </w:p>
        </w:tc>
        <w:tc>
          <w:tcPr>
            <w:tcW w:type="pct" w:w="7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Village, taluka, district, survey number, khata, </w:t>
            </w:r>
            <w:r>
              <w:rPr>
                <w:rFonts w:ascii="Shruti" w:cs="Shruti" w:eastAsia="Shruti" w:hAnsi="Shruti"/>
                <w:b w:val="false"/>
                <w:bCs w:val="false"/>
                <w:color w:val="1B2430"/>
                <w:sz w:val="19"/>
                <w:szCs w:val="19"/>
              </w:rPr>
              <w:t xml:space="preserve">આકાર </w:t>
            </w:r>
            <w:r>
              <w:rPr>
                <w:rFonts w:ascii="Calibri" w:cs="Calibri" w:eastAsia="Calibri" w:hAnsi="Calibri"/>
                <w:b w:val="false"/>
                <w:bCs w:val="false"/>
                <w:color w:val="1B2430"/>
                <w:sz w:val="19"/>
                <w:szCs w:val="19"/>
              </w:rPr>
              <w:t xml:space="preserve">and boundaries</w:t>
            </w:r>
          </w:p>
        </w:tc>
      </w:tr>
      <w:tr>
        <w:tc>
          <w:tcPr>
            <w:tcW w:type="pct" w:w="2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Completeness meter</w:t>
            </w:r>
          </w:p>
        </w:tc>
        <w:tc>
          <w:tcPr>
            <w:tcW w:type="pct" w:w="7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Counts the mandatory questions still unanswered</w:t>
            </w:r>
          </w:p>
        </w:tc>
      </w:tr>
      <w:tr>
        <w:tc>
          <w:tcPr>
            <w:tcW w:type="pct" w:w="2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Autosave</w:t>
            </w:r>
          </w:p>
        </w:tc>
        <w:tc>
          <w:tcPr>
            <w:tcW w:type="pct" w:w="7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Each document's draft is saved in the browser automatically</w:t>
            </w:r>
          </w:p>
        </w:tc>
      </w:tr>
      <w:tr>
        <w:tc>
          <w:tcPr>
            <w:tcW w:type="pct" w:w="2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Print</w:t>
            </w:r>
          </w:p>
        </w:tc>
        <w:tc>
          <w:tcPr>
            <w:tcW w:type="pct" w:w="7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 print layout that hides the app and prints the deed alone</w:t>
            </w:r>
          </w:p>
        </w:tc>
      </w:tr>
      <w:tr>
        <w:tc>
          <w:tcPr>
            <w:tcW w:type="pct" w:w="2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Word export</w:t>
            </w:r>
          </w:p>
        </w:tc>
        <w:tc>
          <w:tcPr>
            <w:tcW w:type="pct" w:w="7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A4 .docx with the wide left binding margin, fully editable</w:t>
            </w:r>
          </w:p>
        </w:tc>
      </w:tr>
      <w:tr>
        <w:tc>
          <w:tcPr>
            <w:tcW w:type="pct" w:w="2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Stamp note</w:t>
            </w:r>
          </w:p>
        </w:tc>
        <w:tc>
          <w:tcPr>
            <w:tcW w:type="pct" w:w="7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Stamp duty and registration guidance on every template</w:t>
            </w:r>
          </w:p>
        </w:tc>
      </w:tr>
    </w:tbl>
    <w:p>
      <w:pPr>
        <w:spacing w:after="120"/>
      </w:pPr>
    </w:p>
    <w:p>
      <w:pPr>
        <w:spacing w:after="140" w:line="300"/>
      </w:pPr>
      <w:r>
        <w:rPr>
          <w:rFonts w:ascii="Calibri" w:cs="Calibri" w:eastAsia="Calibri" w:hAnsi="Calibri"/>
          <w:b/>
          <w:bCs/>
          <w:color w:val="1B2430"/>
          <w:sz w:val="21"/>
          <w:szCs w:val="21"/>
        </w:rPr>
        <w:t xml:space="preserve">Not built yet, do not imply otherwise:</w:t>
      </w:r>
      <w:r>
        <w:rPr>
          <w:rFonts w:ascii="Calibri" w:cs="Calibri" w:eastAsia="Calibri" w:hAnsi="Calibri"/>
          <w:color w:val="1B2430"/>
          <w:sz w:val="21"/>
          <w:szCs w:val="21"/>
        </w:rPr>
        <w:t xml:space="preserve"> buying the e-stamp paper, printing on it and couriering it; Aadhaar e-signature; automatic stamp-duty calculation from jantri rates; booking a sub-registrar appointment; advocate review. All of these are planned. None exist today.</w:t>
      </w:r>
    </w:p>
    <w:p>
      <w:pPr>
        <w:pStyle w:val="Heading1"/>
        <w:pBdr>
          <w:bottom w:val="single" w:color="DDD9CF" w:sz="6" w:space="6"/>
        </w:pBdr>
        <w:spacing w:after="160" w:before="400"/>
      </w:pPr>
      <w:r>
        <w:rPr>
          <w:rFonts w:ascii="Calibri" w:cs="Calibri" w:eastAsia="Calibri" w:hAnsi="Calibri"/>
          <w:b/>
          <w:bCs/>
          <w:color w:val="1F4E79"/>
          <w:sz w:val="30"/>
          <w:szCs w:val="30"/>
        </w:rPr>
        <w:t xml:space="preserve">9. Pricing</w:t>
      </w:r>
    </w:p>
    <w:p>
      <w:pPr>
        <w:spacing w:after="140" w:line="300"/>
      </w:pPr>
      <w:r>
        <w:rPr>
          <w:rFonts w:ascii="Calibri" w:cs="Calibri" w:eastAsia="Calibri" w:hAnsi="Calibri"/>
          <w:color w:val="1B2430"/>
          <w:sz w:val="21"/>
          <w:szCs w:val="21"/>
        </w:rPr>
        <w:t xml:space="preserve">Proposed, not yet live. Confirm before publishing a price anywhere.</w:t>
      </w:r>
    </w:p>
    <w:p>
      <w:pPr>
        <w:spacing w:after="60"/>
      </w:pPr>
    </w:p>
    <w:tbl>
      <w:tblPr>
        <w:tblW w:type="pct" w:w="100%"/>
        <w:tblBorders>
          <w:top w:val="single" w:color="DDD9CF" w:sz="4"/>
          <w:left w:val="single" w:color="DDD9CF" w:sz="4"/>
          <w:bottom w:val="single" w:color="DDD9CF" w:sz="4"/>
          <w:right w:val="single" w:color="DDD9CF" w:sz="4"/>
          <w:insideH w:val="single" w:color="DDD9CF" w:sz="4"/>
          <w:insideV w:val="single" w:color="DDD9CF" w:sz="4"/>
        </w:tblBorders>
      </w:tblPr>
      <w:tblGrid>
        <w:gridCol w:w="100"/>
        <w:gridCol w:w="100"/>
        <w:gridCol w:w="100"/>
      </w:tblGrid>
      <w:tr>
        <w:trPr>
          <w:tblHeader/>
        </w:trPr>
        <w:tc>
          <w:tcPr>
            <w:tcW w:type="pct" w:w="20%"/>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Plan</w:t>
            </w:r>
          </w:p>
        </w:tc>
        <w:tc>
          <w:tcPr>
            <w:tcW w:type="pct" w:w="16%"/>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Price</w:t>
            </w:r>
          </w:p>
        </w:tc>
        <w:tc>
          <w:tcPr>
            <w:tcW w:type="pct" w:w="64%"/>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What you get</w:t>
            </w:r>
          </w:p>
        </w:tc>
      </w:tr>
      <w:tr>
        <w:tc>
          <w:tcPr>
            <w:tcW w:type="pct" w:w="20%"/>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Free</w:t>
            </w:r>
          </w:p>
        </w:tc>
        <w:tc>
          <w:tcPr>
            <w:tcW w:type="pct" w:w="1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₹0</w:t>
            </w:r>
          </w:p>
        </w:tc>
        <w:tc>
          <w:tcPr>
            <w:tcW w:type="pct" w:w="6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All 8 templates, the full form, the live Gujarati preview, and print with a watermark. No file download. Permanent, not a trial.</w:t>
            </w:r>
          </w:p>
        </w:tc>
      </w:tr>
      <w:tr>
        <w:tc>
          <w:tcPr>
            <w:tcW w:type="pct" w:w="20%"/>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Simple document</w:t>
            </w:r>
          </w:p>
        </w:tc>
        <w:tc>
          <w:tcPr>
            <w:tcW w:type="pct" w:w="1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₹199</w:t>
            </w:r>
          </w:p>
        </w:tc>
        <w:tc>
          <w:tcPr>
            <w:tcW w:type="pct" w:w="64%"/>
            <w:tcMar>
              <w:top w:type="dxa" w:w="90"/>
              <w:left w:type="dxa" w:w="120"/>
              <w:bottom w:type="dxa" w:w="90"/>
              <w:right w:type="dxa" w:w="120"/>
            </w:tcMar>
          </w:tcPr>
          <w:p>
            <w:pPr>
              <w:spacing w:line="260"/>
            </w:pPr>
            <w:r>
              <w:rPr>
                <w:rFonts w:ascii="Shruti" w:cs="Shruti" w:eastAsia="Shruti" w:hAnsi="Shruti"/>
                <w:b w:val="false"/>
                <w:bCs w:val="false"/>
                <w:color w:val="1B2430"/>
                <w:sz w:val="19"/>
                <w:szCs w:val="19"/>
              </w:rPr>
              <w:t xml:space="preserve">સોગંદનામું </w:t>
            </w:r>
            <w:r>
              <w:rPr>
                <w:rFonts w:ascii="Calibri" w:cs="Calibri" w:eastAsia="Calibri" w:hAnsi="Calibri"/>
                <w:b w:val="false"/>
                <w:bCs w:val="false"/>
                <w:color w:val="1B2430"/>
                <w:sz w:val="19"/>
                <w:szCs w:val="19"/>
              </w:rPr>
              <w:t xml:space="preserve">or </w:t>
            </w:r>
            <w:r>
              <w:rPr>
                <w:rFonts w:ascii="Shruti" w:cs="Shruti" w:eastAsia="Shruti" w:hAnsi="Shruti"/>
                <w:b w:val="false"/>
                <w:bCs w:val="false"/>
                <w:color w:val="1B2430"/>
                <w:sz w:val="19"/>
                <w:szCs w:val="19"/>
              </w:rPr>
              <w:t xml:space="preserve">ભાડા કરાર. </w:t>
            </w:r>
            <w:r>
              <w:rPr>
                <w:rFonts w:ascii="Calibri" w:cs="Calibri" w:eastAsia="Calibri" w:hAnsi="Calibri"/>
                <w:b w:val="false"/>
                <w:bCs w:val="false"/>
                <w:color w:val="1B2430"/>
                <w:sz w:val="19"/>
                <w:szCs w:val="19"/>
              </w:rPr>
              <w:t xml:space="preserve">Clean Word file and PDF, no watermark, 30-day edit window.</w:t>
            </w:r>
          </w:p>
        </w:tc>
      </w:tr>
      <w:tr>
        <w:tc>
          <w:tcPr>
            <w:tcW w:type="pct" w:w="20%"/>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Property deed</w:t>
            </w:r>
          </w:p>
        </w:tc>
        <w:tc>
          <w:tcPr>
            <w:tcW w:type="pct" w:w="1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₹499</w:t>
            </w:r>
          </w:p>
        </w:tc>
        <w:tc>
          <w:tcPr>
            <w:tcW w:type="pct" w:w="6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Any of the six registrable deeds — sale, agreement to sell, gift, release, will, power of attorney. Every variant of the deed, plus a registration checklist.</w:t>
            </w:r>
          </w:p>
        </w:tc>
      </w:tr>
      <w:tr>
        <w:tc>
          <w:tcPr>
            <w:tcW w:type="pct" w:w="20%"/>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Deal pack</w:t>
            </w:r>
          </w:p>
        </w:tc>
        <w:tc>
          <w:tcPr>
            <w:tcW w:type="pct" w:w="1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₹899</w:t>
            </w:r>
          </w:p>
        </w:tc>
        <w:tc>
          <w:tcPr>
            <w:tcW w:type="pct" w:w="64%"/>
            <w:tcMar>
              <w:top w:type="dxa" w:w="90"/>
              <w:left w:type="dxa" w:w="120"/>
              <w:bottom w:type="dxa" w:w="90"/>
              <w:right w:type="dxa" w:w="120"/>
            </w:tcMar>
          </w:tcPr>
          <w:p>
            <w:pPr>
              <w:spacing w:line="260"/>
            </w:pPr>
            <w:r>
              <w:rPr>
                <w:rFonts w:ascii="Shruti" w:cs="Shruti" w:eastAsia="Shruti" w:hAnsi="Shruti"/>
                <w:b w:val="false"/>
                <w:bCs w:val="false"/>
                <w:color w:val="1B2430"/>
                <w:sz w:val="19"/>
                <w:szCs w:val="19"/>
              </w:rPr>
              <w:t xml:space="preserve">બાનાખત + વેચાણ દસ્તાવેજ + કુલમુખત્યારનામું — </w:t>
            </w:r>
            <w:r>
              <w:rPr>
                <w:rFonts w:ascii="Calibri" w:cs="Calibri" w:eastAsia="Calibri" w:hAnsi="Calibri"/>
                <w:b w:val="false"/>
                <w:bCs w:val="false"/>
                <w:color w:val="1B2430"/>
                <w:sz w:val="19"/>
                <w:szCs w:val="19"/>
              </w:rPr>
              <w:t xml:space="preserve">the three a single property sale needs. ₹1,497 bought separately.</w:t>
            </w:r>
          </w:p>
        </w:tc>
      </w:tr>
      <w:tr>
        <w:tc>
          <w:tcPr>
            <w:tcW w:type="pct" w:w="20%"/>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Professional</w:t>
            </w:r>
          </w:p>
        </w:tc>
        <w:tc>
          <w:tcPr>
            <w:tcW w:type="pct" w:w="1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₹9,999 / year</w:t>
            </w:r>
          </w:p>
        </w:tc>
        <w:tc>
          <w:tcPr>
            <w:tcW w:type="pct" w:w="6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Unlimited drafts, your own letterhead on the Word file, saved client details, 3 seats. ₹999 month-to-month.</w:t>
            </w:r>
          </w:p>
        </w:tc>
      </w:tr>
    </w:tbl>
    <w:p>
      <w:pPr>
        <w:spacing w:after="120"/>
      </w:pPr>
    </w:p>
    <w:p>
      <w:pPr>
        <w:pStyle w:val="ListParagraph"/>
        <w:numPr>
          <w:ilvl w:val="0"/>
          <w:numId w:val="1"/>
        </w:numPr>
        <w:spacing w:after="80" w:line="290"/>
      </w:pPr>
      <w:r>
        <w:rPr>
          <w:rFonts w:ascii="Calibri" w:cs="Calibri" w:eastAsia="Calibri" w:hAnsi="Calibri"/>
          <w:color w:val="1B2430"/>
          <w:sz w:val="21"/>
          <w:szCs w:val="21"/>
        </w:rPr>
        <w:t xml:space="preserve">All prices are GST-inclusive, one-time per document unless stated.</w:t>
      </w:r>
    </w:p>
    <w:p>
      <w:pPr>
        <w:pStyle w:val="ListParagraph"/>
        <w:numPr>
          <w:ilvl w:val="0"/>
          <w:numId w:val="1"/>
        </w:numPr>
        <w:spacing w:after="80" w:line="290"/>
      </w:pPr>
      <w:r>
        <w:rPr>
          <w:rFonts w:ascii="Calibri" w:cs="Calibri" w:eastAsia="Calibri" w:hAnsi="Calibri"/>
          <w:b/>
          <w:bCs/>
          <w:color w:val="1B2430"/>
          <w:sz w:val="21"/>
          <w:szCs w:val="21"/>
        </w:rPr>
        <w:t xml:space="preserve">The line worth leading with:</w:t>
      </w:r>
      <w:r>
        <w:rPr>
          <w:rFonts w:ascii="Calibri" w:cs="Calibri" w:eastAsia="Calibri" w:hAnsi="Calibri"/>
          <w:color w:val="1B2430"/>
          <w:sz w:val="21"/>
          <w:szCs w:val="21"/>
        </w:rPr>
        <w:t xml:space="preserve"> the template is free to read and fill. You only pay for the finished file. That distinction matters, because the government's model drafts are public — and saying so openly is more convincing than hiding it.</w:t>
      </w:r>
    </w:p>
    <w:p>
      <w:pPr>
        <w:pStyle w:val="Heading1"/>
        <w:pBdr>
          <w:bottom w:val="single" w:color="DDD9CF" w:sz="6" w:space="6"/>
        </w:pBdr>
        <w:spacing w:after="160" w:before="400"/>
      </w:pPr>
      <w:r>
        <w:rPr>
          <w:rFonts w:ascii="Calibri" w:cs="Calibri" w:eastAsia="Calibri" w:hAnsi="Calibri"/>
          <w:b/>
          <w:bCs/>
          <w:color w:val="1F4E79"/>
          <w:sz w:val="30"/>
          <w:szCs w:val="30"/>
        </w:rPr>
        <w:t xml:space="preserve">10. Positioning against the alternatives</w:t>
      </w:r>
    </w:p>
    <w:p>
      <w:pPr>
        <w:spacing w:after="140" w:line="300"/>
      </w:pPr>
      <w:r>
        <w:rPr>
          <w:rFonts w:ascii="Calibri" w:cs="Calibri" w:eastAsia="Calibri" w:hAnsi="Calibri"/>
          <w:color w:val="1B2430"/>
          <w:sz w:val="21"/>
          <w:szCs w:val="21"/>
        </w:rPr>
        <w:t xml:space="preserve">How to talk about each alternative fairly. Naming a competitor in promotional copy is usually a mistake — but knowing the honest comparison keeps the claims accurate.</w:t>
      </w:r>
    </w:p>
    <w:p>
      <w:pPr>
        <w:spacing w:after="60"/>
      </w:pPr>
    </w:p>
    <w:tbl>
      <w:tblPr>
        <w:tblW w:type="pct" w:w="100%"/>
        <w:tblBorders>
          <w:top w:val="single" w:color="DDD9CF" w:sz="4"/>
          <w:left w:val="single" w:color="DDD9CF" w:sz="4"/>
          <w:bottom w:val="single" w:color="DDD9CF" w:sz="4"/>
          <w:right w:val="single" w:color="DDD9CF" w:sz="4"/>
          <w:insideH w:val="single" w:color="DDD9CF" w:sz="4"/>
          <w:insideV w:val="single" w:color="DDD9CF" w:sz="4"/>
        </w:tblBorders>
      </w:tblPr>
      <w:tblGrid>
        <w:gridCol w:w="100"/>
        <w:gridCol w:w="100"/>
        <w:gridCol w:w="100"/>
      </w:tblGrid>
      <w:tr>
        <w:trPr>
          <w:tblHeader/>
        </w:trPr>
        <w:tc>
          <w:tcPr>
            <w:tcW w:type="pct" w:w="22%"/>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Alternative</w:t>
            </w:r>
          </w:p>
        </w:tc>
        <w:tc>
          <w:tcPr>
            <w:tcW w:type="pct" w:w="18%"/>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What it costs</w:t>
            </w:r>
          </w:p>
        </w:tc>
        <w:tc>
          <w:tcPr>
            <w:tcW w:type="pct" w:w="60%"/>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The honest comparison</w:t>
            </w:r>
          </w:p>
        </w:tc>
      </w:tr>
      <w:tr>
        <w:tc>
          <w:tcPr>
            <w:tcW w:type="pct" w:w="22%"/>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The deed writer outside the SRO</w:t>
            </w:r>
          </w:p>
        </w:tc>
        <w:tc>
          <w:tcPr>
            <w:tcW w:type="pct" w:w="18%"/>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~₹500 first page, ₹250–₹300 per page after</w:t>
            </w:r>
          </w:p>
        </w:tc>
        <w:tc>
          <w:tcPr>
            <w:tcW w:type="pct" w:w="6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Knows the local practice and is trusted. Slower, priced per page, and you have to be there. We are not replacing them — the Professional plan is built for them.</w:t>
            </w:r>
          </w:p>
        </w:tc>
      </w:tr>
      <w:tr>
        <w:tc>
          <w:tcPr>
            <w:tcW w:type="pct" w:w="22%"/>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Downloading the model draft from Garvi</w:t>
            </w:r>
          </w:p>
        </w:tc>
        <w:tc>
          <w:tcPr>
            <w:tcW w:type="pct" w:w="18%"/>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Free</w:t>
            </w:r>
          </w:p>
        </w:tc>
        <w:tc>
          <w:tcPr>
            <w:tcW w:type="pct" w:w="6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Genuinely free and genuinely official. Also a Word file full of blanks in formal legal Gujarati. We fill it correctly; that is the whole difference, and our free tier admits it.</w:t>
            </w:r>
          </w:p>
        </w:tc>
      </w:tr>
      <w:tr>
        <w:tc>
          <w:tcPr>
            <w:tcW w:type="pct" w:w="22%"/>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Gujdoc</w:t>
            </w:r>
          </w:p>
        </w:tc>
        <w:tc>
          <w:tcPr>
            <w:tcW w:type="pct" w:w="18%"/>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₹80–₹700 per document</w:t>
            </w:r>
          </w:p>
        </w:tc>
        <w:tc>
          <w:tcPr>
            <w:tcW w:type="pct" w:w="6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closest thing that exists — Gujarati, do-it-yourself, per document. Thinner coverage of registrable property deeds, and no title check attached.</w:t>
            </w:r>
          </w:p>
        </w:tc>
      </w:tr>
      <w:tr>
        <w:tc>
          <w:tcPr>
            <w:tcW w:type="pct" w:w="22%"/>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LegalDesk, eDrafter, eSahayak, NoBroker</w:t>
            </w:r>
          </w:p>
        </w:tc>
        <w:tc>
          <w:tcPr>
            <w:tcW w:type="pct" w:w="18%"/>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₹299–₹2,000</w:t>
            </w:r>
          </w:p>
        </w:tc>
        <w:tc>
          <w:tcPr>
            <w:tcW w:type="pct" w:w="6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Bigger catalogues and they will courier the stamp paper to your door, which we do not do yet. English and Hindi first; Gujarati property deeds are not what they are built for.</w:t>
            </w:r>
          </w:p>
        </w:tc>
      </w:tr>
    </w:tbl>
    <w:p>
      <w:pPr>
        <w:pStyle w:val="Heading1"/>
        <w:pBdr>
          <w:bottom w:val="single" w:color="DDD9CF" w:sz="6" w:space="6"/>
        </w:pBdr>
        <w:spacing w:after="160" w:before="400"/>
      </w:pPr>
      <w:r>
        <w:rPr>
          <w:rFonts w:ascii="Calibri" w:cs="Calibri" w:eastAsia="Calibri" w:hAnsi="Calibri"/>
          <w:b/>
          <w:bCs/>
          <w:color w:val="1F4E79"/>
          <w:sz w:val="30"/>
          <w:szCs w:val="30"/>
        </w:rPr>
        <w:t xml:space="preserve">11. Words to use, words to avoid</w:t>
      </w:r>
    </w:p>
    <w:p>
      <w:pPr>
        <w:spacing w:after="140" w:line="300"/>
      </w:pPr>
      <w:r>
        <w:rPr>
          <w:rFonts w:ascii="Calibri" w:cs="Calibri" w:eastAsia="Calibri" w:hAnsi="Calibri"/>
          <w:color w:val="1B2430"/>
          <w:sz w:val="21"/>
          <w:szCs w:val="21"/>
        </w:rPr>
        <w:t xml:space="preserve">The most important page in this document. This product touches people's largest purchase and a live legal process, so the language has to stay accurate.</w:t>
      </w:r>
    </w:p>
    <w:p>
      <w:pPr>
        <w:pStyle w:val="Heading2"/>
        <w:spacing w:after="120" w:before="280"/>
      </w:pPr>
      <w:r>
        <w:rPr>
          <w:rFonts w:ascii="Calibri" w:cs="Calibri" w:eastAsia="Calibri" w:hAnsi="Calibri"/>
          <w:b/>
          <w:bCs/>
          <w:color w:val="1B2430"/>
          <w:sz w:val="23"/>
          <w:szCs w:val="23"/>
        </w:rPr>
        <w:t xml:space="preserve">Safe to say</w:t>
      </w:r>
    </w:p>
    <w:p>
      <w:pPr>
        <w:pStyle w:val="ListParagraph"/>
        <w:numPr>
          <w:ilvl w:val="0"/>
          <w:numId w:val="1"/>
        </w:numPr>
        <w:spacing w:after="80" w:line="290"/>
      </w:pPr>
      <w:r>
        <w:rPr>
          <w:rFonts w:ascii="Calibri" w:cs="Calibri" w:eastAsia="Calibri" w:hAnsi="Calibri"/>
          <w:color w:val="1B2430"/>
          <w:sz w:val="21"/>
          <w:szCs w:val="21"/>
        </w:rPr>
        <w:t xml:space="preserve">Draft · document · ready to print · editable Word file</w:t>
      </w:r>
    </w:p>
    <w:p>
      <w:pPr>
        <w:pStyle w:val="ListParagraph"/>
        <w:numPr>
          <w:ilvl w:val="0"/>
          <w:numId w:val="1"/>
        </w:numPr>
        <w:spacing w:after="80" w:line="290"/>
      </w:pPr>
      <w:r>
        <w:rPr>
          <w:rFonts w:ascii="Calibri" w:cs="Calibri" w:eastAsia="Calibri" w:hAnsi="Calibri"/>
          <w:color w:val="1B2430"/>
          <w:sz w:val="21"/>
          <w:szCs w:val="21"/>
        </w:rPr>
        <w:t xml:space="preserve">Based on the Gujarat registration department's model drafts</w:t>
      </w:r>
    </w:p>
    <w:p>
      <w:pPr>
        <w:pStyle w:val="ListParagraph"/>
        <w:numPr>
          <w:ilvl w:val="0"/>
          <w:numId w:val="1"/>
        </w:numPr>
        <w:spacing w:after="80" w:line="290"/>
      </w:pPr>
      <w:r>
        <w:rPr>
          <w:rFonts w:ascii="Calibri" w:cs="Calibri" w:eastAsia="Calibri" w:hAnsi="Calibri"/>
          <w:color w:val="1B2430"/>
          <w:sz w:val="21"/>
          <w:szCs w:val="21"/>
        </w:rPr>
        <w:t xml:space="preserve">Answer a form, get a complete Gujarati draft</w:t>
      </w:r>
    </w:p>
    <w:p>
      <w:pPr>
        <w:pStyle w:val="ListParagraph"/>
        <w:numPr>
          <w:ilvl w:val="0"/>
          <w:numId w:val="1"/>
        </w:numPr>
        <w:spacing w:after="80" w:line="290"/>
      </w:pPr>
      <w:r>
        <w:rPr>
          <w:rFonts w:ascii="Calibri" w:cs="Calibri" w:eastAsia="Calibri" w:hAnsi="Calibri"/>
          <w:color w:val="1B2430"/>
          <w:sz w:val="21"/>
          <w:szCs w:val="21"/>
        </w:rPr>
        <w:t xml:space="preserve">Take it to your advocate or the sub-registrar office</w:t>
      </w:r>
    </w:p>
    <w:p>
      <w:pPr>
        <w:pStyle w:val="ListParagraph"/>
        <w:numPr>
          <w:ilvl w:val="0"/>
          <w:numId w:val="1"/>
        </w:numPr>
        <w:spacing w:after="80" w:line="290"/>
      </w:pPr>
      <w:r>
        <w:rPr>
          <w:rFonts w:ascii="Calibri" w:cs="Calibri" w:eastAsia="Calibri" w:hAnsi="Calibri"/>
          <w:color w:val="1B2430"/>
          <w:sz w:val="21"/>
          <w:szCs w:val="21"/>
        </w:rPr>
        <w:t xml:space="preserve">Guidance on the stamp duty and registration to expect</w:t>
      </w:r>
    </w:p>
    <w:p>
      <w:pPr>
        <w:pStyle w:val="Heading2"/>
        <w:spacing w:after="120" w:before="280"/>
      </w:pPr>
      <w:r>
        <w:rPr>
          <w:rFonts w:ascii="Calibri" w:cs="Calibri" w:eastAsia="Calibri" w:hAnsi="Calibri"/>
          <w:b/>
          <w:bCs/>
          <w:color w:val="1B2430"/>
          <w:sz w:val="23"/>
          <w:szCs w:val="23"/>
        </w:rPr>
        <w:t xml:space="preserve">Do not say</w:t>
      </w:r>
    </w:p>
    <w:p>
      <w:pPr>
        <w:spacing w:after="60"/>
      </w:pPr>
    </w:p>
    <w:tbl>
      <w:tblPr>
        <w:tblW w:type="pct" w:w="100%"/>
        <w:tblBorders>
          <w:top w:val="single" w:color="DDD9CF" w:sz="4"/>
          <w:left w:val="single" w:color="DDD9CF" w:sz="4"/>
          <w:bottom w:val="single" w:color="DDD9CF" w:sz="4"/>
          <w:right w:val="single" w:color="DDD9CF" w:sz="4"/>
          <w:insideH w:val="single" w:color="DDD9CF" w:sz="4"/>
          <w:insideV w:val="single" w:color="DDD9CF" w:sz="4"/>
        </w:tblBorders>
      </w:tblPr>
      <w:tblGrid>
        <w:gridCol w:w="100"/>
        <w:gridCol w:w="100"/>
      </w:tblGrid>
      <w:tr>
        <w:trPr>
          <w:tblHeader/>
        </w:trPr>
        <w:tc>
          <w:tcPr>
            <w:tcW w:type="pct" w:w="38%"/>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Never write</w:t>
            </w:r>
          </w:p>
        </w:tc>
        <w:tc>
          <w:tcPr>
            <w:tcW w:type="pct" w:w="62%"/>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Why</w:t>
            </w:r>
          </w:p>
        </w:tc>
      </w:tr>
      <w:tr>
        <w:tc>
          <w:tcPr>
            <w:tcW w:type="pct" w:w="3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"Legal advice", "legal opinion", "consult our lawyers"</w:t>
            </w:r>
          </w:p>
        </w:tc>
        <w:tc>
          <w:tcPr>
            <w:tcW w:type="pct" w:w="6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It is not advice and there is no lawyer in the loop. The app says so on every screen; promo material must match.</w:t>
            </w:r>
          </w:p>
        </w:tc>
      </w:tr>
      <w:tr>
        <w:tc>
          <w:tcPr>
            <w:tcW w:type="pct" w:w="3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"Lawyer-verified", "advocate-approved", "vetted by lawyers"</w:t>
            </w:r>
          </w:p>
        </w:tc>
        <w:tc>
          <w:tcPr>
            <w:tcW w:type="pct" w:w="6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review is in progress and not signed off. This becomes true later — not yet.</w:t>
            </w:r>
          </w:p>
        </w:tc>
      </w:tr>
      <w:tr>
        <w:tc>
          <w:tcPr>
            <w:tcW w:type="pct" w:w="3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"Registered", "we register it for you", "government-approved document"</w:t>
            </w:r>
          </w:p>
        </w:tc>
        <w:tc>
          <w:tcPr>
            <w:tcW w:type="pct" w:w="6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user still registers it themselves at the sub-registrar office. We produce a draft, nothing more.</w:t>
            </w:r>
          </w:p>
        </w:tc>
      </w:tr>
      <w:tr>
        <w:tc>
          <w:tcPr>
            <w:tcW w:type="pct" w:w="3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"Stamp duty is 4.9%" stated flatly</w:t>
            </w:r>
          </w:p>
        </w:tc>
        <w:tc>
          <w:tcPr>
            <w:tcW w:type="pct" w:w="6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Rates change and the 2025 Gujarat stamp amendment changed several articles. Always phrase it as approximate and to be verified — as the app itself does.</w:t>
            </w:r>
          </w:p>
        </w:tc>
      </w:tr>
      <w:tr>
        <w:tc>
          <w:tcPr>
            <w:tcW w:type="pct" w:w="3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"Title certificate", "guaranteed clear title", "verified ownership"</w:t>
            </w:r>
          </w:p>
        </w:tc>
        <w:tc>
          <w:tcPr>
            <w:tcW w:type="pct" w:w="6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That is a different product and it is not live. Never let the two blur together.</w:t>
            </w:r>
          </w:p>
        </w:tc>
      </w:tr>
      <w:tr>
        <w:tc>
          <w:tcPr>
            <w:tcW w:type="pct" w:w="3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"Instant e-stamp", "delivered to your door", "e-sign your deed"</w:t>
            </w:r>
          </w:p>
        </w:tc>
        <w:tc>
          <w:tcPr>
            <w:tcW w:type="pct" w:w="6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Not built. Planned for later.</w:t>
            </w:r>
          </w:p>
        </w:tc>
      </w:tr>
      <w:tr>
        <w:tc>
          <w:tcPr>
            <w:tcW w:type="pct" w:w="38%"/>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"100% legally valid", "guaranteed accepted"</w:t>
            </w:r>
          </w:p>
        </w:tc>
        <w:tc>
          <w:tcPr>
            <w:tcW w:type="pct" w:w="6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No draft can promise this. A sub-registrar can still object to anything.</w:t>
            </w:r>
          </w:p>
        </w:tc>
      </w:tr>
    </w:tbl>
    <w:p>
      <w:pPr>
        <w:spacing w:after="120"/>
      </w:pPr>
    </w:p>
    <w:p>
      <w:pPr>
        <w:spacing w:after="140" w:line="300"/>
      </w:pPr>
      <w:r>
        <w:rPr>
          <w:rFonts w:ascii="Calibri" w:cs="Calibri" w:eastAsia="Calibri" w:hAnsi="Calibri"/>
          <w:b/>
          <w:bCs/>
          <w:color w:val="1B2430"/>
          <w:sz w:val="21"/>
          <w:szCs w:val="21"/>
        </w:rPr>
        <w:t xml:space="preserve">The disclaimer to carry through into promotion</w:t>
      </w:r>
      <w:r>
        <w:rPr>
          <w:rFonts w:ascii="Calibri" w:cs="Calibri" w:eastAsia="Calibri" w:hAnsi="Calibri"/>
          <w:color w:val="1B2430"/>
          <w:sz w:val="21"/>
          <w:szCs w:val="21"/>
        </w:rPr>
        <w:t xml:space="preserve">, in the product's own words: this produces drafts, not legal advice. A document meant for registration should be checked by an advocate before it is executed.</w:t>
      </w:r>
    </w:p>
    <w:p>
      <w:pPr>
        <w:pStyle w:val="Heading1"/>
        <w:pBdr>
          <w:bottom w:val="single" w:color="DDD9CF" w:sz="6" w:space="6"/>
        </w:pBdr>
        <w:spacing w:after="160" w:before="400"/>
      </w:pPr>
      <w:r>
        <w:rPr>
          <w:rFonts w:ascii="Calibri" w:cs="Calibri" w:eastAsia="Calibri" w:hAnsi="Calibri"/>
          <w:b/>
          <w:bCs/>
          <w:color w:val="1F4E79"/>
          <w:sz w:val="30"/>
          <w:szCs w:val="30"/>
        </w:rPr>
        <w:t xml:space="preserve">12. Ready-made copy</w:t>
      </w:r>
    </w:p>
    <w:p>
      <w:pPr>
        <w:spacing w:after="140" w:line="300"/>
      </w:pPr>
      <w:r>
        <w:rPr>
          <w:rFonts w:ascii="Calibri" w:cs="Calibri" w:eastAsia="Calibri" w:hAnsi="Calibri"/>
          <w:color w:val="1B2430"/>
          <w:sz w:val="21"/>
          <w:szCs w:val="21"/>
        </w:rPr>
        <w:t xml:space="preserve">Lift these directly or rewrite them — they are here so the tone stays consistent.</w:t>
      </w:r>
    </w:p>
    <w:p>
      <w:pPr>
        <w:pStyle w:val="Heading2"/>
        <w:spacing w:after="120" w:before="280"/>
      </w:pPr>
      <w:r>
        <w:rPr>
          <w:rFonts w:ascii="Calibri" w:cs="Calibri" w:eastAsia="Calibri" w:hAnsi="Calibri"/>
          <w:b/>
          <w:bCs/>
          <w:color w:val="1B2430"/>
          <w:sz w:val="23"/>
          <w:szCs w:val="23"/>
        </w:rPr>
        <w:t xml:space="preserve">Headlines</w:t>
      </w:r>
    </w:p>
    <w:p>
      <w:pPr>
        <w:pStyle w:val="ListParagraph"/>
        <w:numPr>
          <w:ilvl w:val="0"/>
          <w:numId w:val="1"/>
        </w:numPr>
        <w:spacing w:after="80" w:line="290"/>
      </w:pPr>
      <w:r>
        <w:rPr>
          <w:rFonts w:ascii="Shruti" w:cs="Shruti" w:eastAsia="Shruti" w:hAnsi="Shruti"/>
          <w:color w:val="1B2430"/>
          <w:sz w:val="21"/>
          <w:szCs w:val="21"/>
        </w:rPr>
        <w:t xml:space="preserve">મિલકતના દસ્તાવેજ — સવાલોના જવાબ આપો, તૈયાર ડ્રાફ્ટ મેળવો.</w:t>
      </w:r>
    </w:p>
    <w:p>
      <w:pPr>
        <w:pStyle w:val="ListParagraph"/>
        <w:numPr>
          <w:ilvl w:val="0"/>
          <w:numId w:val="1"/>
        </w:numPr>
        <w:spacing w:after="80" w:line="290"/>
      </w:pPr>
      <w:r>
        <w:rPr>
          <w:rFonts w:ascii="Calibri" w:cs="Calibri" w:eastAsia="Calibri" w:hAnsi="Calibri"/>
          <w:color w:val="1B2430"/>
          <w:sz w:val="21"/>
          <w:szCs w:val="21"/>
        </w:rPr>
        <w:t xml:space="preserve">Property documents, filled for you.</w:t>
      </w:r>
    </w:p>
    <w:p>
      <w:pPr>
        <w:pStyle w:val="ListParagraph"/>
        <w:numPr>
          <w:ilvl w:val="0"/>
          <w:numId w:val="1"/>
        </w:numPr>
        <w:spacing w:after="80" w:line="290"/>
      </w:pPr>
      <w:r>
        <w:rPr>
          <w:rFonts w:ascii="Calibri" w:cs="Calibri" w:eastAsia="Calibri" w:hAnsi="Calibri"/>
          <w:color w:val="1B2430"/>
          <w:sz w:val="21"/>
          <w:szCs w:val="21"/>
        </w:rPr>
        <w:t xml:space="preserve">Your deed, in Gujarati, in ten minutes.</w:t>
      </w:r>
    </w:p>
    <w:p>
      <w:pPr>
        <w:pStyle w:val="ListParagraph"/>
        <w:numPr>
          <w:ilvl w:val="0"/>
          <w:numId w:val="1"/>
        </w:numPr>
        <w:spacing w:after="80" w:line="290"/>
      </w:pPr>
      <w:r>
        <w:rPr>
          <w:rFonts w:ascii="Calibri" w:cs="Calibri" w:eastAsia="Calibri" w:hAnsi="Calibri"/>
          <w:color w:val="1B2430"/>
          <w:sz w:val="21"/>
          <w:szCs w:val="21"/>
        </w:rPr>
        <w:t xml:space="preserve">The government's format. Your details. Done.</w:t>
      </w:r>
    </w:p>
    <w:p>
      <w:pPr>
        <w:pStyle w:val="Heading2"/>
        <w:spacing w:after="120" w:before="280"/>
      </w:pPr>
      <w:r>
        <w:rPr>
          <w:rFonts w:ascii="Calibri" w:cs="Calibri" w:eastAsia="Calibri" w:hAnsi="Calibri"/>
          <w:b/>
          <w:bCs/>
          <w:color w:val="1B2430"/>
          <w:sz w:val="23"/>
          <w:szCs w:val="23"/>
        </w:rPr>
        <w:t xml:space="preserve">Sub-headline</w:t>
      </w:r>
    </w:p>
    <w:p>
      <w:pPr>
        <w:spacing w:after="140" w:line="300"/>
      </w:pPr>
      <w:r>
        <w:rPr>
          <w:rFonts w:ascii="Calibri" w:cs="Calibri" w:eastAsia="Calibri" w:hAnsi="Calibri"/>
          <w:color w:val="1B2430"/>
          <w:sz w:val="21"/>
          <w:szCs w:val="21"/>
        </w:rPr>
        <w:t xml:space="preserve">Pick a document and answer a short form — the complete Gujarati draft builds itself as you type. Print it, or download it as a Word file.</w:t>
      </w:r>
    </w:p>
    <w:p>
      <w:pPr>
        <w:pStyle w:val="Heading2"/>
        <w:spacing w:after="120" w:before="280"/>
      </w:pPr>
      <w:r>
        <w:rPr>
          <w:rFonts w:ascii="Calibri" w:cs="Calibri" w:eastAsia="Calibri" w:hAnsi="Calibri"/>
          <w:b/>
          <w:bCs/>
          <w:color w:val="1B2430"/>
          <w:sz w:val="23"/>
          <w:szCs w:val="23"/>
        </w:rPr>
        <w:t xml:space="preserve">Three bullets for a feature block</w:t>
      </w:r>
    </w:p>
    <w:p>
      <w:pPr>
        <w:pStyle w:val="ListParagraph"/>
        <w:numPr>
          <w:ilvl w:val="0"/>
          <w:numId w:val="1"/>
        </w:numPr>
        <w:spacing w:after="80" w:line="290"/>
      </w:pPr>
      <w:r>
        <w:rPr>
          <w:rFonts w:ascii="Calibri" w:cs="Calibri" w:eastAsia="Calibri" w:hAnsi="Calibri"/>
          <w:b/>
          <w:bCs/>
          <w:color w:val="1B2430"/>
          <w:sz w:val="21"/>
          <w:szCs w:val="21"/>
        </w:rPr>
        <w:t xml:space="preserve">Eight documents</w:t>
      </w:r>
      <w:r>
        <w:rPr>
          <w:rFonts w:ascii="Calibri" w:cs="Calibri" w:eastAsia="Calibri" w:hAnsi="Calibri"/>
          <w:color w:val="1B2430"/>
          <w:sz w:val="21"/>
          <w:szCs w:val="21"/>
        </w:rPr>
        <w:t xml:space="preserve"> — sale deed, agreement to sell, gift, release, will, power of attorney, rent agreement, affidavit.</w:t>
      </w:r>
    </w:p>
    <w:p>
      <w:pPr>
        <w:pStyle w:val="ListParagraph"/>
        <w:numPr>
          <w:ilvl w:val="0"/>
          <w:numId w:val="1"/>
        </w:numPr>
        <w:spacing w:after="80" w:line="290"/>
      </w:pPr>
      <w:r>
        <w:rPr>
          <w:rFonts w:ascii="Calibri" w:cs="Calibri" w:eastAsia="Calibri" w:hAnsi="Calibri"/>
          <w:b/>
          <w:bCs/>
          <w:color w:val="1B2430"/>
          <w:sz w:val="21"/>
          <w:szCs w:val="21"/>
        </w:rPr>
        <w:t xml:space="preserve">Proper Gujarati</w:t>
      </w:r>
      <w:r>
        <w:rPr>
          <w:rFonts w:ascii="Calibri" w:cs="Calibri" w:eastAsia="Calibri" w:hAnsi="Calibri"/>
          <w:color w:val="1B2430"/>
          <w:sz w:val="21"/>
          <w:szCs w:val="21"/>
        </w:rPr>
        <w:t xml:space="preserve"> — amounts in words, deed-style dates, Gujarati numerals throughout.</w:t>
      </w:r>
    </w:p>
    <w:p>
      <w:pPr>
        <w:pStyle w:val="ListParagraph"/>
        <w:numPr>
          <w:ilvl w:val="0"/>
          <w:numId w:val="1"/>
        </w:numPr>
        <w:spacing w:after="80" w:line="290"/>
      </w:pPr>
      <w:r>
        <w:rPr>
          <w:rFonts w:ascii="Calibri" w:cs="Calibri" w:eastAsia="Calibri" w:hAnsi="Calibri"/>
          <w:b/>
          <w:bCs/>
          <w:color w:val="1B2430"/>
          <w:sz w:val="21"/>
          <w:szCs w:val="21"/>
        </w:rPr>
        <w:t xml:space="preserve">Yours to edit</w:t>
      </w:r>
      <w:r>
        <w:rPr>
          <w:rFonts w:ascii="Calibri" w:cs="Calibri" w:eastAsia="Calibri" w:hAnsi="Calibri"/>
          <w:color w:val="1B2430"/>
          <w:sz w:val="21"/>
          <w:szCs w:val="21"/>
        </w:rPr>
        <w:t xml:space="preserve"> — download an editable Word file and take it to your advocate.</w:t>
      </w:r>
    </w:p>
    <w:p>
      <w:pPr>
        <w:pStyle w:val="Heading2"/>
        <w:spacing w:after="120" w:before="280"/>
      </w:pPr>
      <w:r>
        <w:rPr>
          <w:rFonts w:ascii="Calibri" w:cs="Calibri" w:eastAsia="Calibri" w:hAnsi="Calibri"/>
          <w:b/>
          <w:bCs/>
          <w:color w:val="1B2430"/>
          <w:sz w:val="23"/>
          <w:szCs w:val="23"/>
        </w:rPr>
        <w:t xml:space="preserve">Calls to action</w:t>
      </w:r>
    </w:p>
    <w:p>
      <w:pPr>
        <w:pStyle w:val="ListParagraph"/>
        <w:numPr>
          <w:ilvl w:val="0"/>
          <w:numId w:val="1"/>
        </w:numPr>
        <w:spacing w:after="80" w:line="290"/>
      </w:pPr>
      <w:r>
        <w:rPr>
          <w:rFonts w:ascii="Calibri" w:cs="Calibri" w:eastAsia="Calibri" w:hAnsi="Calibri"/>
          <w:color w:val="1B2430"/>
          <w:sz w:val="21"/>
          <w:szCs w:val="21"/>
        </w:rPr>
        <w:t xml:space="preserve">Start your document — free</w:t>
      </w:r>
    </w:p>
    <w:p>
      <w:pPr>
        <w:pStyle w:val="ListParagraph"/>
        <w:numPr>
          <w:ilvl w:val="0"/>
          <w:numId w:val="1"/>
        </w:numPr>
        <w:spacing w:after="80" w:line="290"/>
      </w:pPr>
      <w:r>
        <w:rPr>
          <w:rFonts w:ascii="Shruti" w:cs="Shruti" w:eastAsia="Shruti" w:hAnsi="Shruti"/>
          <w:color w:val="1B2430"/>
          <w:sz w:val="21"/>
          <w:szCs w:val="21"/>
        </w:rPr>
        <w:t xml:space="preserve">દસ્તાવેજ બનાવો</w:t>
      </w:r>
    </w:p>
    <w:p>
      <w:pPr>
        <w:pStyle w:val="ListParagraph"/>
        <w:numPr>
          <w:ilvl w:val="0"/>
          <w:numId w:val="1"/>
        </w:numPr>
        <w:spacing w:after="80" w:line="290"/>
      </w:pPr>
      <w:r>
        <w:rPr>
          <w:rFonts w:ascii="Calibri" w:cs="Calibri" w:eastAsia="Calibri" w:hAnsi="Calibri"/>
          <w:color w:val="1B2430"/>
          <w:sz w:val="21"/>
          <w:szCs w:val="21"/>
        </w:rPr>
        <w:t xml:space="preserve">See the format before you pay</w:t>
      </w:r>
    </w:p>
    <w:p>
      <w:pPr>
        <w:pStyle w:val="Heading2"/>
        <w:spacing w:after="120" w:before="280"/>
      </w:pPr>
      <w:r>
        <w:rPr>
          <w:rFonts w:ascii="Calibri" w:cs="Calibri" w:eastAsia="Calibri" w:hAnsi="Calibri"/>
          <w:b/>
          <w:bCs/>
          <w:color w:val="1B2430"/>
          <w:sz w:val="23"/>
          <w:szCs w:val="23"/>
        </w:rPr>
        <w:t xml:space="preserve">The line that does the most work</w:t>
      </w:r>
    </w:p>
    <w:p>
      <w:pPr>
        <w:spacing w:after="140" w:line="300"/>
      </w:pPr>
      <w:r>
        <w:rPr>
          <w:rFonts w:ascii="Calibri" w:cs="Calibri" w:eastAsia="Calibri" w:hAnsi="Calibri"/>
          <w:color w:val="1B2430"/>
          <w:sz w:val="21"/>
          <w:szCs w:val="21"/>
        </w:rPr>
        <w:t xml:space="preserve">"Filling in the government's own format, in the Gujarati a sub-registrar expects." It says what the product does, where the authority comes from, and why it is hard to copy — in one sentence.</w:t>
      </w:r>
    </w:p>
    <w:p>
      <w:pPr>
        <w:pStyle w:val="Heading1"/>
        <w:pBdr>
          <w:bottom w:val="single" w:color="DDD9CF" w:sz="6" w:space="6"/>
        </w:pBdr>
        <w:spacing w:after="160" w:before="400"/>
      </w:pPr>
      <w:r>
        <w:rPr>
          <w:rFonts w:ascii="Calibri" w:cs="Calibri" w:eastAsia="Calibri" w:hAnsi="Calibri"/>
          <w:b/>
          <w:bCs/>
          <w:color w:val="1F4E79"/>
          <w:sz w:val="30"/>
          <w:szCs w:val="30"/>
        </w:rPr>
        <w:t xml:space="preserve">13. Screenshots to capture</w:t>
      </w:r>
    </w:p>
    <w:p>
      <w:pPr>
        <w:spacing w:after="140" w:line="300"/>
      </w:pPr>
      <w:r>
        <w:rPr>
          <w:rFonts w:ascii="Calibri" w:cs="Calibri" w:eastAsia="Calibri" w:hAnsi="Calibri"/>
          <w:color w:val="1B2430"/>
          <w:sz w:val="21"/>
          <w:szCs w:val="21"/>
        </w:rPr>
        <w:t xml:space="preserve">Run the app locally and capture these. The document module is fully working, so every screen below shows real output.</w:t>
      </w:r>
    </w:p>
    <w:p>
      <w:pPr>
        <w:spacing w:after="60"/>
      </w:pPr>
    </w:p>
    <w:tbl>
      <w:tblPr>
        <w:tblW w:type="pct" w:w="100%"/>
        <w:tblBorders>
          <w:top w:val="single" w:color="DDD9CF" w:sz="4"/>
          <w:left w:val="single" w:color="DDD9CF" w:sz="4"/>
          <w:bottom w:val="single" w:color="DDD9CF" w:sz="4"/>
          <w:right w:val="single" w:color="DDD9CF" w:sz="4"/>
          <w:insideH w:val="single" w:color="DDD9CF" w:sz="4"/>
          <w:insideV w:val="single" w:color="DDD9CF" w:sz="4"/>
        </w:tblBorders>
      </w:tblPr>
      <w:tblGrid>
        <w:gridCol w:w="100"/>
        <w:gridCol w:w="100"/>
        <w:gridCol w:w="100"/>
      </w:tblGrid>
      <w:tr>
        <w:trPr>
          <w:tblHeader/>
        </w:trPr>
        <w:tc>
          <w:tcPr>
            <w:tcW w:type="pct" w:w="22%"/>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Screen</w:t>
            </w:r>
          </w:p>
        </w:tc>
        <w:tc>
          <w:tcPr>
            <w:tcW w:type="pct" w:w="26%"/>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Where</w:t>
            </w:r>
          </w:p>
        </w:tc>
        <w:tc>
          <w:tcPr>
            <w:tcW w:type="pct" w:w="52%"/>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What it shows</w:t>
            </w:r>
          </w:p>
        </w:tc>
      </w:tr>
      <w:tr>
        <w:tc>
          <w:tcPr>
            <w:tcW w:type="pct" w:w="22%"/>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The catalog</w:t>
            </w:r>
          </w:p>
        </w:tc>
        <w:tc>
          <w:tcPr>
            <w:tcW w:type="pct" w:w="2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/documents</w:t>
            </w:r>
          </w:p>
        </w:tc>
        <w:tc>
          <w:tcPr>
            <w:tcW w:type="pct" w:w="5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All eight documents grouped by purpose, with the bilingual toggle visible</w:t>
            </w:r>
          </w:p>
        </w:tc>
      </w:tr>
      <w:tr>
        <w:tc>
          <w:tcPr>
            <w:tcW w:type="pct" w:w="22%"/>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The filler, mid-typing</w:t>
            </w:r>
          </w:p>
        </w:tc>
        <w:tc>
          <w:tcPr>
            <w:tcW w:type="pct" w:w="2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/documents/vechan-dastavej</w:t>
            </w:r>
          </w:p>
        </w:tc>
        <w:tc>
          <w:tcPr>
            <w:tcW w:type="pct" w:w="5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hero shot — form on the left, Gujarati deed building on the right. Fill in a few fields first so both sides have content.</w:t>
            </w:r>
          </w:p>
        </w:tc>
      </w:tr>
      <w:tr>
        <w:tc>
          <w:tcPr>
            <w:tcW w:type="pct" w:w="22%"/>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Gujarati typing assist</w:t>
            </w:r>
          </w:p>
        </w:tc>
        <w:tc>
          <w:tcPr>
            <w:tcW w:type="pct" w:w="2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any form field with the assist on</w:t>
            </w:r>
          </w:p>
        </w:tc>
        <w:tc>
          <w:tcPr>
            <w:tcW w:type="pct" w:w="5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Latin typing turning into Gujarati script</w:t>
            </w:r>
          </w:p>
        </w:tc>
      </w:tr>
      <w:tr>
        <w:tc>
          <w:tcPr>
            <w:tcW w:type="pct" w:w="22%"/>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The finished deed</w:t>
            </w:r>
          </w:p>
        </w:tc>
        <w:tc>
          <w:tcPr>
            <w:tcW w:type="pct" w:w="2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/documents/vasiyatnamu, print preview</w:t>
            </w:r>
          </w:p>
        </w:tc>
        <w:tc>
          <w:tcPr>
            <w:tcW w:type="pct" w:w="5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deed alone, laid out as a real document with the stamp space and signature blocks</w:t>
            </w:r>
          </w:p>
        </w:tc>
      </w:tr>
      <w:tr>
        <w:tc>
          <w:tcPr>
            <w:tcW w:type="pct" w:w="22%"/>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The stamp note</w:t>
            </w:r>
          </w:p>
        </w:tc>
        <w:tc>
          <w:tcPr>
            <w:tcW w:type="pct" w:w="2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any template</w:t>
            </w:r>
          </w:p>
        </w:tc>
        <w:tc>
          <w:tcPr>
            <w:tcW w:type="pct" w:w="5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stamp-duty guidance panel — good for the trust section</w:t>
            </w:r>
          </w:p>
        </w:tc>
      </w:tr>
    </w:tbl>
    <w:p>
      <w:pPr>
        <w:spacing w:after="120"/>
      </w:pPr>
    </w:p>
    <w:p>
      <w:pPr>
        <w:spacing w:after="140" w:line="280"/>
      </w:pPr>
      <w:r>
        <w:rPr>
          <w:rFonts w:ascii="Calibri" w:cs="Calibri" w:eastAsia="Calibri" w:hAnsi="Calibri"/>
          <w:i/>
          <w:iCs/>
          <w:color w:val="5B6472"/>
          <w:sz w:val="19"/>
          <w:szCs w:val="19"/>
        </w:rPr>
        <w:t xml:space="preserve">Use realistic-looking but invented names, survey numbers and amounts in any screenshot — never a real person's details.</w:t>
      </w:r>
    </w:p>
    <w:p>
      <w:pPr>
        <w:pStyle w:val="Heading1"/>
        <w:pBdr>
          <w:bottom w:val="single" w:color="DDD9CF" w:sz="6" w:space="6"/>
        </w:pBdr>
        <w:spacing w:after="160" w:before="400"/>
      </w:pPr>
      <w:r>
        <w:rPr>
          <w:rFonts w:ascii="Calibri" w:cs="Calibri" w:eastAsia="Calibri" w:hAnsi="Calibri"/>
          <w:b/>
          <w:bCs/>
          <w:color w:val="1F4E79"/>
          <w:sz w:val="30"/>
          <w:szCs w:val="30"/>
        </w:rPr>
        <w:t xml:space="preserve">14. Gujarati glossary</w:t>
      </w:r>
    </w:p>
    <w:p>
      <w:pPr>
        <w:spacing w:after="140" w:line="300"/>
      </w:pPr>
      <w:r>
        <w:rPr>
          <w:rFonts w:ascii="Calibri" w:cs="Calibri" w:eastAsia="Calibri" w:hAnsi="Calibri"/>
          <w:color w:val="1B2430"/>
          <w:sz w:val="21"/>
          <w:szCs w:val="21"/>
        </w:rPr>
        <w:t xml:space="preserve">For anyone writing about this who does not read Gujarati.</w:t>
      </w:r>
    </w:p>
    <w:p>
      <w:pPr>
        <w:spacing w:after="60"/>
      </w:pPr>
    </w:p>
    <w:tbl>
      <w:tblPr>
        <w:tblW w:type="pct" w:w="100%"/>
        <w:tblBorders>
          <w:top w:val="single" w:color="DDD9CF" w:sz="4"/>
          <w:left w:val="single" w:color="DDD9CF" w:sz="4"/>
          <w:bottom w:val="single" w:color="DDD9CF" w:sz="4"/>
          <w:right w:val="single" w:color="DDD9CF" w:sz="4"/>
          <w:insideH w:val="single" w:color="DDD9CF" w:sz="4"/>
          <w:insideV w:val="single" w:color="DDD9CF" w:sz="4"/>
        </w:tblBorders>
      </w:tblPr>
      <w:tblGrid>
        <w:gridCol w:w="100"/>
        <w:gridCol w:w="100"/>
        <w:gridCol w:w="100"/>
      </w:tblGrid>
      <w:tr>
        <w:trPr>
          <w:tblHeader/>
        </w:trPr>
        <w:tc>
          <w:tcPr>
            <w:tcW w:type="pct" w:w="24%"/>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Term</w:t>
            </w:r>
          </w:p>
        </w:tc>
        <w:tc>
          <w:tcPr>
            <w:tcW w:type="pct" w:w="22%"/>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Roman</w:t>
            </w:r>
          </w:p>
        </w:tc>
        <w:tc>
          <w:tcPr>
            <w:tcW w:type="pct" w:w="54%"/>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Means</w:t>
            </w:r>
          </w:p>
        </w:tc>
      </w:tr>
      <w:tr>
        <w:tc>
          <w:tcPr>
            <w:tcW w:type="pct" w:w="24%"/>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દસ્તાવેજ</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dastavej</w:t>
            </w:r>
          </w:p>
        </w:tc>
        <w:tc>
          <w:tcPr>
            <w:tcW w:type="pct" w:w="5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 deed or registered document; in ordinary speech, specifically the sale deed</w:t>
            </w:r>
          </w:p>
        </w:tc>
      </w:tr>
      <w:tr>
        <w:tc>
          <w:tcPr>
            <w:tcW w:type="pct" w:w="24%"/>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બાનાખત</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banakhat</w:t>
            </w:r>
          </w:p>
        </w:tc>
        <w:tc>
          <w:tcPr>
            <w:tcW w:type="pct" w:w="5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earnest-money agreement signed before the sale deed</w:t>
            </w:r>
          </w:p>
        </w:tc>
      </w:tr>
      <w:tr>
        <w:tc>
          <w:tcPr>
            <w:tcW w:type="pct" w:w="24%"/>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બક્ષિસ</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bakshis</w:t>
            </w:r>
          </w:p>
        </w:tc>
        <w:tc>
          <w:tcPr>
            <w:tcW w:type="pct" w:w="5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 gift</w:t>
            </w:r>
          </w:p>
        </w:tc>
      </w:tr>
      <w:tr>
        <w:tc>
          <w:tcPr>
            <w:tcW w:type="pct" w:w="24%"/>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હક કમી</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haq kami</w:t>
            </w:r>
          </w:p>
        </w:tc>
        <w:tc>
          <w:tcPr>
            <w:tcW w:type="pct" w:w="5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Giving up a right — a release or relinquishment</w:t>
            </w:r>
          </w:p>
        </w:tc>
      </w:tr>
      <w:tr>
        <w:tc>
          <w:tcPr>
            <w:tcW w:type="pct" w:w="24%"/>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વસિયતનામું</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vasiyatnamu</w:t>
            </w:r>
          </w:p>
        </w:tc>
        <w:tc>
          <w:tcPr>
            <w:tcW w:type="pct" w:w="5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 will</w:t>
            </w:r>
          </w:p>
        </w:tc>
      </w:tr>
      <w:tr>
        <w:tc>
          <w:tcPr>
            <w:tcW w:type="pct" w:w="24%"/>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કુલમુખત્યારનામું</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kulmukhtyarnamu</w:t>
            </w:r>
          </w:p>
        </w:tc>
        <w:tc>
          <w:tcPr>
            <w:tcW w:type="pct" w:w="5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 general power of attorney</w:t>
            </w:r>
          </w:p>
        </w:tc>
      </w:tr>
      <w:tr>
        <w:tc>
          <w:tcPr>
            <w:tcW w:type="pct" w:w="24%"/>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સોગંદનામું</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sogandnamu</w:t>
            </w:r>
          </w:p>
        </w:tc>
        <w:tc>
          <w:tcPr>
            <w:tcW w:type="pct" w:w="5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An affidavit, sworn before a notary</w:t>
            </w:r>
          </w:p>
        </w:tc>
      </w:tr>
      <w:tr>
        <w:tc>
          <w:tcPr>
            <w:tcW w:type="pct" w:w="24%"/>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દસ્તાવેજ લેખક</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dastavej lekhak</w:t>
            </w:r>
          </w:p>
        </w:tc>
        <w:tc>
          <w:tcPr>
            <w:tcW w:type="pct" w:w="5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deed writer who drafts documents outside the sub-registrar office</w:t>
            </w:r>
          </w:p>
        </w:tc>
      </w:tr>
      <w:tr>
        <w:tc>
          <w:tcPr>
            <w:tcW w:type="pct" w:w="24%"/>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મોડેલ ડ્રાફ્ટ</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model draft</w:t>
            </w:r>
          </w:p>
        </w:tc>
        <w:tc>
          <w:tcPr>
            <w:tcW w:type="pct" w:w="5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official format published by the registration department</w:t>
            </w:r>
          </w:p>
        </w:tc>
      </w:tr>
      <w:tr>
        <w:tc>
          <w:tcPr>
            <w:tcW w:type="pct" w:w="24%"/>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જંત્રી</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jantri</w:t>
            </w:r>
          </w:p>
        </w:tc>
        <w:tc>
          <w:tcPr>
            <w:tcW w:type="pct" w:w="5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government's benchmark land valuation, used to compute stamp duty</w:t>
            </w:r>
          </w:p>
        </w:tc>
      </w:tr>
      <w:tr>
        <w:tc>
          <w:tcPr>
            <w:tcW w:type="pct" w:w="24%"/>
            <w:tcMar>
              <w:top w:type="dxa" w:w="90"/>
              <w:left w:type="dxa" w:w="120"/>
              <w:bottom w:type="dxa" w:w="90"/>
              <w:right w:type="dxa" w:w="120"/>
            </w:tcMar>
          </w:tcPr>
          <w:p>
            <w:pPr>
              <w:spacing w:line="260"/>
            </w:pPr>
            <w:r>
              <w:rPr>
                <w:rFonts w:ascii="Shruti" w:cs="Shruti" w:eastAsia="Shruti" w:hAnsi="Shruti"/>
                <w:b/>
                <w:bCs/>
                <w:color w:val="1B2430"/>
                <w:sz w:val="19"/>
                <w:szCs w:val="19"/>
              </w:rPr>
              <w:t xml:space="preserve">૭/૧૨</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sat-baar</w:t>
            </w:r>
          </w:p>
        </w:tc>
        <w:tc>
          <w:tcPr>
            <w:tcW w:type="pct" w:w="5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land record extract showing ownership and rights</w:t>
            </w:r>
          </w:p>
        </w:tc>
      </w:tr>
      <w:tr>
        <w:tc>
          <w:tcPr>
            <w:tcW w:type="pct" w:w="24%"/>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ગાર્વી</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Garvi</w:t>
            </w:r>
          </w:p>
        </w:tc>
        <w:tc>
          <w:tcPr>
            <w:tcW w:type="pct" w:w="5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Gujarat registration department's online portal</w:t>
            </w:r>
          </w:p>
        </w:tc>
      </w:tr>
      <w:tr>
        <w:tc>
          <w:tcPr>
            <w:tcW w:type="pct" w:w="24%"/>
            <w:tcMar>
              <w:top w:type="dxa" w:w="90"/>
              <w:left w:type="dxa" w:w="120"/>
              <w:bottom w:type="dxa" w:w="90"/>
              <w:right w:type="dxa" w:w="120"/>
            </w:tcMar>
          </w:tcPr>
          <w:p>
            <w:pPr>
              <w:spacing w:line="260"/>
            </w:pPr>
            <w:r>
              <w:rPr>
                <w:rFonts w:ascii="Shruti" w:cs="Shruti" w:eastAsia="Shruti" w:hAnsi="Shruti"/>
                <w:b/>
                <w:bCs/>
                <w:color w:val="1B2430"/>
                <w:sz w:val="19"/>
                <w:szCs w:val="19"/>
              </w:rPr>
              <w:t xml:space="preserve">ઉ.વ.આ.</w:t>
            </w:r>
          </w:p>
        </w:tc>
        <w:tc>
          <w:tcPr>
            <w:tcW w:type="pct" w:w="22%"/>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u.va.aa.</w:t>
            </w:r>
          </w:p>
        </w:tc>
        <w:tc>
          <w:tcPr>
            <w:tcW w:type="pct" w:w="54%"/>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"Aged … years" — the standard age phrase in a deed</w:t>
            </w:r>
          </w:p>
        </w:tc>
      </w:tr>
    </w:tbl>
    <w:p>
      <w:pPr>
        <w:pStyle w:val="Heading1"/>
        <w:pBdr>
          <w:bottom w:val="single" w:color="DDD9CF" w:sz="6" w:space="6"/>
        </w:pBdr>
        <w:spacing w:after="160" w:before="400"/>
      </w:pPr>
      <w:r>
        <w:rPr>
          <w:rFonts w:ascii="Calibri" w:cs="Calibri" w:eastAsia="Calibri" w:hAnsi="Calibri"/>
          <w:b/>
          <w:bCs/>
          <w:color w:val="1F4E79"/>
          <w:sz w:val="30"/>
          <w:szCs w:val="30"/>
        </w:rPr>
        <w:t xml:space="preserve">15. Status — what is real today</w:t>
      </w:r>
    </w:p>
    <w:p>
      <w:pPr>
        <w:spacing w:after="140" w:line="300"/>
      </w:pPr>
      <w:r>
        <w:rPr>
          <w:rFonts w:ascii="Calibri" w:cs="Calibri" w:eastAsia="Calibri" w:hAnsi="Calibri"/>
          <w:color w:val="1B2430"/>
          <w:sz w:val="21"/>
          <w:szCs w:val="21"/>
        </w:rPr>
        <w:t xml:space="preserve">Check any claim against this table before it goes out.</w:t>
      </w:r>
    </w:p>
    <w:p>
      <w:pPr>
        <w:spacing w:after="60"/>
      </w:pPr>
    </w:p>
    <w:tbl>
      <w:tblPr>
        <w:tblW w:type="pct" w:w="100%"/>
        <w:tblBorders>
          <w:top w:val="single" w:color="DDD9CF" w:sz="4"/>
          <w:left w:val="single" w:color="DDD9CF" w:sz="4"/>
          <w:bottom w:val="single" w:color="DDD9CF" w:sz="4"/>
          <w:right w:val="single" w:color="DDD9CF" w:sz="4"/>
          <w:insideH w:val="single" w:color="DDD9CF" w:sz="4"/>
          <w:insideV w:val="single" w:color="DDD9CF" w:sz="4"/>
        </w:tblBorders>
      </w:tblPr>
      <w:tblGrid>
        <w:gridCol w:w="100"/>
        <w:gridCol w:w="100"/>
      </w:tblGrid>
      <w:tr>
        <w:trPr>
          <w:tblHeader/>
        </w:trPr>
        <w:tc>
          <w:tcPr>
            <w:tcW w:type="pct" w:w="46%"/>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Claim</w:t>
            </w:r>
          </w:p>
        </w:tc>
        <w:tc>
          <w:tcPr>
            <w:tcW w:type="pct" w:w="54%"/>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Status</w:t>
            </w:r>
          </w:p>
        </w:tc>
      </w:tr>
      <w:tr>
        <w:tc>
          <w:tcPr>
            <w:tcW w:type="pct" w:w="46%"/>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The eight documents generate complete Gujarati drafts</w:t>
            </w:r>
          </w:p>
        </w:tc>
        <w:tc>
          <w:tcPr>
            <w:tcW w:type="pct" w:w="5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Live.</w:t>
            </w:r>
            <w:r>
              <w:rPr>
                <w:rFonts w:ascii="Calibri" w:cs="Calibri" w:eastAsia="Calibri" w:hAnsi="Calibri"/>
                <w:b w:val="false"/>
                <w:bCs w:val="false"/>
                <w:color w:val="1B2430"/>
                <w:sz w:val="19"/>
                <w:szCs w:val="19"/>
              </w:rPr>
              <w:t xml:space="preserve"> Fully working.</w:t>
            </w:r>
          </w:p>
        </w:tc>
      </w:tr>
      <w:tr>
        <w:tc>
          <w:tcPr>
            <w:tcW w:type="pct" w:w="46%"/>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Bilingual form, live preview, print, Word download</w:t>
            </w:r>
          </w:p>
        </w:tc>
        <w:tc>
          <w:tcPr>
            <w:tcW w:type="pct" w:w="5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Live.</w:t>
            </w:r>
          </w:p>
        </w:tc>
      </w:tr>
      <w:tr>
        <w:tc>
          <w:tcPr>
            <w:tcW w:type="pct" w:w="46%"/>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Gujarati typing assist</w:t>
            </w:r>
          </w:p>
        </w:tc>
        <w:tc>
          <w:tcPr>
            <w:tcW w:type="pct" w:w="5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Live.</w:t>
            </w:r>
            <w:r>
              <w:rPr>
                <w:rFonts w:ascii="Calibri" w:cs="Calibri" w:eastAsia="Calibri" w:hAnsi="Calibri"/>
                <w:b w:val="false"/>
                <w:bCs w:val="false"/>
                <w:color w:val="1B2430"/>
                <w:sz w:val="19"/>
                <w:szCs w:val="19"/>
              </w:rPr>
              <w:t xml:space="preserve"> Depends on an external service; degrades quietly if unreachable.</w:t>
            </w:r>
          </w:p>
        </w:tc>
      </w:tr>
      <w:tr>
        <w:tc>
          <w:tcPr>
            <w:tcW w:type="pct" w:w="46%"/>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Templates encoded from the Garvi model drafts</w:t>
            </w:r>
          </w:p>
        </w:tc>
        <w:tc>
          <w:tcPr>
            <w:tcW w:type="pct" w:w="5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True</w:t>
            </w:r>
            <w:r>
              <w:rPr>
                <w:rFonts w:ascii="Calibri" w:cs="Calibri" w:eastAsia="Calibri" w:hAnsi="Calibri"/>
                <w:b w:val="false"/>
                <w:bCs w:val="false"/>
                <w:color w:val="1B2430"/>
                <w:sz w:val="19"/>
                <w:szCs w:val="19"/>
              </w:rPr>
              <w:t xml:space="preserve">, with the two exceptions named in section 7.</w:t>
            </w:r>
          </w:p>
        </w:tc>
      </w:tr>
      <w:tr>
        <w:tc>
          <w:tcPr>
            <w:tcW w:type="pct" w:w="46%"/>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Templates checked by an advocate</w:t>
            </w:r>
          </w:p>
        </w:tc>
        <w:tc>
          <w:tcPr>
            <w:tcW w:type="pct" w:w="5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In progress.</w:t>
            </w:r>
            <w:r>
              <w:rPr>
                <w:rFonts w:ascii="Calibri" w:cs="Calibri" w:eastAsia="Calibri" w:hAnsi="Calibri"/>
                <w:b w:val="false"/>
                <w:bCs w:val="false"/>
                <w:color w:val="1B2430"/>
                <w:sz w:val="19"/>
                <w:szCs w:val="19"/>
              </w:rPr>
              <w:t xml:space="preserve"> Do not claim it yet.</w:t>
            </w:r>
          </w:p>
        </w:tc>
      </w:tr>
      <w:tr>
        <w:tc>
          <w:tcPr>
            <w:tcW w:type="pct" w:w="46%"/>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Pricing</w:t>
            </w:r>
          </w:p>
        </w:tc>
        <w:tc>
          <w:tcPr>
            <w:tcW w:type="pct" w:w="5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Proposed.</w:t>
            </w:r>
            <w:r>
              <w:rPr>
                <w:rFonts w:ascii="Calibri" w:cs="Calibri" w:eastAsia="Calibri" w:hAnsi="Calibri"/>
                <w:b w:val="false"/>
                <w:bCs w:val="false"/>
                <w:color w:val="1B2430"/>
                <w:sz w:val="19"/>
                <w:szCs w:val="19"/>
              </w:rPr>
              <w:t xml:space="preserve"> Not live. Confirm before publishing any figure.</w:t>
            </w:r>
          </w:p>
        </w:tc>
      </w:tr>
      <w:tr>
        <w:tc>
          <w:tcPr>
            <w:tcW w:type="pct" w:w="46%"/>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The title-check report and Title Clear Score</w:t>
            </w:r>
          </w:p>
        </w:tc>
        <w:tc>
          <w:tcPr>
            <w:tcW w:type="pct" w:w="5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Not live.</w:t>
            </w:r>
            <w:r>
              <w:rPr>
                <w:rFonts w:ascii="Calibri" w:cs="Calibri" w:eastAsia="Calibri" w:hAnsi="Calibri"/>
                <w:b w:val="false"/>
                <w:bCs w:val="false"/>
                <w:color w:val="1B2430"/>
                <w:sz w:val="19"/>
                <w:szCs w:val="19"/>
              </w:rPr>
              <w:t xml:space="preserve"> Demo screens run on sample data. Never present it as a working service.</w:t>
            </w:r>
          </w:p>
        </w:tc>
      </w:tr>
      <w:tr>
        <w:tc>
          <w:tcPr>
            <w:tcW w:type="pct" w:w="46%"/>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e-Stamp paper, e-signature, doorstep delivery</w:t>
            </w:r>
          </w:p>
        </w:tc>
        <w:tc>
          <w:tcPr>
            <w:tcW w:type="pct" w:w="5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Not built.</w:t>
            </w:r>
            <w:r>
              <w:rPr>
                <w:rFonts w:ascii="Calibri" w:cs="Calibri" w:eastAsia="Calibri" w:hAnsi="Calibri"/>
                <w:b w:val="false"/>
                <w:bCs w:val="false"/>
                <w:color w:val="1B2430"/>
                <w:sz w:val="19"/>
                <w:szCs w:val="19"/>
              </w:rPr>
              <w:t xml:space="preserve"> Planned.</w:t>
            </w:r>
          </w:p>
        </w:tc>
      </w:tr>
      <w:tr>
        <w:tc>
          <w:tcPr>
            <w:tcW w:type="pct" w:w="46%"/>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Automatic stamp-duty calculation from jantri</w:t>
            </w:r>
          </w:p>
        </w:tc>
        <w:tc>
          <w:tcPr>
            <w:tcW w:type="pct" w:w="5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Not built.</w:t>
            </w:r>
            <w:r>
              <w:rPr>
                <w:rFonts w:ascii="Calibri" w:cs="Calibri" w:eastAsia="Calibri" w:hAnsi="Calibri"/>
                <w:b w:val="false"/>
                <w:bCs w:val="false"/>
                <w:color w:val="1B2430"/>
                <w:sz w:val="19"/>
                <w:szCs w:val="19"/>
              </w:rPr>
              <w:t xml:space="preserve"> Planned.</w:t>
            </w:r>
          </w:p>
        </w:tc>
      </w:tr>
      <w:tr>
        <w:tc>
          <w:tcPr>
            <w:tcW w:type="pct" w:w="46%"/>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States other than Gujarat</w:t>
            </w:r>
          </w:p>
        </w:tc>
        <w:tc>
          <w:tcPr>
            <w:tcW w:type="pct" w:w="5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Not built.</w:t>
            </w:r>
            <w:r>
              <w:rPr>
                <w:rFonts w:ascii="Calibri" w:cs="Calibri" w:eastAsia="Calibri" w:hAnsi="Calibri"/>
                <w:b w:val="false"/>
                <w:bCs w:val="false"/>
                <w:color w:val="1B2430"/>
                <w:sz w:val="19"/>
                <w:szCs w:val="19"/>
              </w:rPr>
              <w:t xml:space="preserve"> Gujarat only.</w:t>
            </w:r>
          </w:p>
        </w:tc>
      </w:tr>
    </w:tbl>
    <w:p>
      <w:pPr>
        <w:spacing w:after="120"/>
      </w:pPr>
    </w:p>
    <w:p>
      <w:pPr>
        <w:spacing w:after="140" w:line="300"/>
      </w:pPr>
      <w:r>
        <w:rPr>
          <w:rFonts w:ascii="Calibri" w:cs="Calibri" w:eastAsia="Calibri" w:hAnsi="Calibri"/>
          <w:b/>
          <w:bCs/>
          <w:color w:val="1B2430"/>
          <w:sz w:val="21"/>
          <w:szCs w:val="21"/>
        </w:rPr>
        <w:t xml:space="preserve">If one sentence has to carry the caveat</w:t>
      </w:r>
      <w:r>
        <w:rPr>
          <w:rFonts w:ascii="Calibri" w:cs="Calibri" w:eastAsia="Calibri" w:hAnsi="Calibri"/>
          <w:color w:val="1B2430"/>
          <w:sz w:val="21"/>
          <w:szCs w:val="21"/>
        </w:rPr>
        <w:t xml:space="preserve">, this is it: TitleClear helps you draft the document — you still take it to an advocate and register it yourself.</w:t>
      </w:r>
    </w:p>
    <w:p>
      <w:pPr>
        <w:pStyle w:val="Heading1"/>
        <w:pBdr>
          <w:bottom w:val="single" w:color="DDD9CF" w:sz="6" w:space="6"/>
        </w:pBdr>
        <w:spacing w:after="160" w:before="400"/>
      </w:pPr>
      <w:r>
        <w:rPr>
          <w:rFonts w:ascii="Calibri" w:cs="Calibri" w:eastAsia="Calibri" w:hAnsi="Calibri"/>
          <w:b/>
          <w:bCs/>
          <w:color w:val="1F4E79"/>
          <w:sz w:val="30"/>
          <w:szCs w:val="30"/>
        </w:rPr>
        <w:t xml:space="preserve">16. Likely questions</w:t>
      </w:r>
    </w:p>
    <w:p>
      <w:pPr>
        <w:pStyle w:val="Heading2"/>
        <w:spacing w:after="120" w:before="280"/>
      </w:pPr>
      <w:r>
        <w:rPr>
          <w:rFonts w:ascii="Calibri" w:cs="Calibri" w:eastAsia="Calibri" w:hAnsi="Calibri"/>
          <w:b/>
          <w:bCs/>
          <w:color w:val="1B2430"/>
          <w:sz w:val="23"/>
          <w:szCs w:val="23"/>
        </w:rPr>
        <w:t xml:space="preserve">Is this legal advice?</w:t>
      </w:r>
    </w:p>
    <w:p>
      <w:pPr>
        <w:spacing w:after="140" w:line="300"/>
      </w:pPr>
      <w:r>
        <w:rPr>
          <w:rFonts w:ascii="Calibri" w:cs="Calibri" w:eastAsia="Calibri" w:hAnsi="Calibri"/>
          <w:color w:val="1B2430"/>
          <w:sz w:val="21"/>
          <w:szCs w:val="21"/>
        </w:rPr>
        <w:t xml:space="preserve">No. It produces a draft using the government's published format. Anything meant for registration should be checked by an advocate before it is executed.</w:t>
      </w:r>
    </w:p>
    <w:p>
      <w:pPr>
        <w:pStyle w:val="Heading2"/>
        <w:spacing w:after="120" w:before="280"/>
      </w:pPr>
      <w:r>
        <w:rPr>
          <w:rFonts w:ascii="Calibri" w:cs="Calibri" w:eastAsia="Calibri" w:hAnsi="Calibri"/>
          <w:b/>
          <w:bCs/>
          <w:color w:val="1B2430"/>
          <w:sz w:val="23"/>
          <w:szCs w:val="23"/>
        </w:rPr>
        <w:t xml:space="preserve">The model drafts are free on Garvi. Why pay?</w:t>
      </w:r>
    </w:p>
    <w:p>
      <w:pPr>
        <w:spacing w:after="140" w:line="300"/>
      </w:pPr>
      <w:r>
        <w:rPr>
          <w:rFonts w:ascii="Calibri" w:cs="Calibri" w:eastAsia="Calibri" w:hAnsi="Calibri"/>
          <w:color w:val="1B2430"/>
          <w:sz w:val="21"/>
          <w:szCs w:val="21"/>
        </w:rPr>
        <w:t xml:space="preserve">They are, and you can read and fill every template here for free too. What you pay for is the finished file — correct Gujarati wording, amounts written out in words, deed-style dates, all your parties and property details in the right places.</w:t>
      </w:r>
    </w:p>
    <w:p>
      <w:pPr>
        <w:pStyle w:val="Heading2"/>
        <w:spacing w:after="120" w:before="280"/>
      </w:pPr>
      <w:r>
        <w:rPr>
          <w:rFonts w:ascii="Calibri" w:cs="Calibri" w:eastAsia="Calibri" w:hAnsi="Calibri"/>
          <w:b/>
          <w:bCs/>
          <w:color w:val="1B2430"/>
          <w:sz w:val="23"/>
          <w:szCs w:val="23"/>
        </w:rPr>
        <w:t xml:space="preserve">Will the sub-registrar accept it?</w:t>
      </w:r>
    </w:p>
    <w:p>
      <w:pPr>
        <w:spacing w:after="140" w:line="300"/>
      </w:pPr>
      <w:r>
        <w:rPr>
          <w:rFonts w:ascii="Calibri" w:cs="Calibri" w:eastAsia="Calibri" w:hAnsi="Calibri"/>
          <w:color w:val="1B2430"/>
          <w:sz w:val="21"/>
          <w:szCs w:val="21"/>
        </w:rPr>
        <w:t xml:space="preserve">It follows the department's own model format, which is the best starting point there is. Whether any particular document is accepted depends on the transaction and the office — which is why the draft is editable and why an advocate should see it first.</w:t>
      </w:r>
    </w:p>
    <w:p>
      <w:pPr>
        <w:pStyle w:val="Heading2"/>
        <w:spacing w:after="120" w:before="280"/>
      </w:pPr>
      <w:r>
        <w:rPr>
          <w:rFonts w:ascii="Calibri" w:cs="Calibri" w:eastAsia="Calibri" w:hAnsi="Calibri"/>
          <w:b/>
          <w:bCs/>
          <w:color w:val="1B2430"/>
          <w:sz w:val="23"/>
          <w:szCs w:val="23"/>
        </w:rPr>
        <w:t xml:space="preserve">Do I need to know how to type in Gujarati?</w:t>
      </w:r>
    </w:p>
    <w:p>
      <w:pPr>
        <w:spacing w:after="140" w:line="300"/>
      </w:pPr>
      <w:r>
        <w:rPr>
          <w:rFonts w:ascii="Calibri" w:cs="Calibri" w:eastAsia="Calibri" w:hAnsi="Calibri"/>
          <w:color w:val="1B2430"/>
          <w:sz w:val="21"/>
          <w:szCs w:val="21"/>
        </w:rPr>
        <w:t xml:space="preserve">No. Type in English letters and the typing assist converts it to Gujarati script, field by field.</w:t>
      </w:r>
    </w:p>
    <w:p>
      <w:pPr>
        <w:pStyle w:val="Heading2"/>
        <w:spacing w:after="120" w:before="280"/>
      </w:pPr>
      <w:r>
        <w:rPr>
          <w:rFonts w:ascii="Calibri" w:cs="Calibri" w:eastAsia="Calibri" w:hAnsi="Calibri"/>
          <w:b/>
          <w:bCs/>
          <w:color w:val="1B2430"/>
          <w:sz w:val="23"/>
          <w:szCs w:val="23"/>
        </w:rPr>
        <w:t xml:space="preserve">Can I edit the document afterwards?</w:t>
      </w:r>
    </w:p>
    <w:p>
      <w:pPr>
        <w:spacing w:after="140" w:line="300"/>
      </w:pPr>
      <w:r>
        <w:rPr>
          <w:rFonts w:ascii="Calibri" w:cs="Calibri" w:eastAsia="Calibri" w:hAnsi="Calibri"/>
          <w:color w:val="1B2430"/>
          <w:sz w:val="21"/>
          <w:szCs w:val="21"/>
        </w:rPr>
        <w:t xml:space="preserve">Yes — the download is an editable Word file, deliberately, because many people take it to an advocate or deed writer to finish.</w:t>
      </w:r>
    </w:p>
    <w:p>
      <w:pPr>
        <w:pStyle w:val="Heading2"/>
        <w:spacing w:after="120" w:before="280"/>
      </w:pPr>
      <w:r>
        <w:rPr>
          <w:rFonts w:ascii="Calibri" w:cs="Calibri" w:eastAsia="Calibri" w:hAnsi="Calibri"/>
          <w:b/>
          <w:bCs/>
          <w:color w:val="1B2430"/>
          <w:sz w:val="23"/>
          <w:szCs w:val="23"/>
        </w:rPr>
        <w:t xml:space="preserve">Does it calculate my stamp duty?</w:t>
      </w:r>
    </w:p>
    <w:p>
      <w:pPr>
        <w:spacing w:after="140" w:line="300"/>
      </w:pPr>
      <w:r>
        <w:rPr>
          <w:rFonts w:ascii="Calibri" w:cs="Calibri" w:eastAsia="Calibri" w:hAnsi="Calibri"/>
          <w:color w:val="1B2430"/>
          <w:sz w:val="21"/>
          <w:szCs w:val="21"/>
        </w:rPr>
        <w:t xml:space="preserve">Not yet. Each document shows guidance on what to expect and tells you to verify the current rate — rates change, and the 2025 stamp amendment changed several of them. Automatic calculation from jantri rates is planned.</w:t>
      </w:r>
    </w:p>
    <w:p>
      <w:pPr>
        <w:pStyle w:val="Heading2"/>
        <w:spacing w:after="120" w:before="280"/>
      </w:pPr>
      <w:r>
        <w:rPr>
          <w:rFonts w:ascii="Calibri" w:cs="Calibri" w:eastAsia="Calibri" w:hAnsi="Calibri"/>
          <w:b/>
          <w:bCs/>
          <w:color w:val="1B2430"/>
          <w:sz w:val="23"/>
          <w:szCs w:val="23"/>
        </w:rPr>
        <w:t xml:space="preserve">Which states does it cover?</w:t>
      </w:r>
    </w:p>
    <w:p>
      <w:pPr>
        <w:spacing w:after="140" w:line="300"/>
      </w:pPr>
      <w:r>
        <w:rPr>
          <w:rFonts w:ascii="Calibri" w:cs="Calibri" w:eastAsia="Calibri" w:hAnsi="Calibri"/>
          <w:color w:val="1B2430"/>
          <w:sz w:val="21"/>
          <w:szCs w:val="21"/>
        </w:rPr>
        <w:t xml:space="preserve">Gujarat only, deliberately. The formats, the language and the stamp rules are state-specific — doing one state properly beats doing ten badly.</w:t>
      </w:r>
    </w:p>
    <w:p>
      <w:pPr>
        <w:pStyle w:val="Heading2"/>
        <w:spacing w:after="120" w:before="280"/>
      </w:pPr>
      <w:r>
        <w:rPr>
          <w:rFonts w:ascii="Calibri" w:cs="Calibri" w:eastAsia="Calibri" w:hAnsi="Calibri"/>
          <w:b/>
          <w:bCs/>
          <w:color w:val="1B2430"/>
          <w:sz w:val="23"/>
          <w:szCs w:val="23"/>
        </w:rPr>
        <w:t xml:space="preserve">Is my data safe?</w:t>
      </w:r>
    </w:p>
    <w:p>
      <w:pPr>
        <w:spacing w:after="140" w:line="300"/>
      </w:pPr>
      <w:r>
        <w:rPr>
          <w:rFonts w:ascii="Calibri" w:cs="Calibri" w:eastAsia="Calibri" w:hAnsi="Calibri"/>
          <w:color w:val="1B2430"/>
          <w:sz w:val="21"/>
          <w:szCs w:val="21"/>
        </w:rPr>
        <w:t xml:space="preserve">Drafts are saved in your own browser as you work. Confirm the current position with the team before making any specific privacy claim in writing.</w:t>
      </w:r>
    </w:p>
    <w:p>
      <w:pPr>
        <w:pStyle w:val="Heading1"/>
        <w:pBdr>
          <w:bottom w:val="single" w:color="DDD9CF" w:sz="6" w:space="6"/>
        </w:pBdr>
        <w:spacing w:after="160" w:before="400"/>
      </w:pPr>
      <w:r>
        <w:rPr>
          <w:rFonts w:ascii="Calibri" w:cs="Calibri" w:eastAsia="Calibri" w:hAnsi="Calibri"/>
          <w:b/>
          <w:bCs/>
          <w:color w:val="1F4E79"/>
          <w:sz w:val="30"/>
          <w:szCs w:val="30"/>
        </w:rPr>
        <w:t xml:space="preserve">17. Numbers you can cite</w:t>
      </w:r>
    </w:p>
    <w:p>
      <w:pPr>
        <w:spacing w:after="60"/>
      </w:pPr>
    </w:p>
    <w:tbl>
      <w:tblPr>
        <w:tblW w:type="pct" w:w="100%"/>
        <w:tblBorders>
          <w:top w:val="single" w:color="DDD9CF" w:sz="4"/>
          <w:left w:val="single" w:color="DDD9CF" w:sz="4"/>
          <w:bottom w:val="single" w:color="DDD9CF" w:sz="4"/>
          <w:right w:val="single" w:color="DDD9CF" w:sz="4"/>
          <w:insideH w:val="single" w:color="DDD9CF" w:sz="4"/>
          <w:insideV w:val="single" w:color="DDD9CF" w:sz="4"/>
        </w:tblBorders>
      </w:tblPr>
      <w:tblGrid>
        <w:gridCol w:w="100"/>
        <w:gridCol w:w="100"/>
        <w:gridCol w:w="100"/>
      </w:tblGrid>
      <w:tr>
        <w:trPr>
          <w:tblHeader/>
        </w:trPr>
        <w:tc>
          <w:tcPr>
            <w:tcW w:type="pct" w:w="34%"/>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Figure</w:t>
            </w:r>
          </w:p>
        </w:tc>
        <w:tc>
          <w:tcPr>
            <w:tcW w:type="pct" w:w="30%"/>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Use it for</w:t>
            </w:r>
          </w:p>
        </w:tc>
        <w:tc>
          <w:tcPr>
            <w:tcW w:type="pct" w:w="36%"/>
            <w:shd w:fill="F2F0EA" w:color="auto" w:val="clear"/>
            <w:tcMar>
              <w:top w:type="dxa" w:w="90"/>
              <w:left w:type="dxa" w:w="120"/>
              <w:bottom w:type="dxa" w:w="90"/>
              <w:right w:type="dxa" w:w="120"/>
            </w:tcMar>
          </w:tcPr>
          <w:p>
            <w:pPr>
              <w:spacing w:line="260"/>
            </w:pPr>
            <w:r>
              <w:rPr>
                <w:rFonts w:ascii="Calibri" w:cs="Calibri" w:eastAsia="Calibri" w:hAnsi="Calibri"/>
                <w:b/>
                <w:bCs/>
                <w:color w:val="5B6472"/>
                <w:sz w:val="17"/>
                <w:szCs w:val="17"/>
              </w:rPr>
              <w:t xml:space="preserve">Confidence</w:t>
            </w:r>
          </w:p>
        </w:tc>
      </w:tr>
      <w:tr>
        <w:tc>
          <w:tcPr>
            <w:tcW w:type="pct" w:w="3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18.95 lakh documents registered in Gujarat, FY 2025-26</w:t>
            </w:r>
          </w:p>
        </w:tc>
        <w:tc>
          <w:tcPr>
            <w:tcW w:type="pct" w:w="3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Market size</w:t>
            </w:r>
          </w:p>
        </w:tc>
        <w:tc>
          <w:tcPr>
            <w:tcW w:type="pct" w:w="3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Reported in the press; solid</w:t>
            </w:r>
          </w:p>
        </w:tc>
      </w:tr>
      <w:tr>
        <w:tc>
          <w:tcPr>
            <w:tcW w:type="pct" w:w="3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₹19,103 crore stamp duty and registration revenue, FY 2025-26</w:t>
            </w:r>
          </w:p>
        </w:tc>
        <w:tc>
          <w:tcPr>
            <w:tcW w:type="pct" w:w="3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Market size</w:t>
            </w:r>
          </w:p>
        </w:tc>
        <w:tc>
          <w:tcPr>
            <w:tcW w:type="pct" w:w="3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Reported in the press; solid</w:t>
            </w:r>
          </w:p>
        </w:tc>
      </w:tr>
      <w:tr>
        <w:tc>
          <w:tcPr>
            <w:tcW w:type="pct" w:w="3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~4.9% stamp duty + 1% registration on a Gujarat sale</w:t>
            </w:r>
          </w:p>
        </w:tc>
        <w:tc>
          <w:tcPr>
            <w:tcW w:type="pct" w:w="3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cost of getting it wrong</w:t>
            </w:r>
          </w:p>
        </w:tc>
        <w:tc>
          <w:tcPr>
            <w:tcW w:type="pct" w:w="3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Widely published; always call it approximate</w:t>
            </w:r>
          </w:p>
        </w:tc>
      </w:tr>
      <w:tr>
        <w:tc>
          <w:tcPr>
            <w:tcW w:type="pct" w:w="3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Deed writer ~₹500 first page, ₹250–₹300 after</w:t>
            </w:r>
          </w:p>
        </w:tc>
        <w:tc>
          <w:tcPr>
            <w:tcW w:type="pct" w:w="3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The alternative's cost</w:t>
            </w:r>
          </w:p>
        </w:tc>
        <w:tc>
          <w:tcPr>
            <w:tcW w:type="pct" w:w="3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From secondary sources — verify before printing it</w:t>
            </w:r>
          </w:p>
        </w:tc>
      </w:tr>
      <w:tr>
        <w:tc>
          <w:tcPr>
            <w:tcW w:type="pct" w:w="3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Registration fee waived for a sole female purchaser</w:t>
            </w:r>
          </w:p>
        </w:tc>
        <w:tc>
          <w:tcPr>
            <w:tcW w:type="pct" w:w="3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 useful, human detail</w:t>
            </w:r>
          </w:p>
        </w:tc>
        <w:tc>
          <w:tcPr>
            <w:tcW w:type="pct" w:w="3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Widely published; verify currency</w:t>
            </w:r>
          </w:p>
        </w:tc>
      </w:tr>
      <w:tr>
        <w:tc>
          <w:tcPr>
            <w:tcW w:type="pct" w:w="3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A will needs no stamp paper and is valid on plain paper</w:t>
            </w:r>
          </w:p>
        </w:tc>
        <w:tc>
          <w:tcPr>
            <w:tcW w:type="pct" w:w="3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A genuinely surprising fact, good for content</w:t>
            </w:r>
          </w:p>
        </w:tc>
        <w:tc>
          <w:tcPr>
            <w:tcW w:type="pct" w:w="3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Standard position; two witnesses are mandatory and a beneficiary cannot be one</w:t>
            </w:r>
          </w:p>
        </w:tc>
      </w:tr>
      <w:tr>
        <w:tc>
          <w:tcPr>
            <w:tcW w:type="pct" w:w="34%"/>
            <w:tcMar>
              <w:top w:type="dxa" w:w="90"/>
              <w:left w:type="dxa" w:w="120"/>
              <w:bottom w:type="dxa" w:w="90"/>
              <w:right w:type="dxa" w:w="120"/>
            </w:tcMar>
          </w:tcPr>
          <w:p>
            <w:pPr>
              <w:spacing w:line="260"/>
            </w:pPr>
            <w:r>
              <w:rPr>
                <w:rFonts w:ascii="Calibri" w:cs="Calibri" w:eastAsia="Calibri" w:hAnsi="Calibri"/>
                <w:b/>
                <w:bCs/>
                <w:color w:val="1B2430"/>
                <w:sz w:val="19"/>
                <w:szCs w:val="19"/>
              </w:rPr>
              <w:t xml:space="preserve">8 documents, 7 available in English too</w:t>
            </w:r>
          </w:p>
        </w:tc>
        <w:tc>
          <w:tcPr>
            <w:tcW w:type="pct" w:w="30%"/>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Product spec</w:t>
            </w:r>
          </w:p>
        </w:tc>
        <w:tc>
          <w:tcPr>
            <w:tcW w:type="pct" w:w="36%"/>
            <w:tcMar>
              <w:top w:type="dxa" w:w="90"/>
              <w:left w:type="dxa" w:w="120"/>
              <w:bottom w:type="dxa" w:w="90"/>
              <w:right w:type="dxa" w:w="120"/>
            </w:tcMar>
          </w:tcPr>
          <w:p>
            <w:pPr>
              <w:spacing w:line="260"/>
            </w:pPr>
            <w:r>
              <w:rPr>
                <w:rFonts w:ascii="Calibri" w:cs="Calibri" w:eastAsia="Calibri" w:hAnsi="Calibri"/>
                <w:b w:val="false"/>
                <w:bCs w:val="false"/>
                <w:color w:val="1B2430"/>
                <w:sz w:val="19"/>
                <w:szCs w:val="19"/>
              </w:rPr>
              <w:t xml:space="preserve">Read from the code, 26 Aug 2026</w:t>
            </w:r>
          </w:p>
        </w:tc>
      </w:tr>
    </w:tbl>
    <w:p>
      <w:pPr>
        <w:spacing w:after="120"/>
      </w:pPr>
    </w:p>
    <w:p>
      <w:pPr>
        <w:spacing w:after="140" w:line="280"/>
      </w:pPr>
      <w:r>
        <w:rPr>
          <w:rFonts w:ascii="Calibri" w:cs="Calibri" w:eastAsia="Calibri" w:hAnsi="Calibri"/>
          <w:i/>
          <w:iCs/>
          <w:color w:val="5B6472"/>
          <w:sz w:val="19"/>
          <w:szCs w:val="19"/>
        </w:rPr>
        <w:t xml:space="preserve">Anything marked "verify" should be re-checked before it appears in public material. Rates and fees in this space change more often than people expect.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TitleClear — Document module product brief</dc:title>
  <dc:creator>TitleClear.ai</dc:creator>
  <dc:description>Product brief for the Gujarati document-drafting module</dc:description>
  <cp:lastModifiedBy>Un-named</cp:lastModifiedBy>
  <cp:revision>1</cp:revision>
  <dcterms:created xsi:type="dcterms:W3CDTF">2026-08-26T06:56:12.198Z</dcterms:created>
  <dcterms:modified xsi:type="dcterms:W3CDTF">2026-08-26T06:56:12.199Z</dcterms:modified>
</cp:coreProperties>
</file>

<file path=docProps/custom.xml><?xml version="1.0" encoding="utf-8"?>
<Properties xmlns="http://schemas.openxmlformats.org/officeDocument/2006/custom-properties" xmlns:vt="http://schemas.openxmlformats.org/officeDocument/2006/docPropsVTypes"/>
</file>