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F4D6B"/>
          <w:sz w:val="18"/>
        </w:rPr>
        <w:t>COMPLIANCE REVIEW — INTERNAL</w:t>
      </w:r>
    </w:p>
    <w:p>
      <w:pPr>
        <w:spacing w:after="40"/>
      </w:pPr>
      <w:r>
        <w:rPr>
          <w:rFonts w:ascii="Calibri" w:hAnsi="Calibri"/>
          <w:b/>
          <w:i w:val="0"/>
          <w:color w:val="17212B"/>
          <w:sz w:val="44"/>
        </w:rPr>
        <w:t>Mobile Wireframes vs. FRD &amp; Proposal</w:t>
      </w:r>
    </w:p>
    <w:p>
      <w:pPr>
        <w:spacing w:after="240"/>
      </w:pPr>
      <w:r>
        <w:rPr>
          <w:rFonts w:ascii="Calibri" w:hAnsi="Calibri"/>
          <w:b w:val="0"/>
          <w:i w:val="0"/>
          <w:color w:val="4C5A66"/>
          <w:sz w:val="26"/>
        </w:rPr>
        <w:t>AI-Powered Property Management &amp; Services Platform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6"/>
              </w:rPr>
              <w:t>DATE</w:t>
            </w:r>
          </w:p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31 August 2026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6"/>
              </w:rPr>
              <w:t>SCOPE REVIEWED</w:t>
            </w:r>
          </w:p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Mobile app wireframes — 11 sections, ~60 screens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6"/>
              </w:rPr>
              <w:t>COMPARED AGAINST</w:t>
            </w:r>
          </w:p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FRD &amp; Proposal (Mobile Application)</w:t>
            </w:r>
          </w:p>
        </w:tc>
      </w:tr>
    </w:tbl>
    <w:p>
      <w:pPr>
        <w:spacing w:after="80"/>
      </w:pPr>
    </w:p>
    <w:p>
      <w:pPr>
        <w:spacing w:before="440" w:after="160"/>
        <w:pBdr>
          <w:bottom w:val="single" w:sz="6" w:space="4" w:color="C3CBCD"/>
        </w:pBdr>
      </w:pPr>
      <w:r>
        <w:rPr>
          <w:rFonts w:ascii="Calibri" w:hAnsi="Calibri"/>
          <w:b/>
          <w:i w:val="0"/>
          <w:color w:val="1F4D6B"/>
          <w:sz w:val="25"/>
        </w:rPr>
        <w:t>VERDICT</w:t>
      </w:r>
    </w:p>
    <w:p>
      <w:pPr>
        <w:spacing w:after="80"/>
      </w:pPr>
      <w:r>
        <w:rPr>
          <w:rFonts w:ascii="Calibri" w:hAnsi="Calibri"/>
          <w:b/>
          <w:i w:val="0"/>
          <w:color w:val="17212B"/>
          <w:sz w:val="24"/>
        </w:rPr>
        <w:t>Substantially aligned — sections trace 1:1, five items flagged.</w:t>
      </w:r>
    </w:p>
    <w:p>
      <w:pPr>
        <w:spacing w:after="160"/>
      </w:pPr>
      <w:r>
        <w:rPr>
          <w:rFonts w:ascii="Calibri" w:hAnsi="Calibri"/>
          <w:b w:val="0"/>
          <w:i w:val="0"/>
          <w:color w:val="4C5A66"/>
          <w:sz w:val="20"/>
        </w:rPr>
        <w:t>Every wireframe section maps to a corresponding FRD/Proposal requirement, and the core maintenance workflow matches two independently drawn source diagrams almost verbatim. Five gaps are worth attention before sign-off (see page 2) — none block the current batch, but two are worth a designer follow-up.</w:t>
      </w:r>
    </w:p>
    <w:p>
      <w:pPr>
        <w:spacing w:before="440" w:after="160"/>
        <w:pBdr>
          <w:bottom w:val="single" w:sz="6" w:space="4" w:color="C3CBCD"/>
        </w:pBdr>
      </w:pPr>
      <w:r>
        <w:rPr>
          <w:rFonts w:ascii="Calibri" w:hAnsi="Calibri"/>
          <w:b/>
          <w:i w:val="0"/>
          <w:color w:val="1F4D6B"/>
          <w:sz w:val="25"/>
        </w:rPr>
        <w:t>CONFIDENCE IN THIS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CONFIDENCE</w:t>
            </w:r>
          </w:p>
        </w:tc>
        <w:tc>
          <w:tcPr>
            <w:tcW w:type="dxa" w:w="3312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4896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VERY HIGH</w:t>
            </w:r>
          </w:p>
        </w:tc>
        <w:tc>
          <w:tcPr>
            <w:tcW w:type="dxa" w:w="331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Maintenance workflow match</w:t>
            </w:r>
          </w:p>
        </w:tc>
        <w:tc>
          <w:tcPr>
            <w:tcW w:type="dxa" w:w="48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Confirmed against two independent source diagrams, not just wireframe reading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D6B"/>
                <w:sz w:val="17"/>
              </w:rPr>
              <w:t>HIGH</w:t>
            </w:r>
          </w:p>
        </w:tc>
        <w:tc>
          <w:tcPr>
            <w:tcW w:type="dxa" w:w="331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Section-to-requirement mapping</w:t>
            </w:r>
          </w:p>
        </w:tc>
        <w:tc>
          <w:tcPr>
            <w:tcW w:type="dxa" w:w="48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Direct text comparison; all 11 wireframe sections traced to FRD clauses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D6B"/>
                <w:sz w:val="17"/>
              </w:rPr>
              <w:t>HIGH</w:t>
            </w:r>
          </w:p>
        </w:tc>
        <w:tc>
          <w:tcPr>
            <w:tcW w:type="dxa" w:w="331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The five flagged gaps</w:t>
            </w:r>
          </w:p>
        </w:tc>
        <w:tc>
          <w:tcPr>
            <w:tcW w:type="dxa" w:w="48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Presence/absence checks against explicit FRD requirement text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MODERATE</w:t>
            </w:r>
          </w:p>
        </w:tc>
        <w:tc>
          <w:tcPr>
            <w:tcW w:type="dxa" w:w="331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Fine detail on the wireframe (figures, labels)</w:t>
            </w:r>
          </w:p>
        </w:tc>
        <w:tc>
          <w:tcPr>
            <w:tcW w:type="dxa" w:w="48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Read visually from one flattened image, not OCR-verified</w:t>
            </w:r>
          </w:p>
        </w:tc>
      </w:tr>
    </w:tbl>
    <w:p>
      <w:pPr>
        <w:spacing w:after="80"/>
      </w:pPr>
    </w:p>
    <w:p>
      <w:pPr>
        <w:spacing w:before="440" w:after="160"/>
        <w:pBdr>
          <w:bottom w:val="single" w:sz="6" w:space="4" w:color="C3CBCD"/>
        </w:pBdr>
      </w:pPr>
      <w:r>
        <w:rPr>
          <w:rFonts w:ascii="Calibri" w:hAnsi="Calibri"/>
          <w:b/>
          <w:i w:val="0"/>
          <w:color w:val="1F4D6B"/>
          <w:sz w:val="25"/>
        </w:rPr>
        <w:t>SIDE-BY-SIDE COMPARISON</w:t>
      </w:r>
    </w:p>
    <w:p>
      <w:pPr>
        <w:spacing w:after="120"/>
      </w:pPr>
      <w:r>
        <w:rPr>
          <w:rFonts w:ascii="Calibri" w:hAnsi="Calibri"/>
          <w:b w:val="0"/>
          <w:i w:val="0"/>
          <w:color w:val="4C5A66"/>
          <w:sz w:val="19"/>
        </w:rPr>
        <w:t>Each wireframe section against the FRD/Proposal requirement it implements.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50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WIREFRAME SECTION</w:t>
            </w:r>
          </w:p>
        </w:tc>
        <w:tc>
          <w:tcPr>
            <w:tcW w:type="dxa" w:w="86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SCREENS</w:t>
            </w:r>
          </w:p>
        </w:tc>
        <w:tc>
          <w:tcPr>
            <w:tcW w:type="dxa" w:w="410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FRD / PROPOSAL REQUIREMENT</w:t>
            </w:r>
          </w:p>
        </w:tc>
        <w:tc>
          <w:tcPr>
            <w:tcW w:type="dxa" w:w="122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01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Authentication &amp; Onboarding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6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"Role Selection" flow + login diagram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02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Dashboards (role-based)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6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"Dashboards" section — 8 roles specified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PARTIAL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03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Property &amp; Tenant Management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6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Property/Unit Mgmt + Tenant/Lease Mgmt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04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Maintenance — Request to Closure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13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Maintenance lifecycle + both flow diagrams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05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Inspections &amp; Compliance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3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Inspection and Compliance Management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06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Payments &amp; Rent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3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Rent Collection + Financial Workflows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07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Messaging &amp; Notifications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2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§19.1 Messaging / §19.2 Notifications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08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Documents &amp; Media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2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Documents and Media Management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09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Notice Management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2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Notice Management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10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Legal &amp; Attorney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2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Legal and Attorney Services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PARTIAL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8A96A1"/>
                <w:sz w:val="18"/>
              </w:rPr>
              <w:t>11</w:t>
            </w:r>
          </w:p>
        </w:tc>
        <w:tc>
          <w:tcPr>
            <w:tcW w:type="dxa" w:w="2448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Profile &amp; Settings</w:t>
            </w:r>
          </w:p>
        </w:tc>
        <w:tc>
          <w:tcPr>
            <w:tcW w:type="dxa" w:w="86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2</w:t>
            </w:r>
          </w:p>
        </w:tc>
        <w:tc>
          <w:tcPr>
            <w:tcW w:type="dxa" w:w="41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Implied under profile / security requirements</w:t>
            </w:r>
          </w:p>
        </w:tc>
        <w:tc>
          <w:tcPr>
            <w:tcW w:type="dxa" w:w="122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F7A54"/>
                <w:sz w:val="17"/>
              </w:rPr>
              <w:t>MATCH</w:t>
            </w:r>
          </w:p>
        </w:tc>
      </w:tr>
    </w:tbl>
    <w:p>
      <w:r>
        <w:br w:type="page"/>
      </w:r>
    </w:p>
    <w:p>
      <w:pPr>
        <w:spacing w:before="440" w:after="160"/>
        <w:pBdr>
          <w:bottom w:val="single" w:sz="6" w:space="4" w:color="C3CBCD"/>
        </w:pBdr>
      </w:pPr>
      <w:r>
        <w:rPr>
          <w:rFonts w:ascii="Calibri" w:hAnsi="Calibri"/>
          <w:b/>
          <w:i w:val="0"/>
          <w:color w:val="1F4D6B"/>
          <w:sz w:val="25"/>
        </w:rPr>
        <w:t>EVIDENCE — THE MAINTENANCE WORKFLOW</w:t>
      </w:r>
    </w:p>
    <w:p>
      <w:pPr>
        <w:spacing w:after="200"/>
      </w:pPr>
      <w:r>
        <w:rPr>
          <w:rFonts w:ascii="Calibri" w:hAnsi="Calibri"/>
          <w:b w:val="0"/>
          <w:i w:val="0"/>
          <w:color w:val="4C5A66"/>
          <w:sz w:val="19"/>
        </w:rPr>
        <w:t>This is the strongest proof point: the wireframe's 13-screen “Request to Closure” flow lines up almost word-for-word with diagrams in both source documents, independently drawn.</w:t>
      </w:r>
    </w:p>
    <w:p>
      <w:pPr>
        <w:tabs>
          <w:tab w:pos="4752" w:val="left"/>
        </w:tabs>
        <w:spacing w:after="80"/>
      </w:pPr>
      <w:r>
        <w:rPr>
          <w:rFonts w:ascii="Calibri" w:hAnsi="Calibri"/>
          <w:b/>
          <w:i w:val="0"/>
          <w:color w:val="1F4D6B"/>
          <w:sz w:val="17"/>
        </w:rPr>
        <w:t>PROPOSAL — Solution flow diagram</w:t>
      </w:r>
      <w:r>
        <w:tab/>
      </w:r>
      <w:r>
        <w:rPr>
          <w:rFonts w:ascii="Calibri" w:hAnsi="Calibri"/>
          <w:b/>
          <w:i w:val="0"/>
          <w:color w:val="1F4D6B"/>
          <w:sz w:val="17"/>
        </w:rPr>
        <w:t>FRD — Maintenance lifecycle states</w:t>
      </w:r>
    </w:p>
    <w:p>
      <w:pPr>
        <w:tabs>
          <w:tab w:pos="4752" w:val="left"/>
        </w:tabs>
        <w:spacing w:after="280"/>
      </w:pPr>
      <w:r>
        <w:drawing>
          <wp:inline xmlns:a="http://schemas.openxmlformats.org/drawingml/2006/main" xmlns:pic="http://schemas.openxmlformats.org/drawingml/2006/picture">
            <wp:extent cx="1918557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557" cy="5486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04267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26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F4D6B"/>
          <w:sz w:val="17"/>
        </w:rPr>
        <w:t>FRD — Full platform flow diagram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7251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5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Calibri" w:hAnsi="Calibri"/>
          <w:b w:val="0"/>
          <w:i/>
          <w:color w:val="4C5A66"/>
          <w:sz w:val="19"/>
        </w:rPr>
        <w:t>Wireframe screen titles — “Marketplace / Assignment,” “Bidding,” “Scheduling,” “Work Execution,” “Verification” — match the Proposal diagram’s box labels almost verbatim. This level of agreement is unlikely to be coincidental; the wireframes were clearly built directly against this diagram.</w:t>
      </w:r>
    </w:p>
    <w:p>
      <w:r>
        <w:br w:type="page"/>
      </w:r>
    </w:p>
    <w:p>
      <w:pPr>
        <w:spacing w:before="440" w:after="160"/>
        <w:pBdr>
          <w:bottom w:val="single" w:sz="6" w:space="4" w:color="C3CBCD"/>
        </w:pBdr>
      </w:pPr>
      <w:r>
        <w:rPr>
          <w:rFonts w:ascii="Calibri" w:hAnsi="Calibri"/>
          <w:b/>
          <w:i w:val="0"/>
          <w:color w:val="1F4D6B"/>
          <w:sz w:val="25"/>
        </w:rPr>
        <w:t>FLAGGED GAPS (5)</w:t>
      </w:r>
    </w:p>
    <w:p>
      <w:pPr>
        <w:spacing w:after="160"/>
      </w:pPr>
      <w:r>
        <w:rPr>
          <w:rFonts w:ascii="Calibri" w:hAnsi="Calibri"/>
          <w:b w:val="0"/>
          <w:i w:val="0"/>
          <w:color w:val="4C5A66"/>
          <w:sz w:val="19"/>
        </w:rPr>
        <w:t>Things the FRD/Proposal call for that the current wireframe batch doesn't show.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432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30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ISSUE</w:t>
            </w:r>
          </w:p>
        </w:tc>
        <w:tc>
          <w:tcPr>
            <w:tcW w:type="dxa" w:w="1296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5184"/>
            <w:vAlign w:val="center"/>
            <w:shd w:val="clear" w:color="auto" w:fill="17212B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DETAIL &amp; RECOMMENDATION</w:t>
            </w:r>
          </w:p>
        </w:tc>
      </w:tr>
      <w:tr>
        <w:tc>
          <w:tcPr>
            <w:tcW w:type="dxa" w:w="43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9"/>
              </w:rPr>
              <w:t>1</w:t>
            </w:r>
          </w:p>
        </w:tc>
        <w:tc>
          <w:tcPr>
            <w:tcW w:type="dxa" w:w="23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No dashboard for Gig Worker / Field Worker</w:t>
            </w:r>
          </w:p>
        </w:tc>
        <w:tc>
          <w:tcPr>
            <w:tcW w:type="dxa" w:w="12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SHOULD ADDRESS</w:t>
            </w:r>
          </w:p>
        </w:tc>
        <w:tc>
          <w:tcPr>
            <w:tcW w:type="dxa" w:w="5184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>The FRD names this as one of 8 core roles and specifies its own dashboard content (assigned tasks, schedule, instructions, completion requirements). The wireframe's Dashboards section (02) covers only 6 roles — Tenant, Landlord, Property Manager, Contractor, Inspector, Attorney.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Ask:</w:t>
            </w:r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 xml:space="preserve"> does Gig Worker reuse the Contractor dashboard, or does it need its own screen before this batch is signed off?</w:t>
            </w:r>
          </w:p>
        </w:tc>
      </w:tr>
      <w:tr>
        <w:tc>
          <w:tcPr>
            <w:tcW w:type="dxa" w:w="43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9"/>
              </w:rPr>
              <w:t>2</w:t>
            </w:r>
          </w:p>
        </w:tc>
        <w:tc>
          <w:tcPr>
            <w:tcW w:type="dxa" w:w="23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Provider-side “supply” screens are missing</w:t>
            </w:r>
          </w:p>
        </w:tc>
        <w:tc>
          <w:tcPr>
            <w:tcW w:type="dxa" w:w="12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SHOULD ADDRESS</w:t>
            </w:r>
          </w:p>
        </w:tc>
        <w:tc>
          <w:tcPr>
            <w:tcW w:type="dxa" w:w="5184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>The wireframes only show the requester side of marketplace flows — a Property Manager reviewing bids, a client reviewing a legal case. Missing: the Contractor's own bid-submission screen, license/insurance upload, and the Attorney's opportunity review / pricing-proposal screens — all explicitly specified in the FRD.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Ask:</w:t>
            </w:r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 xml:space="preserve"> confirm these are planned as a separate wireframe batch, not dropped from scope.</w:t>
            </w:r>
          </w:p>
        </w:tc>
      </w:tr>
      <w:tr>
        <w:tc>
          <w:tcPr>
            <w:tcW w:type="dxa" w:w="43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9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No dispute or cancellation screens for maintenance</w:t>
            </w:r>
          </w:p>
        </w:tc>
        <w:tc>
          <w:tcPr>
            <w:tcW w:type="dxa" w:w="12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SHOULD ADDRESS</w:t>
            </w:r>
          </w:p>
        </w:tc>
        <w:tc>
          <w:tcPr>
            <w:tcW w:type="dxa" w:w="5184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>Both source diagrams define a “Work Approved? → No → Dispute Management” branch, and the FRD lists DISPUTED / CANCELLED as valid lifecycle states. The wireframe's 13-screen flow (§04) shows only the happy path to “Request Closed.”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Ask:</w:t>
            </w:r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 xml:space="preserve"> confirm dispute UI is scheduled for a later batch.</w:t>
            </w:r>
          </w:p>
        </w:tc>
      </w:tr>
      <w:tr>
        <w:tc>
          <w:tcPr>
            <w:tcW w:type="dxa" w:w="43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9"/>
              </w:rPr>
              <w:t>4</w:t>
            </w:r>
          </w:p>
        </w:tc>
        <w:tc>
          <w:tcPr>
            <w:tcW w:type="dxa" w:w="23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No Ratings &amp; Performance screen</w:t>
            </w:r>
          </w:p>
        </w:tc>
        <w:tc>
          <w:tcPr>
            <w:tcW w:type="dxa" w:w="12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8A96A1"/>
                <w:sz w:val="17"/>
              </w:rPr>
              <w:t>MINOR</w:t>
            </w:r>
          </w:p>
        </w:tc>
        <w:tc>
          <w:tcPr>
            <w:tcW w:type="dxa" w:w="5184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>The FRD has a full section on rating completed work, with no corresponding wireframe screen. Low urgency: the FRD's own MVP priority sequence places Ratings outside Priority 1–3, so this may simply not be due yet.</w:t>
            </w:r>
          </w:p>
          <w:p>
            <w:pPr>
              <w:spacing w:before="80"/>
            </w:pPr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>No action needed for this batch; track for a later design pass.</w:t>
            </w:r>
          </w:p>
        </w:tc>
      </w:tr>
      <w:tr>
        <w:tc>
          <w:tcPr>
            <w:tcW w:type="dxa" w:w="432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8A96A1"/>
                <w:sz w:val="19"/>
              </w:rPr>
              <w:t>5</w:t>
            </w:r>
          </w:p>
        </w:tc>
        <w:tc>
          <w:tcPr>
            <w:tcW w:type="dxa" w:w="2304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Compliance screen shows an unexplained dollar figure</w:t>
            </w:r>
          </w:p>
        </w:tc>
        <w:tc>
          <w:tcPr>
            <w:tcW w:type="dxa" w:w="1296"/>
            <w:vAlign w:val="center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A1C"/>
                <w:sz w:val="17"/>
              </w:rPr>
              <w:t>WORTH CONFIRMING</w:t>
            </w:r>
          </w:p>
        </w:tc>
        <w:tc>
          <w:tcPr>
            <w:tcW w:type="dxa" w:w="5184"/>
            <w:tcBorders>
              <w:top w:val="single" w:sz="4" w:space="0" w:color="C3CBCD"/>
              <w:left w:val="single" w:sz="4" w:space="0" w:color="C3CBCD"/>
              <w:bottom w:val="single" w:sz="4" w:space="0" w:color="C3CBCD"/>
              <w:right w:val="single" w:sz="4" w:space="0" w:color="C3CBCD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>The Compliance screen (§05.3) displays “Total Due $92,500.00.” The FRD's compliance requirements cover deadlines, certifications, and re-inspection tracking only — no mention of compliance-related fees. This may be a copy from the Rent module layout rather than an intentional feature.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Ask:</w:t>
            </w:r>
            <w:r>
              <w:rPr>
                <w:rFonts w:ascii="Calibri" w:hAnsi="Calibri"/>
                <w:b w:val="0"/>
                <w:i w:val="0"/>
                <w:color w:val="4C5A66"/>
                <w:sz w:val="17"/>
              </w:rPr>
              <w:t xml:space="preserve"> the designer, before this reads as a committed feature.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  <w:i w:val="0"/>
          <w:color w:val="17212B"/>
          <w:sz w:val="19"/>
        </w:rPr>
        <w:t xml:space="preserve">Not a gap: </w:t>
      </w:r>
      <w:r>
        <w:rPr>
          <w:rFonts w:ascii="Calibri" w:hAnsi="Calibri"/>
          <w:b w:val="0"/>
          <w:i w:val="0"/>
          <w:color w:val="4C5A66"/>
          <w:sz w:val="19"/>
        </w:rPr>
        <w:t>the wireframes don't include Admin Portal screens. That's expected — the Proposal scopes the Administration Portal as a separate web deliverable, outside this mobile wireframe set.</w:t>
      </w:r>
    </w:p>
    <w:p>
      <w:pPr>
        <w:spacing w:before="440" w:after="160"/>
        <w:pBdr>
          <w:bottom w:val="single" w:sz="6" w:space="4" w:color="C3CBCD"/>
        </w:pBdr>
      </w:pPr>
      <w:r>
        <w:rPr>
          <w:rFonts w:ascii="Calibri" w:hAnsi="Calibri"/>
          <w:b/>
          <w:i w:val="0"/>
          <w:color w:val="1F4D6B"/>
          <w:sz w:val="25"/>
        </w:rPr>
        <w:t>METHODOLOGY &amp;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08"/>
          </w:tcPr>
          <w:p>
            <w:r/>
            <w:r>
              <w:rPr>
                <w:rFonts w:ascii="Calibri" w:hAnsi="Calibri"/>
                <w:b/>
                <w:i w:val="0"/>
                <w:color w:val="1F4D6B"/>
                <w:sz w:val="17"/>
              </w:rPr>
              <w:t>WHAT WAS CHECKED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Full paragraph and table text extracted from both .docx files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All 7 embedded diagrams across both documents opened and read (3 shown above)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Every wireframe section cross-referenced against its matching FRD clause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/>
                <w:i w:val="0"/>
                <w:color w:val="1F4D6B"/>
                <w:sz w:val="17"/>
              </w:rPr>
              <w:t>WHAT WASN'T VERIFIED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Whether the source wireframe file has additional artboards beyond the single image reviewed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Exact figures/labels on the wireframe — read visually, not OCR-checked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4C5A66"/>
                <w:sz w:val="18"/>
              </w:rPr>
              <w:t>Anything outside these three files (no design-tool source, no ticket tracker)</w:t>
            </w:r>
          </w:p>
        </w:tc>
      </w:tr>
    </w:tbl>
    <w:p>
      <w:pPr>
        <w:spacing w:after="200"/>
      </w:pPr>
    </w:p>
    <w:p>
      <w:pPr>
        <w:pBdr>
          <w:top w:val="single" w:sz="4" w:space="4" w:color="D9DFE1"/>
        </w:pBdr>
      </w:pPr>
      <w:r>
        <w:rPr>
          <w:rFonts w:ascii="Calibri" w:hAnsi="Calibri"/>
          <w:b/>
          <w:i w:val="0"/>
          <w:color w:val="8A96A1"/>
          <w:sz w:val="16"/>
        </w:rPr>
        <w:t>SOURCES REVIEWED</w:t>
      </w:r>
    </w:p>
    <w:p>
      <w:pPr>
        <w:spacing w:after="40"/>
      </w:pPr>
      <w:r>
        <w:rPr>
          <w:rFonts w:ascii="Consolas" w:hAnsi="Consolas"/>
          <w:b w:val="0"/>
          <w:i w:val="0"/>
          <w:color w:val="4C5A66"/>
          <w:sz w:val="18"/>
        </w:rPr>
        <w:t>Proposal Document – Mobile Application.docx</w:t>
      </w:r>
    </w:p>
    <w:p>
      <w:pPr>
        <w:spacing w:after="40"/>
      </w:pPr>
      <w:r>
        <w:rPr>
          <w:rFonts w:ascii="Consolas" w:hAnsi="Consolas"/>
          <w:b w:val="0"/>
          <w:i w:val="0"/>
          <w:color w:val="4C5A66"/>
          <w:sz w:val="18"/>
        </w:rPr>
        <w:t>FRD – Mobile Application.docx</w:t>
      </w:r>
    </w:p>
    <w:p>
      <w:pPr>
        <w:spacing w:after="40"/>
      </w:pPr>
      <w:r>
        <w:rPr>
          <w:rFonts w:ascii="Consolas" w:hAnsi="Consolas"/>
          <w:b w:val="0"/>
          <w:i w:val="0"/>
          <w:color w:val="4C5A66"/>
          <w:sz w:val="18"/>
        </w:rPr>
        <w:t>Mobile App Wireframes (image, provided in review thread)</w:t>
      </w:r>
    </w:p>
    <w:p>
      <w:pPr>
        <w:spacing w:before="200"/>
      </w:pPr>
      <w:r>
        <w:rPr>
          <w:rFonts w:ascii="Calibri" w:hAnsi="Calibri"/>
          <w:b w:val="0"/>
          <w:i/>
          <w:color w:val="8A96A1"/>
          <w:sz w:val="17"/>
        </w:rPr>
        <w:t>Prepared for internal review · not a client-facing document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