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b/>
          <w:bCs/>
        </w:rPr>
        <w:t xml:space="preserve">LinkedIn HITL Multi-Agent Publisher</w:t>
      </w:r>
    </w:p>
    <w:p>
      <w:pPr>
        <w:spacing w:after="320"/>
      </w:pPr>
      <w:r>
        <w:rPr>
          <w:i/>
          <w:iCs/>
          <w:color w:val="555555"/>
        </w:rPr>
        <w:t xml:space="preserve">Project Summary</w:t>
      </w:r>
    </w:p>
    <w:p>
      <w:pPr>
        <w:pStyle w:val="Heading1"/>
        <w:spacing w:after="160" w:before="320"/>
      </w:pPr>
      <w:r>
        <w:rPr>
          <w:b/>
          <w:bCs/>
        </w:rPr>
        <w:t xml:space="preserve">1. Architecture Overview</w:t>
      </w:r>
    </w:p>
    <w:p>
      <w:pPr>
        <w:spacing w:after="160"/>
      </w:pPr>
      <w:r>
        <w:t xml:space="preserve">The system is built around a Route-and-Delegate pattern in n8n, with three cooperating pieces: a generation pipeline that drafts content, a confidence gate that decides whether a human needs to look at it, and a publishing pipeline that actually posts to LinkedIn.</w:t>
      </w:r>
    </w:p>
    <w:p>
      <w:pPr>
        <w:pStyle w:val="Heading2"/>
        <w:spacing w:after="120" w:before="240"/>
      </w:pPr>
      <w:r>
        <w:rPr>
          <w:b/>
          <w:bCs/>
        </w:rPr>
        <w:t xml:space="preserve">The Generation Pipeline</w:t>
      </w:r>
    </w:p>
    <w:p>
      <w:pPr>
        <w:spacing w:after="160"/>
      </w:pPr>
      <w:r>
        <w:t xml:space="preserve">A Schedule Trigger fires on a set cadence, pulling brand configuration (brand name, tone, target audience, and two control flags described below) and passing it to a Python FastAPI microservice. Inside that service, two AutoGen agents run in sequence over Azure OpenAI: an Ideator drafts three content angles, a full post, a confidence score, and hashtags; a Validator reviews that output against basic structural rules and returns the polished result.</w:t>
      </w:r>
    </w:p>
    <w:p>
      <w:pPr>
        <w:pStyle w:val="Heading2"/>
        <w:spacing w:after="120" w:before="240"/>
      </w:pPr>
      <w:r>
        <w:rPr>
          <w:b/>
          <w:bCs/>
        </w:rPr>
        <w:t xml:space="preserve">The Confidence &amp; Dry-Run Gate</w:t>
      </w:r>
    </w:p>
    <w:p>
      <w:pPr>
        <w:spacing w:after="160"/>
      </w:pPr>
      <w:r>
        <w:t xml:space="preserve">This is the piece that decides how much human oversight a given post gets. Two settings drive it:</w:t>
      </w:r>
    </w:p>
    <w:p>
      <w:pPr>
        <w:pStyle w:val="ListParagraph"/>
        <w:numPr>
          <w:ilvl w:val="0"/>
          <w:numId w:val="1"/>
        </w:numPr>
        <w:spacing w:after="100"/>
      </w:pPr>
      <w:r>
        <w:rPr>
          <w:b/>
          <w:bCs/>
        </w:rPr>
        <w:t xml:space="preserve">MIN_CONFIDENCE_THRESHOLD — </w:t>
      </w:r>
      <w:r>
        <w:t xml:space="preserve">the minimum confidence score the agents need to report before a post is allowed to publish without review.</w:t>
      </w:r>
    </w:p>
    <w:p>
      <w:pPr>
        <w:pStyle w:val="ListParagraph"/>
        <w:numPr>
          <w:ilvl w:val="0"/>
          <w:numId w:val="1"/>
        </w:numPr>
        <w:spacing w:after="100"/>
      </w:pPr>
      <w:r>
        <w:rPr>
          <w:b/>
          <w:bCs/>
        </w:rPr>
        <w:t xml:space="preserve">DRY_RUN_FLAG — </w:t>
      </w:r>
      <w:r>
        <w:t xml:space="preserve">a manual override. When true, every post goes through human review regardless of confidence — useful whenever the pipeline itself is being changed and I don't yet trust it.</w:t>
      </w:r>
    </w:p>
    <w:p>
      <w:pPr>
        <w:spacing w:after="160"/>
      </w:pPr>
      <w:r>
        <w:t xml:space="preserve">If confidence clears the threshold and dry-run is off, the post publishes immediately with no human in the loop at all. Otherwise, it's routed to Slack as an interactive message with Approve and Reject buttons, and nothing publishes until someone clicks Approve.</w:t>
      </w:r>
    </w:p>
    <w:p>
      <w:pPr>
        <w:pStyle w:val="Heading2"/>
        <w:spacing w:after="120" w:before="240"/>
      </w:pPr>
      <w:r>
        <w:rPr>
          <w:b/>
          <w:bCs/>
        </w:rPr>
        <w:t xml:space="preserve">The Publishing Pipeline (Slack-Approved Path)</w:t>
      </w:r>
    </w:p>
    <w:p>
      <w:pPr>
        <w:spacing w:after="160"/>
      </w:pPr>
      <w:r>
        <w:t xml:space="preserve">A separate Webhook node listens for Slack's interactivity callback — the event fired when someone clicks a button. On receipt, it splits into two parallel branches: one immediately acknowledges the request (Slack requires a response within about three seconds), and the other parses the button payload, confirms Approve was clicked, and feeds into the same LinkedIn-publishing logic used by the automatic path.</w:t>
      </w:r>
    </w:p>
    <w:p>
      <w:pPr>
        <w:spacing w:after="160"/>
      </w:pPr>
      <w:r>
        <w:t xml:space="preserve">Both paths converge on one shared node that builds the actual LinkedIn API request. This was a deliberate design choice: rather than duplicating that logic twice, the shared node accepts input from either path and falls back appropriately depending on which one it came from.</w:t>
      </w:r>
    </w:p>
    <w:p>
      <w:pPr>
        <w:pStyle w:val="Heading1"/>
        <w:spacing w:after="160" w:before="320"/>
      </w:pPr>
      <w:r>
        <w:rPr>
          <w:b/>
          <w:bCs/>
        </w:rPr>
        <w:t xml:space="preserve">2. The Network Bridge &amp; Transport Layer</w:t>
      </w:r>
    </w:p>
    <w:p>
      <w:pPr>
        <w:spacing w:after="160"/>
      </w:pPr>
      <w:r>
        <w:t xml:space="preserve">Because n8n runs locally on my machine, it sits behind a standard residential firewall and has no public address. Slack's interactivity model requires a publicly reachable URL to deliver button-click events, so I used ngrok to open a secure reverse tunnel from a public subdomain straight through to my local n8n webhook listener. Slack's Request URL setting points at that tunnel; ngrok forwards the traffic to localhost behind the scenes.</w:t>
      </w:r>
    </w:p>
    <w:p>
      <w:pPr>
        <w:spacing w:after="160"/>
      </w:pPr>
      <w:r>
        <w:t xml:space="preserve">Slack also doesn't send button-click data as plain JSON — it wraps everything inside a single form-encoded field called payload. I added a Code node immediately after the webhook trigger to decode that field, parse the underlying JSON, and expose a clean data structure the rest of the workflow can work with.</w:t>
      </w:r>
    </w:p>
    <w:p>
      <w:pPr>
        <w:pStyle w:val="Heading1"/>
        <w:spacing w:after="160" w:before="320"/>
      </w:pPr>
      <w:r>
        <w:rPr>
          <w:b/>
          <w:bCs/>
        </w:rPr>
        <w:t xml:space="preserve">3. Data Validation &amp; the JSON-Escaping Problem</w:t>
      </w:r>
    </w:p>
    <w:p>
      <w:pPr>
        <w:spacing w:after="160"/>
      </w:pPr>
      <w:r>
        <w:t xml:space="preserve">The trickiest and most persistent bug in this project was getting AI-generated post text safely into a JSON request body. Line breaks, quotation marks, and other characters that show up naturally in generated marketing copy will break naive string templating — a raw newline inside a quoted JSON string is invalid and causes a parse failure.</w:t>
      </w:r>
    </w:p>
    <w:p>
      <w:pPr>
        <w:spacing w:after="160"/>
      </w:pPr>
      <w:r>
        <w:t xml:space="preserve">The fix was to stop building the request body as templated text entirely. A dedicated Code node constructs a proper JavaScript object and calls JSON.stringify() on it, which correctly escapes every special character. The HTTP Request node then just references that single pre-escaped string, rather than trying to assemble JSON by hand. This turned an unpredictable, content-dependent bug into something that works no matter what the agents generate.</w:t>
      </w:r>
    </w:p>
    <w:p>
      <w:pPr>
        <w:pStyle w:val="Heading1"/>
        <w:spacing w:after="160" w:before="320"/>
      </w:pPr>
      <w:r>
        <w:rPr>
          <w:b/>
          <w:bCs/>
        </w:rPr>
        <w:t xml:space="preserve">4. Logging &amp; Observability</w:t>
      </w:r>
    </w:p>
    <w:p>
      <w:pPr>
        <w:spacing w:after="160"/>
      </w:pPr>
      <w:r>
        <w:t xml:space="preserve">Every publish — whether automatic or Slack-approved — appends a row to a Google Sheet, authenticated via a Google Service Account so the connection doesn't require repeated manual re-login. Each row records a timestamp, a snippet of the published text, a priority label, a status showing which path the post took (automatic or human-approved), and the raw confidence score.</w:t>
      </w:r>
    </w:p>
    <w:p>
      <w:pPr>
        <w:spacing w:after="160"/>
      </w:pPr>
      <w:r>
        <w:t xml:space="preserve">That confidence score turned out to require its own small fix: on the Slack-approved path, the score isn't otherwise available by the time a human has clicked Approve, since the button payload doesn't carry it. The workaround was to embed the score directly in the Slack message text itself, then re-extract it from the button-click payload alongside the post text — the same trick already being used to recover the post text.</w:t>
      </w:r>
    </w:p>
    <w:p>
      <w:pPr>
        <w:spacing w:after="160"/>
      </w:pPr>
      <w:r>
        <w:t xml:space="preserve">This log is the mechanism the assignment calls for adjusting parameters “for optimal balance between automation and oversight” — reviewing it over time shows whether the confidence threshold is calibrated well, or whether too many drafts are landing in Slack review that didn't need to.</w:t>
      </w:r>
    </w:p>
    <w:p>
      <w:pPr>
        <w:pStyle w:val="Heading1"/>
        <w:spacing w:after="160" w:before="320"/>
      </w:pPr>
      <w:r>
        <w:rPr>
          <w:b/>
          <w:bCs/>
        </w:rPr>
        <w:t xml:space="preserve">5. Lessons Learned</w:t>
      </w:r>
    </w:p>
    <w:p>
      <w:pPr>
        <w:pStyle w:val="ListParagraph"/>
        <w:numPr>
          <w:ilvl w:val="0"/>
          <w:numId w:val="1"/>
        </w:numPr>
        <w:spacing w:after="100"/>
      </w:pPr>
      <w:r>
        <w:rPr>
          <w:b/>
          <w:bCs/>
        </w:rPr>
        <w:t xml:space="preserve">Infrastructure is most of the work. </w:t>
      </w:r>
      <w:r>
        <w:t xml:space="preserve">Getting the agents to draft reasonable copy was the easy part. The majority of debugging time went into data types, escaping, and authentication — not prompt engineering.</w:t>
      </w:r>
    </w:p>
    <w:p>
      <w:pPr>
        <w:pStyle w:val="ListParagraph"/>
        <w:numPr>
          <w:ilvl w:val="0"/>
          <w:numId w:val="1"/>
        </w:numPr>
        <w:spacing w:after="100"/>
      </w:pPr>
      <w:r>
        <w:rPr>
          <w:b/>
          <w:bCs/>
        </w:rPr>
        <w:t xml:space="preserve">Booleans aren't always booleans. </w:t>
      </w:r>
      <w:r>
        <w:t xml:space="preserve">A hand-written boolean expression checked against n8n's “is true” operator can silently misfire, because the JavaScript string "false" is truthy. The fix was to stop pre-computing booleans myself and instead use n8n's own typed comparison fields (Number/“greater than”, Boolean/“not equal”), letting the platform's comparison engine do the work instead of a hand-rolled expression.</w:t>
      </w:r>
    </w:p>
    <w:p>
      <w:pPr>
        <w:pStyle w:val="ListParagraph"/>
        <w:numPr>
          <w:ilvl w:val="0"/>
          <w:numId w:val="1"/>
        </w:numPr>
        <w:spacing w:after="100"/>
      </w:pPr>
      <w:r>
        <w:rPr>
          <w:b/>
          <w:bCs/>
        </w:rPr>
        <w:t xml:space="preserve">Spreadsheets can misread text as formulas. </w:t>
      </w:r>
      <w:r>
        <w:t xml:space="preserve">A logging value that happens to retain a leading = character gets interpreted by Google Sheets as the start of a formula, producing a parse error instead of the intended text. Worth checking the actual cell content directly in Sheets, not just trusting that the n8n expression looks correct.</w:t>
      </w:r>
    </w:p>
    <w:p>
      <w:pPr>
        <w:pStyle w:val="ListParagraph"/>
        <w:numPr>
          <w:ilvl w:val="0"/>
          <w:numId w:val="1"/>
        </w:numPr>
        <w:spacing w:after="100"/>
      </w:pPr>
      <w:r>
        <w:rPr>
          <w:b/>
          <w:bCs/>
        </w:rPr>
        <w:t xml:space="preserve">OAuth tokens are not “set and forget.” </w:t>
      </w:r>
      <w:r>
        <w:t xml:space="preserve">Standard LinkedIn app tokens expire after 60 days with no refresh token, and personal OAuth credentials generally are brittle for unattended automation. Where possible (as with Google Sheets), a service account is a more durable choice for anything meant to run without a human re-logging in periodically.</w:t>
      </w:r>
    </w:p>
    <w:p>
      <w:pPr>
        <w:pStyle w:val="ListParagraph"/>
        <w:numPr>
          <w:ilvl w:val="0"/>
          <w:numId w:val="1"/>
        </w:numPr>
        <w:spacing w:after="100"/>
      </w:pPr>
      <w:r>
        <w:rPr>
          <w:b/>
          <w:bCs/>
        </w:rPr>
        <w:t xml:space="preserve">Secrets belong out of source control from day one. </w:t>
      </w:r>
      <w:r>
        <w:t xml:space="preserve">Hardcoded webhook URLs and tokens are easy to accidentally commit to a public repository. Once exposed, the right response is to rotate the credential immediately — not just remove it from future commits.</w:t>
      </w:r>
    </w:p>
    <w:p>
      <w:pPr>
        <w:pBdr>
          <w:bottom w:val="single" w:color="999999" w:sz="6"/>
        </w:pBdr>
        <w:spacing w:after="200" w:before="100"/>
      </w:pPr>
    </w:p>
    <w:p>
      <w:pPr>
        <w:pStyle w:val="Heading1"/>
        <w:spacing w:after="160" w:before="320"/>
      </w:pPr>
      <w:r>
        <w:rPr>
          <w:b/>
          <w:bCs/>
        </w:rPr>
        <w:t xml:space="preserve">Appendix: Component Breakdown</w:t>
      </w:r>
    </w:p>
    <w:p>
      <w:pPr>
        <w:pStyle w:val="Heading2"/>
        <w:spacing w:after="120" w:before="240"/>
      </w:pPr>
      <w:r>
        <w:rPr>
          <w:b/>
          <w:bCs/>
        </w:rPr>
        <w:t xml:space="preserve">Backend (Python / FastAPI)</w:t>
      </w:r>
    </w:p>
    <w:p>
      <w:pPr>
        <w:pStyle w:val="ListParagraph"/>
        <w:numPr>
          <w:ilvl w:val="0"/>
          <w:numId w:val="1"/>
        </w:numPr>
        <w:spacing w:after="100"/>
      </w:pPr>
      <w:r>
        <w:rPr>
          <w:b/>
          <w:bCs/>
        </w:rPr>
        <w:t xml:space="preserve">FastAPI — </w:t>
      </w:r>
      <w:r>
        <w:t xml:space="preserve">the HTTP gateway. Validates incoming requests via Pydantic schemas and returns structured JSON that n8n can consume directly.</w:t>
      </w:r>
    </w:p>
    <w:p>
      <w:pPr>
        <w:pStyle w:val="ListParagraph"/>
        <w:numPr>
          <w:ilvl w:val="0"/>
          <w:numId w:val="1"/>
        </w:numPr>
        <w:spacing w:after="100"/>
      </w:pPr>
      <w:r>
        <w:rPr>
          <w:b/>
          <w:bCs/>
        </w:rPr>
        <w:t xml:space="preserve">AutoGen AssistantAgent — </w:t>
      </w:r>
      <w:r>
        <w:t xml:space="preserve">defines each agent's role via its system prompt. The Ideator and Validator are each one of these, configured differently.</w:t>
      </w:r>
    </w:p>
    <w:p>
      <w:pPr>
        <w:pStyle w:val="ListParagraph"/>
        <w:numPr>
          <w:ilvl w:val="0"/>
          <w:numId w:val="1"/>
        </w:numPr>
        <w:spacing w:after="100"/>
      </w:pPr>
      <w:r>
        <w:rPr>
          <w:b/>
          <w:bCs/>
        </w:rPr>
        <w:t xml:space="preserve">AutoGen TextMessage — </w:t>
      </w:r>
      <w:r>
        <w:t xml:space="preserve">the standard message format passed between agents, so each step in the conversation can see what came before it.</w:t>
      </w:r>
    </w:p>
    <w:p>
      <w:pPr>
        <w:pStyle w:val="ListParagraph"/>
        <w:numPr>
          <w:ilvl w:val="0"/>
          <w:numId w:val="1"/>
        </w:numPr>
        <w:spacing w:after="100"/>
      </w:pPr>
      <w:r>
        <w:rPr>
          <w:b/>
          <w:bCs/>
        </w:rPr>
        <w:t xml:space="preserve">AzureOpenAIChatCompletionClient — </w:t>
      </w:r>
      <w:r>
        <w:t xml:space="preserve">handles the actual connection to Azure OpenAI, including API keys, deployment name, and API version.</w:t>
      </w:r>
    </w:p>
    <w:p>
      <w:pPr>
        <w:pStyle w:val="Heading2"/>
        <w:spacing w:after="120" w:before="240"/>
      </w:pPr>
      <w:r>
        <w:rPr>
          <w:b/>
          <w:bCs/>
        </w:rPr>
        <w:t xml:space="preserve">Key n8n Nodes</w:t>
      </w:r>
    </w:p>
    <w:p>
      <w:pPr>
        <w:pStyle w:val="ListParagraph"/>
        <w:numPr>
          <w:ilvl w:val="0"/>
          <w:numId w:val="1"/>
        </w:numPr>
        <w:spacing w:after="100"/>
      </w:pPr>
      <w:r>
        <w:rPr>
          <w:b/>
          <w:bCs/>
        </w:rPr>
        <w:t xml:space="preserve">Brand Config &amp; Controls — </w:t>
      </w:r>
      <w:r>
        <w:t xml:space="preserve">the configuration panel: brand name, tone, target audience, MIN_CONFIDENCE_THRESHOLD, and DRY_RUN_FLAG all live here.</w:t>
      </w:r>
    </w:p>
    <w:p>
      <w:pPr>
        <w:pStyle w:val="ListParagraph"/>
        <w:numPr>
          <w:ilvl w:val="0"/>
          <w:numId w:val="1"/>
        </w:numPr>
        <w:spacing w:after="100"/>
      </w:pPr>
      <w:r>
        <w:rPr>
          <w:b/>
          <w:bCs/>
        </w:rPr>
        <w:t xml:space="preserve">Call AutoGen Microservice — </w:t>
      </w:r>
      <w:r>
        <w:t xml:space="preserve">the HTTP Request node that calls the FastAPI service and passes brand configuration as JSON.</w:t>
      </w:r>
    </w:p>
    <w:p>
      <w:pPr>
        <w:pStyle w:val="ListParagraph"/>
        <w:numPr>
          <w:ilvl w:val="0"/>
          <w:numId w:val="1"/>
        </w:numPr>
        <w:spacing w:after="100"/>
      </w:pPr>
      <w:r>
        <w:rPr>
          <w:b/>
          <w:bCs/>
        </w:rPr>
        <w:t xml:space="preserve">Assemble Post &amp; Tags — </w:t>
      </w:r>
      <w:r>
        <w:t xml:space="preserve">combines the agents' draft and hashtags into the final post text, and surfaces the confidence score for the gate to check.</w:t>
      </w:r>
    </w:p>
    <w:p>
      <w:pPr>
        <w:pStyle w:val="ListParagraph"/>
        <w:numPr>
          <w:ilvl w:val="0"/>
          <w:numId w:val="1"/>
        </w:numPr>
        <w:spacing w:after="100"/>
      </w:pPr>
      <w:r>
        <w:rPr>
          <w:b/>
          <w:bCs/>
        </w:rPr>
        <w:t xml:space="preserve">Confidence &amp; Dry-Run Gate — </w:t>
      </w:r>
      <w:r>
        <w:t xml:space="preserve">the IF node described in Section 1 that decides whether a post needs human review.</w:t>
      </w:r>
    </w:p>
    <w:p>
      <w:pPr>
        <w:pStyle w:val="ListParagraph"/>
        <w:numPr>
          <w:ilvl w:val="0"/>
          <w:numId w:val="1"/>
        </w:numPr>
        <w:spacing w:after="100"/>
      </w:pPr>
      <w:r>
        <w:rPr>
          <w:b/>
          <w:bCs/>
        </w:rPr>
        <w:t xml:space="preserve">Parse Slack Approval Payload — </w:t>
      </w:r>
      <w:r>
        <w:t xml:space="preserve">decodes Slack's form-encoded interactivity payload, and extracts both the post text and the confidence score back out of the original message.</w:t>
      </w:r>
    </w:p>
    <w:p>
      <w:pPr>
        <w:pStyle w:val="ListParagraph"/>
        <w:numPr>
          <w:ilvl w:val="0"/>
          <w:numId w:val="1"/>
        </w:numPr>
        <w:spacing w:after="100"/>
      </w:pPr>
      <w:r>
        <w:rPr>
          <w:b/>
          <w:bCs/>
        </w:rPr>
        <w:t xml:space="preserve">Build LinkedIn Post Body — </w:t>
      </w:r>
      <w:r>
        <w:t xml:space="preserve">the shared Code node (Section 3) that builds a properly escaped LinkedIn API request, regardless of which path the post took to get there.</w:t>
      </w:r>
    </w:p>
    <w:p>
      <w:pPr>
        <w:pStyle w:val="ListParagraph"/>
        <w:numPr>
          <w:ilvl w:val="0"/>
          <w:numId w:val="1"/>
        </w:numPr>
        <w:spacing w:after="100"/>
      </w:pPr>
      <w:r>
        <w:rPr>
          <w:b/>
          <w:bCs/>
        </w:rPr>
        <w:t xml:space="preserve">Append row in sheet — </w:t>
      </w:r>
      <w:r>
        <w:t xml:space="preserve">logs every publish to Google Sheets, as described in Section 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2026-09-10T20:31:31.960Z</dcterms:created>
  <dcterms:modified xsi:type="dcterms:W3CDTF">2026-09-10T20:31:31.972Z</dcterms:modified>
</cp:coreProperties>
</file>

<file path=docProps/custom.xml><?xml version="1.0" encoding="utf-8"?>
<Properties xmlns="http://schemas.openxmlformats.org/officeDocument/2006/custom-properties" xmlns:vt="http://schemas.openxmlformats.org/officeDocument/2006/docPropsVTypes"/>
</file>