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6539" w:rsidRPr="004A2ECC" w:rsidRDefault="00126F91" w:rsidP="007C6A3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72846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4A2ECC" w:rsidRPr="004A2ECC">
        <w:rPr>
          <w:rFonts w:ascii="Times New Roman" w:hAnsi="Times New Roman" w:cs="Times New Roman"/>
          <w:b/>
          <w:sz w:val="28"/>
          <w:szCs w:val="28"/>
        </w:rPr>
        <w:t>7</w:t>
      </w:r>
    </w:p>
    <w:p w:rsidR="00D97C54" w:rsidRPr="004A2ECC" w:rsidRDefault="004A2ECC" w:rsidP="007C6A3F">
      <w:pPr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A2ECC">
        <w:rPr>
          <w:rFonts w:ascii="Times New Roman" w:hAnsi="Times New Roman" w:cs="Times New Roman"/>
          <w:b/>
          <w:sz w:val="28"/>
          <w:szCs w:val="28"/>
        </w:rPr>
        <w:t>Создание модели бизнес-процессов в нотации BPMN</w:t>
      </w:r>
    </w:p>
    <w:p w:rsidR="00315B85" w:rsidRDefault="00315B85" w:rsidP="007C6A3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4682E" w:rsidRDefault="004A2ECC" w:rsidP="004A2ECC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2ECC">
        <w:rPr>
          <w:rFonts w:ascii="Times New Roman" w:hAnsi="Times New Roman" w:cs="Times New Roman"/>
          <w:b/>
          <w:sz w:val="28"/>
          <w:szCs w:val="28"/>
        </w:rPr>
        <w:t>Программное обеспечение</w:t>
      </w:r>
      <w:r w:rsidRPr="004A2ECC">
        <w:rPr>
          <w:rFonts w:ascii="Times New Roman" w:hAnsi="Times New Roman" w:cs="Times New Roman"/>
          <w:sz w:val="28"/>
          <w:szCs w:val="28"/>
        </w:rPr>
        <w:t>:</w:t>
      </w:r>
    </w:p>
    <w:bookmarkStart w:id="0" w:name="_GoBack"/>
    <w:p w:rsidR="004A2ECC" w:rsidRDefault="00C57E76" w:rsidP="004A2ECC">
      <w:pPr>
        <w:spacing w:after="0"/>
        <w:ind w:firstLine="567"/>
        <w:jc w:val="both"/>
        <w:rPr>
          <w:rStyle w:val="a5"/>
          <w:sz w:val="28"/>
          <w:szCs w:val="28"/>
        </w:rPr>
      </w:pPr>
      <w:r>
        <w:fldChar w:fldCharType="begin"/>
      </w:r>
      <w:r>
        <w:instrText xml:space="preserve"> HYPERLINK "https://infourok.ru/go.html?href=http%3A%2F%2Fbpmn.io%2F" </w:instrText>
      </w:r>
      <w:r>
        <w:fldChar w:fldCharType="separate"/>
      </w:r>
      <w:r w:rsidR="004A2ECC" w:rsidRPr="004A2ECC">
        <w:rPr>
          <w:rStyle w:val="a5"/>
          <w:sz w:val="28"/>
          <w:szCs w:val="28"/>
        </w:rPr>
        <w:t>http://bpmn.io/</w:t>
      </w:r>
      <w:r>
        <w:rPr>
          <w:rStyle w:val="a5"/>
          <w:sz w:val="28"/>
          <w:szCs w:val="28"/>
        </w:rPr>
        <w:fldChar w:fldCharType="end"/>
      </w:r>
    </w:p>
    <w:bookmarkEnd w:id="0"/>
    <w:p w:rsidR="00A4682E" w:rsidRDefault="00C57E76" w:rsidP="004A2ECC">
      <w:pPr>
        <w:spacing w:after="0"/>
        <w:ind w:firstLine="567"/>
        <w:jc w:val="both"/>
        <w:rPr>
          <w:rStyle w:val="a5"/>
          <w:sz w:val="28"/>
          <w:szCs w:val="28"/>
        </w:rPr>
      </w:pPr>
      <w:r>
        <w:fldChar w:fldCharType="begin"/>
      </w:r>
      <w:r>
        <w:instrText xml:space="preserve"> HYPERLINK "https://app.diagrams.net/" </w:instrText>
      </w:r>
      <w:r>
        <w:fldChar w:fldCharType="separate"/>
      </w:r>
      <w:r w:rsidR="00A4682E" w:rsidRPr="00F039AD">
        <w:rPr>
          <w:rStyle w:val="a5"/>
          <w:sz w:val="28"/>
          <w:szCs w:val="28"/>
        </w:rPr>
        <w:t>https://app.diagrams.net/</w:t>
      </w:r>
      <w:r>
        <w:rPr>
          <w:rStyle w:val="a5"/>
          <w:sz w:val="28"/>
          <w:szCs w:val="28"/>
        </w:rPr>
        <w:fldChar w:fldCharType="end"/>
      </w:r>
    </w:p>
    <w:p w:rsidR="00A4682E" w:rsidRDefault="00A4682E" w:rsidP="004A2ECC">
      <w:pPr>
        <w:spacing w:after="0"/>
        <w:ind w:firstLine="567"/>
        <w:jc w:val="both"/>
        <w:rPr>
          <w:rStyle w:val="a5"/>
          <w:sz w:val="28"/>
          <w:szCs w:val="28"/>
        </w:rPr>
      </w:pPr>
    </w:p>
    <w:p w:rsidR="00846AA9" w:rsidRPr="00A1125E" w:rsidRDefault="00846AA9" w:rsidP="00A1125E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1125E">
        <w:rPr>
          <w:rFonts w:ascii="Times New Roman" w:hAnsi="Times New Roman" w:cs="Times New Roman"/>
          <w:sz w:val="28"/>
          <w:szCs w:val="28"/>
        </w:rPr>
        <w:t>Нотация по</w:t>
      </w:r>
      <w:r w:rsidR="00A1125E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моделированию бизнес-процессов BPMN (</w:t>
      </w:r>
      <w:proofErr w:type="spellStart"/>
      <w:r w:rsidRPr="00A1125E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112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125E">
        <w:rPr>
          <w:rFonts w:ascii="Times New Roman" w:hAnsi="Times New Roman" w:cs="Times New Roman"/>
          <w:sz w:val="28"/>
          <w:szCs w:val="28"/>
        </w:rPr>
        <w:t>Business</w:t>
      </w:r>
      <w:proofErr w:type="spellEnd"/>
      <w:r w:rsidRPr="00A112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125E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Pr="00A112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125E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Pr="00A112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125E">
        <w:rPr>
          <w:rFonts w:ascii="Times New Roman" w:hAnsi="Times New Roman" w:cs="Times New Roman"/>
          <w:sz w:val="28"/>
          <w:szCs w:val="28"/>
        </w:rPr>
        <w:t>Notation</w:t>
      </w:r>
      <w:proofErr w:type="spellEnd"/>
      <w:r w:rsidRPr="00A1125E">
        <w:rPr>
          <w:rFonts w:ascii="Times New Roman" w:hAnsi="Times New Roman" w:cs="Times New Roman"/>
          <w:sz w:val="28"/>
          <w:szCs w:val="28"/>
        </w:rPr>
        <w:t xml:space="preserve">) </w:t>
      </w:r>
      <w:r w:rsidR="00A1125E">
        <w:rPr>
          <w:rFonts w:ascii="Times New Roman" w:hAnsi="Times New Roman" w:cs="Times New Roman"/>
          <w:sz w:val="28"/>
          <w:szCs w:val="28"/>
        </w:rPr>
        <w:t xml:space="preserve">– </w:t>
      </w:r>
      <w:r w:rsidRPr="00A1125E">
        <w:rPr>
          <w:rFonts w:ascii="Times New Roman" w:hAnsi="Times New Roman" w:cs="Times New Roman"/>
          <w:sz w:val="28"/>
          <w:szCs w:val="28"/>
        </w:rPr>
        <w:t>это новый стандарт для</w:t>
      </w:r>
      <w:r w:rsidR="00A1125E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моделирования бизнес процессов и</w:t>
      </w:r>
      <w:r w:rsidR="00C02E11" w:rsidRPr="00C02E11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 xml:space="preserve">сетевых услуг, который впервые был выпущен BPMI </w:t>
      </w:r>
      <w:proofErr w:type="spellStart"/>
      <w:r w:rsidRPr="00A1125E">
        <w:rPr>
          <w:rFonts w:ascii="Times New Roman" w:hAnsi="Times New Roman" w:cs="Times New Roman"/>
          <w:sz w:val="28"/>
          <w:szCs w:val="28"/>
        </w:rPr>
        <w:t>Notation</w:t>
      </w:r>
      <w:proofErr w:type="spellEnd"/>
      <w:r w:rsidRPr="00A112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125E">
        <w:rPr>
          <w:rFonts w:ascii="Times New Roman" w:hAnsi="Times New Roman" w:cs="Times New Roman"/>
          <w:sz w:val="28"/>
          <w:szCs w:val="28"/>
        </w:rPr>
        <w:t>Working</w:t>
      </w:r>
      <w:proofErr w:type="spellEnd"/>
      <w:r w:rsidRPr="00A112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125E">
        <w:rPr>
          <w:rFonts w:ascii="Times New Roman" w:hAnsi="Times New Roman" w:cs="Times New Roman"/>
          <w:sz w:val="28"/>
          <w:szCs w:val="28"/>
        </w:rPr>
        <w:t>Group</w:t>
      </w:r>
      <w:proofErr w:type="spellEnd"/>
      <w:r w:rsidRPr="00A1125E">
        <w:rPr>
          <w:rFonts w:ascii="Times New Roman" w:hAnsi="Times New Roman" w:cs="Times New Roman"/>
          <w:sz w:val="28"/>
          <w:szCs w:val="28"/>
        </w:rPr>
        <w:t xml:space="preserve"> в</w:t>
      </w:r>
      <w:r w:rsidR="00C02E11" w:rsidRPr="00C02E11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мае 2004 года. Последняя версия нотации BPMN 2.0 вышла в</w:t>
      </w:r>
      <w:r w:rsidR="00C02E11" w:rsidRPr="001A7AA2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2010 году. Оригинальная спецификация (на английском языке) изготовлена группой компаний «</w:t>
      </w:r>
      <w:proofErr w:type="spellStart"/>
      <w:r w:rsidRPr="00A1125E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A112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125E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Pr="00A112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125E">
        <w:rPr>
          <w:rFonts w:ascii="Times New Roman" w:hAnsi="Times New Roman" w:cs="Times New Roman"/>
          <w:sz w:val="28"/>
          <w:szCs w:val="28"/>
        </w:rPr>
        <w:t>Group</w:t>
      </w:r>
      <w:proofErr w:type="spellEnd"/>
      <w:r w:rsidRPr="00A1125E">
        <w:rPr>
          <w:rFonts w:ascii="Times New Roman" w:hAnsi="Times New Roman" w:cs="Times New Roman"/>
          <w:sz w:val="28"/>
          <w:szCs w:val="28"/>
        </w:rPr>
        <w:t>».</w:t>
      </w:r>
    </w:p>
    <w:p w:rsidR="00846AA9" w:rsidRPr="00A1125E" w:rsidRDefault="00846AA9" w:rsidP="00C02E11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1125E">
        <w:rPr>
          <w:rFonts w:ascii="Times New Roman" w:hAnsi="Times New Roman" w:cs="Times New Roman"/>
          <w:sz w:val="28"/>
          <w:szCs w:val="28"/>
        </w:rPr>
        <w:t>Нотация BPMN описывает условные обозначения для</w:t>
      </w:r>
      <w:r w:rsidR="00C02E11" w:rsidRPr="00C02E11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отображения бизнес-процессов в</w:t>
      </w:r>
      <w:r w:rsidR="00C02E11" w:rsidRPr="00C02E11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 xml:space="preserve">виде диаграмм бизнес-процессов. BPMN </w:t>
      </w:r>
      <w:proofErr w:type="gramStart"/>
      <w:r w:rsidRPr="00A1125E">
        <w:rPr>
          <w:rFonts w:ascii="Times New Roman" w:hAnsi="Times New Roman" w:cs="Times New Roman"/>
          <w:sz w:val="28"/>
          <w:szCs w:val="28"/>
        </w:rPr>
        <w:t>ориентирована</w:t>
      </w:r>
      <w:proofErr w:type="gramEnd"/>
      <w:r w:rsidRPr="00A1125E">
        <w:rPr>
          <w:rFonts w:ascii="Times New Roman" w:hAnsi="Times New Roman" w:cs="Times New Roman"/>
          <w:sz w:val="28"/>
          <w:szCs w:val="28"/>
        </w:rPr>
        <w:t xml:space="preserve"> как на</w:t>
      </w:r>
      <w:r w:rsidR="00C02E11" w:rsidRPr="00C02E11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технических специалистов (разработчиков, ответственных за</w:t>
      </w:r>
      <w:r w:rsidR="00C02E11" w:rsidRPr="00C02E11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реализацию процессов), так и</w:t>
      </w:r>
      <w:r w:rsidR="00C02E11" w:rsidRPr="00C02E11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на бизнес-пользователей (бизнес-аналитиков, создающих и</w:t>
      </w:r>
      <w:r w:rsidR="00C02E11" w:rsidRPr="00C02E11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улучшающих процессы) и</w:t>
      </w:r>
      <w:r w:rsidR="00C02E11" w:rsidRPr="00C02E11">
        <w:rPr>
          <w:rFonts w:ascii="Times New Roman" w:hAnsi="Times New Roman" w:cs="Times New Roman"/>
          <w:sz w:val="28"/>
          <w:szCs w:val="28"/>
        </w:rPr>
        <w:t xml:space="preserve"> </w:t>
      </w:r>
      <w:r w:rsidR="00C02E11">
        <w:rPr>
          <w:rFonts w:ascii="Times New Roman" w:hAnsi="Times New Roman" w:cs="Times New Roman"/>
          <w:sz w:val="28"/>
          <w:szCs w:val="28"/>
        </w:rPr>
        <w:t>менеджеров, следящих за</w:t>
      </w:r>
      <w:r w:rsidR="00C02E11" w:rsidRPr="00C02E11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процессами и</w:t>
      </w:r>
      <w:r w:rsidR="00C02E11" w:rsidRPr="00C02E11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 xml:space="preserve">управляющих ими. Следовательно, BPMN </w:t>
      </w:r>
      <w:proofErr w:type="gramStart"/>
      <w:r w:rsidRPr="00A1125E">
        <w:rPr>
          <w:rFonts w:ascii="Times New Roman" w:hAnsi="Times New Roman" w:cs="Times New Roman"/>
          <w:sz w:val="28"/>
          <w:szCs w:val="28"/>
        </w:rPr>
        <w:t>призвана</w:t>
      </w:r>
      <w:proofErr w:type="gramEnd"/>
      <w:r w:rsidRPr="00A1125E">
        <w:rPr>
          <w:rFonts w:ascii="Times New Roman" w:hAnsi="Times New Roman" w:cs="Times New Roman"/>
          <w:sz w:val="28"/>
          <w:szCs w:val="28"/>
        </w:rPr>
        <w:t xml:space="preserve"> служить связующим звеном между фазой дизайна бизнес-процесса и</w:t>
      </w:r>
      <w:r w:rsidR="00C02E11" w:rsidRPr="00C02E11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фазой его реализации. Для этого язык использует базовый набор интуитивно понятных элементов, которые позволяют определять сложные семантические конструкции.</w:t>
      </w:r>
    </w:p>
    <w:p w:rsidR="00846AA9" w:rsidRPr="00A1125E" w:rsidRDefault="00846AA9" w:rsidP="00C02E11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1125E">
        <w:rPr>
          <w:rFonts w:ascii="Times New Roman" w:hAnsi="Times New Roman" w:cs="Times New Roman"/>
          <w:sz w:val="28"/>
          <w:szCs w:val="28"/>
        </w:rPr>
        <w:t>Людям, занимающимся бизнесом, крайне удобно работать с</w:t>
      </w:r>
      <w:r w:rsidR="00C02E11" w:rsidRPr="00C02E11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биз</w:t>
      </w:r>
      <w:r w:rsidR="00C02E11">
        <w:rPr>
          <w:rFonts w:ascii="Times New Roman" w:hAnsi="Times New Roman" w:cs="Times New Roman"/>
          <w:sz w:val="28"/>
          <w:szCs w:val="28"/>
        </w:rPr>
        <w:t>нес-процессами, отображаемыми в</w:t>
      </w:r>
      <w:r w:rsidR="00C02E11" w:rsidRPr="00C02E11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 xml:space="preserve">виде блок-схем. Множество </w:t>
      </w:r>
      <w:proofErr w:type="gramStart"/>
      <w:r w:rsidRPr="00A1125E">
        <w:rPr>
          <w:rFonts w:ascii="Times New Roman" w:hAnsi="Times New Roman" w:cs="Times New Roman"/>
          <w:sz w:val="28"/>
          <w:szCs w:val="28"/>
        </w:rPr>
        <w:t>бизнес-аналитиков</w:t>
      </w:r>
      <w:proofErr w:type="gramEnd"/>
      <w:r w:rsidRPr="00A1125E">
        <w:rPr>
          <w:rFonts w:ascii="Times New Roman" w:hAnsi="Times New Roman" w:cs="Times New Roman"/>
          <w:sz w:val="28"/>
          <w:szCs w:val="28"/>
        </w:rPr>
        <w:t xml:space="preserve"> проектируют и</w:t>
      </w:r>
      <w:r w:rsidR="00C02E11" w:rsidRPr="00C02E11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описывают бизнес-процессы компаний с</w:t>
      </w:r>
      <w:r w:rsidR="00C02E11" w:rsidRPr="00C02E11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помощью простых диаграмм в</w:t>
      </w:r>
      <w:r w:rsidR="00C02E11" w:rsidRPr="00C02E11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нотации BPMN, т.к. язык нотации понятен даже на</w:t>
      </w:r>
      <w:r w:rsidR="00C02E11" w:rsidRPr="00C02E11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уровне пользователя. При это</w:t>
      </w:r>
      <w:r w:rsidR="00C02E11">
        <w:rPr>
          <w:rFonts w:ascii="Times New Roman" w:hAnsi="Times New Roman" w:cs="Times New Roman"/>
          <w:sz w:val="28"/>
          <w:szCs w:val="28"/>
        </w:rPr>
        <w:t>м модели процессов, описанных в</w:t>
      </w:r>
      <w:r w:rsidR="00C02E11" w:rsidRPr="00C02E11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нотации BPMN, являются ИСПОЛНЯЕМЫМИ (т.е. реализуются в</w:t>
      </w:r>
      <w:r w:rsidR="00C02E11" w:rsidRPr="00C02E11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любой BPM-системе), а</w:t>
      </w:r>
      <w:r w:rsidR="00C02E11" w:rsidRPr="00C02E11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не только документируются. Для детального описания процессов существуют программные решения, которые способны преобразовать диаграммы в</w:t>
      </w:r>
      <w:r w:rsidR="00C02E11" w:rsidRPr="00C02E11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исполняемые процессы, эти процессы затем могут быть запущенны и</w:t>
      </w:r>
      <w:r w:rsidR="00C02E11" w:rsidRPr="00C02E11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работать в</w:t>
      </w:r>
      <w:r w:rsidR="00C02E11" w:rsidRPr="00C02E11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реальном времени.</w:t>
      </w:r>
    </w:p>
    <w:p w:rsidR="00846AA9" w:rsidRPr="00A1125E" w:rsidRDefault="00846AA9" w:rsidP="00C02E11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1125E">
        <w:rPr>
          <w:rFonts w:ascii="Times New Roman" w:hAnsi="Times New Roman" w:cs="Times New Roman"/>
          <w:sz w:val="28"/>
          <w:szCs w:val="28"/>
        </w:rPr>
        <w:t>Любой процесс, описанный в</w:t>
      </w:r>
      <w:r w:rsidR="00C02E11" w:rsidRPr="00C02E11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нотации BPMN, представляет собой последовательное или параллельное выполнение различных действий (операций) с</w:t>
      </w:r>
      <w:r w:rsidR="00C02E11" w:rsidRPr="00C02E11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указанием определённых бизнес-правил. Рассмотрим простой пример процесса «Обработка заказа», который может реализовываться в</w:t>
      </w:r>
      <w:r w:rsidR="00C02E11" w:rsidRPr="00C02E11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рамках продажи и</w:t>
      </w:r>
      <w:r w:rsidR="00C02E11" w:rsidRPr="00C02E11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аренды велосипедов через</w:t>
      </w:r>
      <w:r w:rsidR="00C02E11" w:rsidRPr="00C02E11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интернет-магазин.</w:t>
      </w:r>
    </w:p>
    <w:p w:rsidR="00846AA9" w:rsidRPr="00A1125E" w:rsidRDefault="00846AA9" w:rsidP="00C02E1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112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444E30A" wp14:editId="21C6CE3A">
            <wp:extent cx="5935980" cy="2202180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AA9" w:rsidRPr="00A1125E" w:rsidRDefault="00846AA9" w:rsidP="00C02E11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1125E">
        <w:rPr>
          <w:rFonts w:ascii="Times New Roman" w:hAnsi="Times New Roman" w:cs="Times New Roman"/>
          <w:sz w:val="28"/>
          <w:szCs w:val="28"/>
        </w:rPr>
        <w:t>Чтение процесса всегда начинается со Стартового события (зел</w:t>
      </w:r>
      <w:r w:rsidR="00C02E11">
        <w:rPr>
          <w:rFonts w:ascii="Times New Roman" w:hAnsi="Times New Roman" w:cs="Times New Roman"/>
          <w:sz w:val="28"/>
          <w:szCs w:val="28"/>
        </w:rPr>
        <w:t>еного кружка). Как видно из</w:t>
      </w:r>
      <w:r w:rsidR="00C02E11" w:rsidRPr="00C02E11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названия, Стартовое событие указывает на</w:t>
      </w:r>
      <w:r w:rsidR="00C02E11" w:rsidRPr="00C02E11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то, в</w:t>
      </w:r>
      <w:r w:rsidR="00C02E11" w:rsidRPr="00C02E11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какой точке берет начало тот или иной процесс. В</w:t>
      </w:r>
      <w:r w:rsidR="00C02E11" w:rsidRPr="00C02E11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контексте потока операций Стартовое событие является начальной точкой в</w:t>
      </w:r>
      <w:r w:rsidR="00C02E11" w:rsidRPr="00C02E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125E">
        <w:rPr>
          <w:rFonts w:ascii="Times New Roman" w:hAnsi="Times New Roman" w:cs="Times New Roman"/>
          <w:sz w:val="28"/>
          <w:szCs w:val="28"/>
        </w:rPr>
        <w:t>проце</w:t>
      </w:r>
      <w:proofErr w:type="spellEnd"/>
      <w:proofErr w:type="gramStart"/>
      <w:r w:rsidR="000878D1">
        <w:rPr>
          <w:rFonts w:ascii="Times New Roman" w:hAnsi="Times New Roman" w:cs="Times New Roman"/>
          <w:sz w:val="28"/>
          <w:szCs w:val="28"/>
          <w:lang w:val="en-US"/>
        </w:rPr>
        <w:t>cc</w:t>
      </w:r>
      <w:proofErr w:type="gramEnd"/>
      <w:r w:rsidRPr="00A1125E">
        <w:rPr>
          <w:rFonts w:ascii="Times New Roman" w:hAnsi="Times New Roman" w:cs="Times New Roman"/>
          <w:sz w:val="28"/>
          <w:szCs w:val="28"/>
        </w:rPr>
        <w:t>е; это означает, что никакой входящий поток операций не</w:t>
      </w:r>
      <w:r w:rsidR="00C02E11" w:rsidRPr="00C02E11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может быть соединен со стартовым событием. Стартовое событие в</w:t>
      </w:r>
      <w:r w:rsidR="00C02E11" w:rsidRPr="00C02E11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нотации BPMN изображается в</w:t>
      </w:r>
      <w:r w:rsidR="00C02E11" w:rsidRPr="00C02E11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виде круга со свободным центром. Далее от</w:t>
      </w:r>
      <w:r w:rsidR="00C02E11" w:rsidRPr="00C02E11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Стартового события выполнение процесса идет по</w:t>
      </w:r>
      <w:r w:rsidR="000878D1" w:rsidRPr="005D0B2F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линиям (Поток операций) до</w:t>
      </w:r>
      <w:r w:rsidR="000878D1" w:rsidRPr="005D0B2F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Конечного события (красный кружок), их может быть несколько.</w:t>
      </w:r>
    </w:p>
    <w:p w:rsidR="00A1125E" w:rsidRPr="00A1125E" w:rsidRDefault="00A1125E" w:rsidP="005D0B2F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1125E">
        <w:rPr>
          <w:rFonts w:ascii="Times New Roman" w:hAnsi="Times New Roman" w:cs="Times New Roman"/>
          <w:sz w:val="28"/>
          <w:szCs w:val="28"/>
        </w:rPr>
        <w:t>Конечное событие указывает на</w:t>
      </w:r>
      <w:r w:rsidR="005D0B2F" w:rsidRPr="005D0B2F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то, в</w:t>
      </w:r>
      <w:r w:rsidR="005D0B2F" w:rsidRPr="005D0B2F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какой точке завершается тот или иной процесс. В</w:t>
      </w:r>
      <w:r w:rsidR="005D0B2F" w:rsidRPr="005D0B2F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контексте Потока операций Конечное событие завершает ход Процесса; это означает, что никакой Исходящий поток операций не</w:t>
      </w:r>
      <w:r w:rsidR="005D0B2F" w:rsidRPr="005D0B2F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может быть соединен с</w:t>
      </w:r>
      <w:r w:rsidR="005D0B2F" w:rsidRPr="005D0B2F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Конечным событием.</w:t>
      </w:r>
    </w:p>
    <w:p w:rsidR="00A1125E" w:rsidRPr="00A1125E" w:rsidRDefault="00A1125E" w:rsidP="005D0B2F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1125E">
        <w:rPr>
          <w:rFonts w:ascii="Times New Roman" w:hAnsi="Times New Roman" w:cs="Times New Roman"/>
          <w:sz w:val="28"/>
          <w:szCs w:val="28"/>
        </w:rPr>
        <w:t>Конечное событие представляет собой круг, выполненный одиночной, жирной линией. Толщина линии должна быть жирной настолько, чтобы без</w:t>
      </w:r>
      <w:r w:rsidR="005D0B2F" w:rsidRPr="005D0B2F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 xml:space="preserve">труда можно было отличить Конечное событие </w:t>
      </w:r>
      <w:proofErr w:type="gramStart"/>
      <w:r w:rsidRPr="00A1125E">
        <w:rPr>
          <w:rFonts w:ascii="Times New Roman" w:hAnsi="Times New Roman" w:cs="Times New Roman"/>
          <w:sz w:val="28"/>
          <w:szCs w:val="28"/>
        </w:rPr>
        <w:t>от</w:t>
      </w:r>
      <w:proofErr w:type="gramEnd"/>
      <w:r w:rsidR="005D0B2F" w:rsidRPr="005D0B2F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Стартового.</w:t>
      </w:r>
    </w:p>
    <w:p w:rsidR="00A1125E" w:rsidRPr="00A1125E" w:rsidRDefault="00A1125E" w:rsidP="005D0B2F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1125E">
        <w:rPr>
          <w:rFonts w:ascii="Times New Roman" w:hAnsi="Times New Roman" w:cs="Times New Roman"/>
          <w:sz w:val="28"/>
          <w:szCs w:val="28"/>
        </w:rPr>
        <w:t>Вся логика работы (ход) процесса выражается во всевозможных элементах, расположенных между Стартовым и</w:t>
      </w:r>
      <w:r w:rsidR="005D0B2F" w:rsidRPr="005D0B2F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Конечным событием. Основным элементом, отражающим деятельность, выполняемую внутри процесса, являются Действия. Действия – это точки выполнения работ в</w:t>
      </w:r>
      <w:r w:rsidR="005D0B2F" w:rsidRPr="005D0B2F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ходе Процесса. Они относятся к</w:t>
      </w:r>
      <w:r w:rsidR="005D0B2F" w:rsidRPr="005D0B2F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выполняемым элементам Процесса BPMN. Действие может быть как элементарным, так и</w:t>
      </w:r>
      <w:r w:rsidR="005D0B2F" w:rsidRPr="005D0B2F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неэлементарным (составным).</w:t>
      </w:r>
    </w:p>
    <w:p w:rsidR="00A1125E" w:rsidRPr="00A1125E" w:rsidRDefault="00A1125E" w:rsidP="005D0B2F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1125E">
        <w:rPr>
          <w:rFonts w:ascii="Times New Roman" w:hAnsi="Times New Roman" w:cs="Times New Roman"/>
          <w:sz w:val="28"/>
          <w:szCs w:val="28"/>
        </w:rPr>
        <w:t>Элементарное Действие выражается в</w:t>
      </w:r>
      <w:r w:rsidR="005D0B2F" w:rsidRPr="005D0B2F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выполнении одной единственной Задачи. Графически Задача изображается в</w:t>
      </w:r>
      <w:r w:rsidR="005D0B2F" w:rsidRPr="005D0B2F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виде прямоугольника с</w:t>
      </w:r>
      <w:r w:rsidR="005D0B2F" w:rsidRPr="005D0B2F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закругленными углами. Самой распространённой Задачей является типичная для</w:t>
      </w:r>
      <w:r w:rsidR="005D0B2F" w:rsidRPr="005D0B2F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технологического процесса задача, где человек участвует в</w:t>
      </w:r>
      <w:r w:rsidR="005D0B2F" w:rsidRPr="005D0B2F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качестве исполнителя. Такие Задачи называются Пользовательскими.</w:t>
      </w:r>
    </w:p>
    <w:p w:rsidR="00A1125E" w:rsidRPr="00A1125E" w:rsidRDefault="00A1125E" w:rsidP="005D0B2F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1125E">
        <w:rPr>
          <w:rFonts w:ascii="Times New Roman" w:hAnsi="Times New Roman" w:cs="Times New Roman"/>
          <w:sz w:val="28"/>
          <w:szCs w:val="28"/>
        </w:rPr>
        <w:t>Другой элемент нотации, часто используемый в</w:t>
      </w:r>
      <w:r w:rsidR="005D0B2F" w:rsidRPr="005D0B2F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 xml:space="preserve">описании процессов – Шлюзы (Условия). Графический элемент Шлюза представляет собой </w:t>
      </w:r>
      <w:r w:rsidRPr="00A1125E">
        <w:rPr>
          <w:rFonts w:ascii="Times New Roman" w:hAnsi="Times New Roman" w:cs="Times New Roman"/>
          <w:sz w:val="28"/>
          <w:szCs w:val="28"/>
        </w:rPr>
        <w:lastRenderedPageBreak/>
        <w:t>небольшой ромб, используемый во многих нотациях схем бизнес-процессов для</w:t>
      </w:r>
      <w:r w:rsidR="005D0B2F" w:rsidRPr="005D0B2F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изображения ветвления и</w:t>
      </w:r>
      <w:r w:rsidR="005D0B2F" w:rsidRPr="005D0B2F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 xml:space="preserve">знакомый большинству инструментов моделирования. Фактически Шлюз </w:t>
      </w:r>
      <w:r w:rsidR="005D0B2F" w:rsidRPr="005D0B2F">
        <w:rPr>
          <w:rFonts w:ascii="Times New Roman" w:hAnsi="Times New Roman" w:cs="Times New Roman"/>
          <w:sz w:val="28"/>
          <w:szCs w:val="28"/>
        </w:rPr>
        <w:t xml:space="preserve">– </w:t>
      </w:r>
      <w:r w:rsidRPr="00A1125E">
        <w:rPr>
          <w:rFonts w:ascii="Times New Roman" w:hAnsi="Times New Roman" w:cs="Times New Roman"/>
          <w:sz w:val="28"/>
          <w:szCs w:val="28"/>
        </w:rPr>
        <w:t>есть совокупность входов и</w:t>
      </w:r>
      <w:r w:rsidR="005D0B2F" w:rsidRPr="005D0B2F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выходов.</w:t>
      </w:r>
    </w:p>
    <w:p w:rsidR="00846AA9" w:rsidRPr="001A7AA2" w:rsidRDefault="00A1125E" w:rsidP="005D0B2F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1125E">
        <w:rPr>
          <w:rFonts w:ascii="Times New Roman" w:hAnsi="Times New Roman" w:cs="Times New Roman"/>
          <w:sz w:val="28"/>
          <w:szCs w:val="28"/>
        </w:rPr>
        <w:t>Шлюзы используются для</w:t>
      </w:r>
      <w:r w:rsidR="005D0B2F" w:rsidRPr="005D0B2F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контроля расхождений и</w:t>
      </w:r>
      <w:r w:rsidR="005D0B2F" w:rsidRPr="005D0B2F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схождений потока операций в</w:t>
      </w:r>
      <w:r w:rsidR="005D0B2F" w:rsidRPr="005D0B2F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рамках процесса. Термин шлюз подразумевает пропускное устройство, которое либо позволяет осуществлять переход через</w:t>
      </w:r>
      <w:r w:rsidR="005D0B2F" w:rsidRPr="001A7AA2">
        <w:rPr>
          <w:rFonts w:ascii="Times New Roman" w:hAnsi="Times New Roman" w:cs="Times New Roman"/>
          <w:sz w:val="28"/>
          <w:szCs w:val="28"/>
        </w:rPr>
        <w:t xml:space="preserve"> </w:t>
      </w:r>
      <w:r w:rsidRPr="00A1125E">
        <w:rPr>
          <w:rFonts w:ascii="Times New Roman" w:hAnsi="Times New Roman" w:cs="Times New Roman"/>
          <w:sz w:val="28"/>
          <w:szCs w:val="28"/>
        </w:rPr>
        <w:t>шлюз, либо нет.</w:t>
      </w:r>
    </w:p>
    <w:p w:rsidR="001A7AA2" w:rsidRDefault="001A7AA2" w:rsidP="005D0B2F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A7AA2">
        <w:rPr>
          <w:rFonts w:ascii="Times New Roman" w:hAnsi="Times New Roman" w:cs="Times New Roman"/>
          <w:b/>
          <w:sz w:val="28"/>
          <w:szCs w:val="28"/>
        </w:rPr>
        <w:t>Задание</w:t>
      </w:r>
      <w:r>
        <w:rPr>
          <w:rFonts w:ascii="Times New Roman" w:hAnsi="Times New Roman" w:cs="Times New Roman"/>
          <w:sz w:val="28"/>
          <w:szCs w:val="28"/>
        </w:rPr>
        <w:t>. Спроектировать модель бизнес-процесса «Обработка заказа».</w:t>
      </w:r>
    </w:p>
    <w:p w:rsidR="001A7AA2" w:rsidRPr="001A7AA2" w:rsidRDefault="001A7AA2" w:rsidP="001A7AA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895536" wp14:editId="42C124D2">
            <wp:extent cx="5882640" cy="5401957"/>
            <wp:effectExtent l="0" t="0" r="381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307" t="28263" r="44744" b="17947"/>
                    <a:stretch/>
                  </pic:blipFill>
                  <pic:spPr bwMode="auto">
                    <a:xfrm>
                      <a:off x="0" y="0"/>
                      <a:ext cx="5879743" cy="5399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A7AA2" w:rsidRPr="001A7A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2210C3"/>
    <w:multiLevelType w:val="multilevel"/>
    <w:tmpl w:val="98941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497C"/>
    <w:rsid w:val="000878D1"/>
    <w:rsid w:val="00126F91"/>
    <w:rsid w:val="001A7AA2"/>
    <w:rsid w:val="00315B85"/>
    <w:rsid w:val="003F497C"/>
    <w:rsid w:val="00454601"/>
    <w:rsid w:val="004A2ECC"/>
    <w:rsid w:val="0053630E"/>
    <w:rsid w:val="005D0B2F"/>
    <w:rsid w:val="00724AA6"/>
    <w:rsid w:val="007C6A3F"/>
    <w:rsid w:val="00832744"/>
    <w:rsid w:val="00846AA9"/>
    <w:rsid w:val="00972846"/>
    <w:rsid w:val="00A1125E"/>
    <w:rsid w:val="00A40644"/>
    <w:rsid w:val="00A4682E"/>
    <w:rsid w:val="00A75F38"/>
    <w:rsid w:val="00C02E11"/>
    <w:rsid w:val="00C57E76"/>
    <w:rsid w:val="00D10D0F"/>
    <w:rsid w:val="00D36539"/>
    <w:rsid w:val="00D66670"/>
    <w:rsid w:val="00D97C54"/>
    <w:rsid w:val="00EE2C7B"/>
    <w:rsid w:val="00FC0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D97C5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D97C5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832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32744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7284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5">
    <w:name w:val="Hyperlink"/>
    <w:basedOn w:val="a0"/>
    <w:uiPriority w:val="99"/>
    <w:unhideWhenUsed/>
    <w:rsid w:val="004A2ECC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846A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D97C5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D97C5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832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32744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7284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5">
    <w:name w:val="Hyperlink"/>
    <w:basedOn w:val="a0"/>
    <w:uiPriority w:val="99"/>
    <w:unhideWhenUsed/>
    <w:rsid w:val="004A2ECC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846A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2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3</Pages>
  <Words>679</Words>
  <Characters>3874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</dc:creator>
  <cp:keywords/>
  <dc:description/>
  <cp:lastModifiedBy>Владислав</cp:lastModifiedBy>
  <cp:revision>24</cp:revision>
  <dcterms:created xsi:type="dcterms:W3CDTF">2021-03-17T09:07:00Z</dcterms:created>
  <dcterms:modified xsi:type="dcterms:W3CDTF">2022-04-15T03:19:00Z</dcterms:modified>
</cp:coreProperties>
</file>