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1ec42c220b03b11a0e5a667e44452ffdb492fa"/>
    <w:p>
      <w:pPr>
        <w:pStyle w:val="Heading1"/>
      </w:pPr>
      <w:r>
        <w:t xml:space="preserve">Citation integrity — a practice checklist for research students and their supervisors</w:t>
      </w:r>
    </w:p>
    <w:p>
      <w:pPr>
        <w:pStyle w:val="FirstParagraph"/>
      </w:pPr>
      <w:r>
        <w:rPr>
          <w:i/>
          <w:iCs/>
        </w:rPr>
        <w:t xml:space="preserve">A one-page companion for supervision: the habits that prevent citation problems, and the checks to run before any submission. Written for humans — no AI required (though one can run the mechanical parts for you; see the end). Item numbers in brackets key each check to the full 16-rule charter in</w:t>
      </w:r>
      <w:r>
        <w:rPr>
          <w:i/>
          <w:iCs/>
        </w:rPr>
        <w:t xml:space="preserve"> </w:t>
      </w:r>
      <w:hyperlink r:id="rId9">
        <w:r>
          <w:rPr>
            <w:rStyle w:val="Hyperlink"/>
            <w:i/>
            <w:iCs/>
          </w:rPr>
          <w:t xml:space="preserve">CLARK’s docs/04</w:t>
        </w:r>
      </w:hyperlink>
      <w:r>
        <w:rPr>
          <w:i/>
          <w:iCs/>
        </w:rPr>
        <w:t xml:space="preserve">, or to its ground rule; the charter remains the authority.</w:t>
      </w:r>
    </w:p>
    <w:bookmarkStart w:id="10" w:name="the-habits-while-you-read-and-write"/>
    <w:p>
      <w:pPr>
        <w:pStyle w:val="Heading2"/>
      </w:pPr>
      <w:r>
        <w:t xml:space="preserve">The habits (while you read and write)</w:t>
      </w:r>
    </w:p>
    <w:p>
      <w:pPr>
        <w:pStyle w:val="Compact"/>
        <w:numPr>
          <w:ilvl w:val="0"/>
          <w:numId w:val="1001"/>
        </w:numPr>
      </w:pPr>
      <w:r>
        <w:rPr>
          <w:b/>
          <w:bCs/>
        </w:rPr>
        <w:t xml:space="preserve">Read what you cite.</w:t>
      </w:r>
      <w:r>
        <w:t xml:space="preserve"> </w:t>
      </w:r>
      <w:r>
        <w:t xml:space="preserve">If you only know a paper through someone else’s summary, either read the original before citing it, or cite it honestly as</w:t>
      </w:r>
      <w:r>
        <w:t xml:space="preserve"> </w:t>
      </w:r>
      <w:r>
        <w:rPr>
          <w:i/>
          <w:iCs/>
        </w:rPr>
        <w:t xml:space="preserve">“as cited in …”</w:t>
      </w:r>
      <w:r>
        <w:t xml:space="preserve">. Citations copied from other papers’ literature reviews are how errors travel between manuscripts.</w:t>
      </w:r>
      <w:r>
        <w:t xml:space="preserve"> </w:t>
      </w:r>
      <w:r>
        <w:rPr>
          <w:i/>
          <w:iCs/>
        </w:rPr>
        <w:t xml:space="preserve">(rules 5, 6)</w:t>
      </w:r>
    </w:p>
    <w:p>
      <w:pPr>
        <w:pStyle w:val="Compact"/>
        <w:numPr>
          <w:ilvl w:val="0"/>
          <w:numId w:val="1001"/>
        </w:numPr>
      </w:pPr>
      <w:r>
        <w:rPr>
          <w:b/>
          <w:bCs/>
        </w:rPr>
        <w:t xml:space="preserve">Find every statistic in the study you credit.</w:t>
      </w:r>
      <w:r>
        <w:t xml:space="preserve"> </w:t>
      </w:r>
      <w:r>
        <w:t xml:space="preserve">Before a number goes beside a citation, find it in that study, or say in your sentence that you calculated it from that study’s data. If you took it from a summary, cite the summary (</w:t>
      </w:r>
      <w:r>
        <w:rPr>
          <w:i/>
          <w:iCs/>
        </w:rPr>
        <w:t xml:space="preserve">as cited in</w:t>
      </w:r>
      <w:r>
        <w:t xml:space="preserve">).</w:t>
      </w:r>
      <w:r>
        <w:t xml:space="preserve"> </w:t>
      </w:r>
      <w:r>
        <w:rPr>
          <w:i/>
          <w:iCs/>
        </w:rPr>
        <w:t xml:space="preserve">(rules 1, 5)</w:t>
      </w:r>
    </w:p>
    <w:p>
      <w:pPr>
        <w:pStyle w:val="Compact"/>
        <w:numPr>
          <w:ilvl w:val="0"/>
          <w:numId w:val="1001"/>
        </w:numPr>
      </w:pPr>
      <w:r>
        <w:rPr>
          <w:b/>
          <w:bCs/>
        </w:rPr>
        <w:t xml:space="preserve">Cite the version you actually used</w:t>
      </w:r>
      <w:r>
        <w:t xml:space="preserve"> </w:t>
      </w:r>
      <w:r>
        <w:t xml:space="preserve">— the edition, the translation, the preprint</w:t>
      </w:r>
      <w:r>
        <w:t xml:space="preserve"> </w:t>
      </w:r>
      <w:r>
        <w:rPr>
          <w:i/>
          <w:iCs/>
        </w:rPr>
        <w:t xml:space="preserve">or</w:t>
      </w:r>
      <w:r>
        <w:t xml:space="preserve"> </w:t>
      </w:r>
      <w:r>
        <w:t xml:space="preserve">the published version, whichever you read. When a preprint you cited gets published, update to the version of record. Check the record’s authors, year and pages against that copy’s title page or first page.</w:t>
      </w:r>
      <w:r>
        <w:t xml:space="preserve"> </w:t>
      </w:r>
      <w:r>
        <w:rPr>
          <w:i/>
          <w:iCs/>
        </w:rPr>
        <w:t xml:space="preserve">(rules 4, 14)</w:t>
      </w:r>
    </w:p>
    <w:p>
      <w:pPr>
        <w:pStyle w:val="Compact"/>
        <w:numPr>
          <w:ilvl w:val="0"/>
          <w:numId w:val="1001"/>
        </w:numPr>
      </w:pPr>
      <w:r>
        <w:rPr>
          <w:b/>
          <w:bCs/>
        </w:rPr>
        <w:t xml:space="preserve">Treat an under-review preprint as provisional, not proof.</w:t>
      </w:r>
      <w:r>
        <w:t xml:space="preserve"> </w:t>
      </w:r>
      <w:r>
        <w:t xml:space="preserve">A preprint that hasn’t passed peer review may change between versions — or never be accepted. Cite it</w:t>
      </w:r>
      <w:r>
        <w:t xml:space="preserve"> </w:t>
      </w:r>
      <w:r>
        <w:rPr>
          <w:i/>
          <w:iCs/>
        </w:rPr>
        <w:t xml:space="preserve">as</w:t>
      </w:r>
      <w:r>
        <w:t xml:space="preserve"> </w:t>
      </w:r>
      <w:r>
        <w:t xml:space="preserve">a preprint, say so in your prose (</w:t>
      </w:r>
      <w:r>
        <w:t xml:space="preserve">“in a preprint, X report…”</w:t>
      </w:r>
      <w:r>
        <w:t xml:space="preserve">), and never let a single unreviewed finding — however striking, and frontier-model results are especially tempting — carry a load-bearing claim on its own. Before submitting, check whether a peer-reviewed version now exists, and whether your target journal has a policy on citing preprints (some require explicit labelling; a few restrict them for key claims).</w:t>
      </w:r>
      <w:r>
        <w:t xml:space="preserve"> </w:t>
      </w:r>
      <w:r>
        <w:rPr>
          <w:i/>
          <w:iCs/>
        </w:rPr>
        <w:t xml:space="preserve">(rules 4, 7, 14)</w:t>
      </w:r>
    </w:p>
    <w:p>
      <w:pPr>
        <w:pStyle w:val="Compact"/>
        <w:numPr>
          <w:ilvl w:val="0"/>
          <w:numId w:val="1001"/>
        </w:numPr>
      </w:pPr>
      <w:r>
        <w:rPr>
          <w:b/>
          <w:bCs/>
        </w:rPr>
        <w:t xml:space="preserve">Attribute concepts in the source’s own terms.</w:t>
      </w:r>
      <w:r>
        <w:t xml:space="preserve"> </w:t>
      </w:r>
      <w:r>
        <w:t xml:space="preserve">Before writing</w:t>
      </w:r>
      <w:r>
        <w:t xml:space="preserve"> </w:t>
      </w:r>
      <w:r>
        <w:t xml:space="preserve">“X proposed ⟨your concept⟩,”</w:t>
      </w:r>
      <w:r>
        <w:t xml:space="preserve"> </w:t>
      </w:r>
      <w:r>
        <w:t xml:space="preserve">check that the source actually</w:t>
      </w:r>
      <w:r>
        <w:t xml:space="preserve"> </w:t>
      </w:r>
      <w:r>
        <w:rPr>
          <w:i/>
          <w:iCs/>
        </w:rPr>
        <w:t xml:space="preserve">develops</w:t>
      </w:r>
      <w:r>
        <w:t xml:space="preserve"> </w:t>
      </w:r>
      <w:r>
        <w:t xml:space="preserve">that concept — not a neighbouring idea you’re reframing in your own vocabulary. A quick honesty test: could you quote a sentence where the authors say it themselves? (Watch the dates, too: if your concept postdates the paper you’re attaching it to, something is off.)</w:t>
      </w:r>
      <w:r>
        <w:t xml:space="preserve"> </w:t>
      </w:r>
      <w:r>
        <w:rPr>
          <w:i/>
          <w:iCs/>
        </w:rPr>
        <w:t xml:space="preserve">(rule 1)</w:t>
      </w:r>
    </w:p>
    <w:p>
      <w:pPr>
        <w:pStyle w:val="Compact"/>
        <w:numPr>
          <w:ilvl w:val="0"/>
          <w:numId w:val="1001"/>
        </w:numPr>
      </w:pPr>
      <w:r>
        <w:rPr>
          <w:b/>
          <w:bCs/>
        </w:rPr>
        <w:t xml:space="preserve">Claims about what everyone does need evidence too.</w:t>
      </w:r>
      <w:r>
        <w:t xml:space="preserve"> </w:t>
      </w:r>
      <w:r>
        <w:t xml:space="preserve">“Standard practice”</w:t>
      </w:r>
      <w:r>
        <w:t xml:space="preserve"> </w:t>
      </w:r>
      <w:r>
        <w:t xml:space="preserve">needs a review or survey behind it, or rewording as your own argument.</w:t>
      </w:r>
      <w:r>
        <w:t xml:space="preserve"> </w:t>
      </w:r>
      <w:r>
        <w:rPr>
          <w:i/>
          <w:iCs/>
        </w:rPr>
        <w:t xml:space="preserve">(ground rule)</w:t>
      </w:r>
    </w:p>
    <w:p>
      <w:pPr>
        <w:pStyle w:val="Compact"/>
        <w:numPr>
          <w:ilvl w:val="0"/>
          <w:numId w:val="1001"/>
        </w:numPr>
      </w:pPr>
      <w:r>
        <w:rPr>
          <w:b/>
          <w:bCs/>
        </w:rPr>
        <w:t xml:space="preserve">Quote with a locator.</w:t>
      </w:r>
      <w:r>
        <w:t xml:space="preserve"> </w:t>
      </w:r>
      <w:r>
        <w:t xml:space="preserve">Every direct quotation carries a page or section number, checked against the source — not from memory.</w:t>
      </w:r>
      <w:r>
        <w:t xml:space="preserve"> </w:t>
      </w:r>
      <w:r>
        <w:rPr>
          <w:i/>
          <w:iCs/>
        </w:rPr>
        <w:t xml:space="preserve">(rule 9)</w:t>
      </w:r>
    </w:p>
    <w:p>
      <w:pPr>
        <w:pStyle w:val="Compact"/>
        <w:numPr>
          <w:ilvl w:val="0"/>
          <w:numId w:val="1001"/>
        </w:numPr>
      </w:pPr>
      <w:r>
        <w:rPr>
          <w:b/>
          <w:bCs/>
        </w:rPr>
        <w:t xml:space="preserve">Never let anyone — or any AI — supply a reference you haven’t read.</w:t>
      </w:r>
      <w:r>
        <w:t xml:space="preserve"> </w:t>
      </w:r>
      <w:r>
        <w:t xml:space="preserve">An AI may</w:t>
      </w:r>
      <w:r>
        <w:t xml:space="preserve"> </w:t>
      </w:r>
      <w:r>
        <w:rPr>
          <w:i/>
          <w:iCs/>
        </w:rPr>
        <w:t xml:space="preserve">format and check</w:t>
      </w:r>
      <w:r>
        <w:t xml:space="preserve"> </w:t>
      </w:r>
      <w:r>
        <w:t xml:space="preserve">citations; it may never</w:t>
      </w:r>
      <w:r>
        <w:t xml:space="preserve"> </w:t>
      </w:r>
      <w:r>
        <w:rPr>
          <w:i/>
          <w:iCs/>
        </w:rPr>
        <w:t xml:space="preserve">supply</w:t>
      </w:r>
      <w:r>
        <w:t xml:space="preserve"> </w:t>
      </w:r>
      <w:r>
        <w:t xml:space="preserve">one. A plausible-looking reference you can’t trace is worse than</w:t>
      </w:r>
      <w:r>
        <w:t xml:space="preserve"> </w:t>
      </w:r>
      <w:r>
        <w:t xml:space="preserve">“[source needed]”</w:t>
      </w:r>
      <w:r>
        <w:t xml:space="preserve">.</w:t>
      </w:r>
      <w:r>
        <w:t xml:space="preserve"> </w:t>
      </w:r>
      <w:r>
        <w:rPr>
          <w:i/>
          <w:iCs/>
        </w:rPr>
        <w:t xml:space="preserve">(rules 1, 5, 15)</w:t>
      </w:r>
    </w:p>
    <w:bookmarkEnd w:id="10"/>
    <w:bookmarkStart w:id="11" w:name="X28b93882025eaf982edc4289369631c81ffe066"/>
    <w:p>
      <w:pPr>
        <w:pStyle w:val="Heading2"/>
      </w:pPr>
      <w:r>
        <w:t xml:space="preserve">The pre-submission checks (once per manuscript, before you submit)</w:t>
      </w:r>
    </w:p>
    <w:p>
      <w:pPr>
        <w:pStyle w:val="FirstParagraph"/>
      </w:pPr>
      <w:r>
        <w:rPr>
          <w:i/>
          <w:iCs/>
        </w:rPr>
        <w:t xml:space="preserve">By hand, these take a few focused hours for a typical reference list; the companion AI file at the end reduces the mechanical ones to minutes.</w:t>
      </w:r>
    </w:p>
    <w:p>
      <w:pPr>
        <w:pStyle w:val="Compact"/>
        <w:numPr>
          <w:ilvl w:val="0"/>
          <w:numId w:val="1002"/>
        </w:numPr>
      </w:pPr>
      <w:r>
        <w:rPr>
          <w:b/>
          <w:bCs/>
        </w:rPr>
        <w:t xml:space="preserve">Every DOI resolves — and resolves to</w:t>
      </w:r>
      <w:r>
        <w:rPr>
          <w:b/>
          <w:bCs/>
        </w:rPr>
        <w:t xml:space="preserve"> </w:t>
      </w:r>
      <w:r>
        <w:rPr>
          <w:b/>
          <w:bCs/>
          <w:i/>
          <w:iCs/>
        </w:rPr>
        <w:t xml:space="preserve">your</w:t>
      </w:r>
      <w:r>
        <w:rPr>
          <w:b/>
          <w:bCs/>
        </w:rPr>
        <w:t xml:space="preserve"> </w:t>
      </w:r>
      <w:r>
        <w:rPr>
          <w:b/>
          <w:bCs/>
        </w:rPr>
        <w:t xml:space="preserve">reference.</w:t>
      </w:r>
      <w:r>
        <w:t xml:space="preserve"> </w:t>
      </w:r>
      <w:r>
        <w:t xml:space="preserve">Paste each DOI after</w:t>
      </w:r>
      <w:r>
        <w:t xml:space="preserve"> </w:t>
      </w:r>
      <w:r>
        <w:rPr>
          <w:rStyle w:val="VerbatimChar"/>
        </w:rPr>
        <w:t xml:space="preserve">https://doi.org/</w:t>
      </w:r>
      <w:r>
        <w:t xml:space="preserve"> </w:t>
      </w:r>
      <w:r>
        <w:t xml:space="preserve">and confirm the landing page matches your entry’s title, authors, and year. A DOI that resolves to a</w:t>
      </w:r>
      <w:r>
        <w:t xml:space="preserve"> </w:t>
      </w:r>
      <w:r>
        <w:rPr>
          <w:i/>
          <w:iCs/>
        </w:rPr>
        <w:t xml:space="preserve">different</w:t>
      </w:r>
      <w:r>
        <w:t xml:space="preserve"> </w:t>
      </w:r>
      <w:r>
        <w:t xml:space="preserve">work is a real and common error.</w:t>
      </w:r>
      <w:r>
        <w:t xml:space="preserve"> </w:t>
      </w:r>
      <w:r>
        <w:rPr>
          <w:i/>
          <w:iCs/>
        </w:rPr>
        <w:t xml:space="preserve">(rules 2, 3)</w:t>
      </w:r>
    </w:p>
    <w:p>
      <w:pPr>
        <w:pStyle w:val="Compact"/>
        <w:numPr>
          <w:ilvl w:val="0"/>
          <w:numId w:val="1003"/>
        </w:numPr>
      </w:pPr>
      <w:r>
        <w:rPr>
          <w:b/>
          <w:bCs/>
        </w:rPr>
        <w:t xml:space="preserve">No cited paper has been retracted.</w:t>
      </w:r>
      <w:r>
        <w:t xml:space="preserve"> </w:t>
      </w:r>
      <w:r>
        <w:t xml:space="preserve">Search each key title with</w:t>
      </w:r>
      <w:r>
        <w:t xml:space="preserve"> </w:t>
      </w:r>
      <w:r>
        <w:t xml:space="preserve">“retraction”</w:t>
      </w:r>
      <w:r>
        <w:t xml:space="preserve"> </w:t>
      </w:r>
      <w:r>
        <w:t xml:space="preserve">(the Retraction Watch database is free). If a paper you rely on was retracted, remove it, replace it, or cite the retraction itself — knowingly citing retracted work as live findings is a serious fault.</w:t>
      </w:r>
      <w:r>
        <w:t xml:space="preserve"> </w:t>
      </w:r>
      <w:r>
        <w:rPr>
          <w:i/>
          <w:iCs/>
        </w:rPr>
        <w:t xml:space="preserve">(rule 14)</w:t>
      </w:r>
    </w:p>
    <w:p>
      <w:pPr>
        <w:pStyle w:val="Compact"/>
        <w:numPr>
          <w:ilvl w:val="0"/>
          <w:numId w:val="1004"/>
        </w:numPr>
      </w:pPr>
      <w:r>
        <w:rPr>
          <w:b/>
          <w:bCs/>
        </w:rPr>
        <w:t xml:space="preserve">Text and reference list match, both ways.</w:t>
      </w:r>
      <w:r>
        <w:t xml:space="preserve"> </w:t>
      </w:r>
      <w:r>
        <w:t xml:space="preserve">Every in-text citation appears in the list; everything in the list is cited somewhere.</w:t>
      </w:r>
      <w:r>
        <w:t xml:space="preserve"> </w:t>
      </w:r>
      <w:r>
        <w:rPr>
          <w:i/>
          <w:iCs/>
        </w:rPr>
        <w:t xml:space="preserve">(rule 11)</w:t>
      </w:r>
    </w:p>
    <w:p>
      <w:pPr>
        <w:pStyle w:val="Compact"/>
        <w:numPr>
          <w:ilvl w:val="0"/>
          <w:numId w:val="1005"/>
        </w:numPr>
      </w:pPr>
      <w:r>
        <w:rPr>
          <w:b/>
          <w:bCs/>
        </w:rPr>
        <w:t xml:space="preserve">No entry is missing its year</w:t>
      </w:r>
      <w:r>
        <w:t xml:space="preserve"> </w:t>
      </w:r>
      <w:r>
        <w:t xml:space="preserve">(it will print as</w:t>
      </w:r>
      <w:r>
        <w:t xml:space="preserve"> </w:t>
      </w:r>
      <w:r>
        <w:t xml:space="preserve">“n.d.”</w:t>
      </w:r>
      <w:r>
        <w:t xml:space="preserve">)</w:t>
      </w:r>
      <w:r>
        <w:t xml:space="preserve"> </w:t>
      </w:r>
      <w:r>
        <w:rPr>
          <w:b/>
          <w:bCs/>
        </w:rPr>
        <w:t xml:space="preserve">or its DOI</w:t>
      </w:r>
      <w:r>
        <w:t xml:space="preserve"> </w:t>
      </w:r>
      <w:r>
        <w:t xml:space="preserve">where one exists.</w:t>
      </w:r>
      <w:r>
        <w:t xml:space="preserve"> </w:t>
      </w:r>
      <w:r>
        <w:rPr>
          <w:i/>
          <w:iCs/>
        </w:rPr>
        <w:t xml:space="preserve">(rules 3, 4)</w:t>
      </w:r>
    </w:p>
    <w:p>
      <w:pPr>
        <w:pStyle w:val="Compact"/>
        <w:numPr>
          <w:ilvl w:val="0"/>
          <w:numId w:val="1006"/>
        </w:numPr>
      </w:pPr>
      <w:r>
        <w:rPr>
          <w:b/>
          <w:bCs/>
        </w:rPr>
        <w:t xml:space="preserve">Preprints are labelled as preprints</w:t>
      </w:r>
      <w:r>
        <w:t xml:space="preserve"> </w:t>
      </w:r>
      <w:r>
        <w:t xml:space="preserve">— and checked for a published version to cite instead.</w:t>
      </w:r>
      <w:r>
        <w:t xml:space="preserve"> </w:t>
      </w:r>
      <w:r>
        <w:rPr>
          <w:i/>
          <w:iCs/>
        </w:rPr>
        <w:t xml:space="preserve">(rules 4, 14)</w:t>
      </w:r>
    </w:p>
    <w:p>
      <w:pPr>
        <w:pStyle w:val="Compact"/>
        <w:numPr>
          <w:ilvl w:val="0"/>
          <w:numId w:val="1007"/>
        </w:numPr>
      </w:pPr>
      <w:r>
        <w:rPr>
          <w:b/>
          <w:bCs/>
        </w:rPr>
        <w:t xml:space="preserve">Secondary citations are declared</w:t>
      </w:r>
      <w:r>
        <w:t xml:space="preserve"> </w:t>
      </w:r>
      <w:r>
        <w:t xml:space="preserve">(</w:t>
      </w:r>
      <w:r>
        <w:t xml:space="preserve">“as cited in”</w:t>
      </w:r>
      <w:r>
        <w:t xml:space="preserve">), not silently converted into first-hand ones.</w:t>
      </w:r>
      <w:r>
        <w:t xml:space="preserve"> </w:t>
      </w:r>
      <w:r>
        <w:rPr>
          <w:i/>
          <w:iCs/>
        </w:rPr>
        <w:t xml:space="preserve">(rules 5, 6)</w:t>
      </w:r>
    </w:p>
    <w:p>
      <w:pPr>
        <w:pStyle w:val="Compact"/>
        <w:numPr>
          <w:ilvl w:val="0"/>
          <w:numId w:val="1008"/>
        </w:numPr>
      </w:pPr>
      <w:r>
        <w:rPr>
          <w:b/>
          <w:bCs/>
        </w:rPr>
        <w:t xml:space="preserve">Your strongest claims stand on sources that really say it.</w:t>
      </w:r>
      <w:r>
        <w:t xml:space="preserve"> </w:t>
      </w:r>
      <w:r>
        <w:t xml:space="preserve">For your 3–5 most load-bearing citations, re-open the source and re-read the passage. Does it support</w:t>
      </w:r>
      <w:r>
        <w:t xml:space="preserve"> </w:t>
      </w:r>
      <w:r>
        <w:rPr>
          <w:i/>
          <w:iCs/>
        </w:rPr>
        <w:t xml:space="preserve">your specific sentence</w:t>
      </w:r>
      <w:r>
        <w:t xml:space="preserve"> </w:t>
      </w:r>
      <w:r>
        <w:t xml:space="preserve">— in the authors’ own terms? And is the evidence strong enough to carry it alone? Give the studies that disagree with you the same careful reading. Then let the companion AI file check the</w:t>
      </w:r>
      <w:r>
        <w:t xml:space="preserve"> </w:t>
      </w:r>
      <w:r>
        <w:rPr>
          <w:i/>
          <w:iCs/>
        </w:rPr>
        <w:t xml:space="preserve">rest</w:t>
      </w:r>
      <w:r>
        <w:t xml:space="preserve"> </w:t>
      </w:r>
      <w:r>
        <w:t xml:space="preserve">against their abstracts — mis-attached claims hide in the routine supporting citations, not only the load-bearing ones.</w:t>
      </w:r>
      <w:r>
        <w:t xml:space="preserve"> </w:t>
      </w:r>
      <w:r>
        <w:rPr>
          <w:i/>
          <w:iCs/>
        </w:rPr>
        <w:t xml:space="preserve">(rules 1, 7)</w:t>
      </w:r>
    </w:p>
    <w:p>
      <w:pPr>
        <w:pStyle w:val="Compact"/>
        <w:numPr>
          <w:ilvl w:val="0"/>
          <w:numId w:val="1009"/>
        </w:numPr>
      </w:pPr>
      <w:r>
        <w:rPr>
          <w:b/>
          <w:bCs/>
        </w:rPr>
        <w:t xml:space="preserve">The venue’s AI-use policy is checked and your declaration written</w:t>
      </w:r>
      <w:r>
        <w:t xml:space="preserve">, if you used AI anywhere in the work. A complete statement names the tool and model version, what it was used for (which stage of the work), and how you verified its output — the elements methodologists now ask for (Jay et al., 2026). For a published example in applied linguistics, see the</w:t>
      </w:r>
      <w:r>
        <w:t xml:space="preserve"> </w:t>
      </w:r>
      <w:r>
        <w:rPr>
          <w:i/>
          <w:iCs/>
        </w:rPr>
        <w:t xml:space="preserve">Generative AI statement</w:t>
      </w:r>
      <w:r>
        <w:t xml:space="preserve"> </w:t>
      </w:r>
      <w:r>
        <w:t xml:space="preserve">in Crosthwaite &amp; Özer (2026, https://doi.org/10.1016/j.rmal.2026.100356): tools, versions, and the exact uses, in two sentences.</w:t>
      </w:r>
      <w:r>
        <w:t xml:space="preserve"> </w:t>
      </w:r>
      <w:r>
        <w:rPr>
          <w:i/>
          <w:iCs/>
        </w:rPr>
        <w:t xml:space="preserve">(rule 15)</w:t>
      </w:r>
    </w:p>
    <w:bookmarkEnd w:id="11"/>
    <w:bookmarkStart w:id="14" w:name="letting-an-ai-do-the-mechanical-parts"/>
    <w:p>
      <w:pPr>
        <w:pStyle w:val="Heading2"/>
      </w:pPr>
      <w:r>
        <w:t xml:space="preserve">Letting an AI do the mechanical parts</w:t>
      </w:r>
    </w:p>
    <w:p>
      <w:pPr>
        <w:pStyle w:val="FirstParagraph"/>
      </w:pPr>
      <w:r>
        <w:t xml:space="preserve">The mechanical boxes above are checkable in minutes by an AI assistant — the judgement boxes remain yours: paste the companion file</w:t>
      </w:r>
      <w:r>
        <w:t xml:space="preserve"> </w:t>
      </w:r>
      <w:hyperlink r:id="rId12">
        <w:r>
          <w:rPr>
            <w:rStyle w:val="VerbatimChar"/>
          </w:rPr>
          <w:t xml:space="preserve">citation-integrity-portable.md</w:t>
        </w:r>
      </w:hyperlink>
      <w:r>
        <w:t xml:space="preserve"> </w:t>
      </w:r>
      <w:r>
        <w:t xml:space="preserve">into your AI chat with your reference list and say</w:t>
      </w:r>
      <w:r>
        <w:t xml:space="preserve"> </w:t>
      </w:r>
      <w:r>
        <w:rPr>
          <w:i/>
          <w:iCs/>
        </w:rPr>
        <w:t xml:space="preserve">“check my citations.”</w:t>
      </w:r>
      <w:r>
        <w:t xml:space="preserve"> </w:t>
      </w:r>
      <w:r>
        <w:t xml:space="preserve">You’ll get an action-first report — problems named, fixes attached, decisions left to you. The judgement boxes — what to cite, what a source really says — remain yours: that is not a limitation of the tools; it is what authorship means.</w:t>
      </w:r>
    </w:p>
    <w:p>
      <w:r>
        <w:pict>
          <v:rect style="width:0;height:1.5pt" o:hralign="center" o:hrstd="t" o:hr="t"/>
        </w:pict>
      </w:r>
    </w:p>
    <w:p>
      <w:pPr>
        <w:pStyle w:val="FirstParagraph"/>
      </w:pPr>
      <w:r>
        <w:t xml:space="preserve">Reference: Jay, M., Abi-Jaoude, J., Straus, S. E., Eskander, A., Lipscombe, L., Dharma, C., &amp; Yu, C. (2026). Moving towards acceleration with accountability: A conceptual framework for AI-assisted systematic reviews.</w:t>
      </w:r>
      <w:r>
        <w:t xml:space="preserve"> </w:t>
      </w:r>
      <w:r>
        <w:rPr>
          <w:i/>
          <w:iCs/>
        </w:rPr>
        <w:t xml:space="preserve">Global Epidemiology, 12</w:t>
      </w:r>
      <w:r>
        <w:t xml:space="preserve">, 100282. https://doi.org/10.1016/j.gloepi.2026.100282</w:t>
      </w:r>
    </w:p>
    <w:p>
      <w:pPr>
        <w:pStyle w:val="BodyText"/>
      </w:pPr>
      <w:r>
        <w:rPr>
          <w:i/>
          <w:iCs/>
        </w:rPr>
        <w:t xml:space="preserve">From</w:t>
      </w:r>
      <w:r>
        <w:rPr>
          <w:i/>
          <w:iCs/>
        </w:rPr>
        <w:t xml:space="preserve"> </w:t>
      </w:r>
      <w:hyperlink r:id="rId13">
        <w:r>
          <w:rPr>
            <w:rStyle w:val="Hyperlink"/>
            <w:i/>
            <w:iCs/>
          </w:rPr>
          <w:t xml:space="preserve">CLARK — the Claude Language Assessment Research Kit</w:t>
        </w:r>
      </w:hyperlink>
      <w:r>
        <w:rPr>
          <w:i/>
          <w:iCs/>
        </w:rPr>
        <w:t xml:space="preserve"> </w:t>
      </w:r>
      <w:r>
        <w:rPr>
          <w:i/>
          <w:iCs/>
        </w:rPr>
        <w:t xml:space="preserve">(free, open-source, MIT · DOI 10.5281/zenodo.21411273). Supervisors: adapt freely with attribution.</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citation-integrity-portable.md" TargetMode="External" /><Relationship Type="http://schemas.openxmlformats.org/officeDocument/2006/relationships/hyperlink" Id="rId13" Target="https://github.com/Shalice-in-AIland/claude-language-assessment-research-kit" TargetMode="External" /><Relationship Type="http://schemas.openxmlformats.org/officeDocument/2006/relationships/hyperlink" Id="rId9" Target="https://github.com/Shalice-in-AIland/claude-language-assessment-research-kit/blob/main/docs/04-citation-integrity.md" TargetMode="External" /></Relationships>
</file>

<file path=word/_rels/footnotes.xml.rels><?xml version="1.0" encoding="UTF-8"?><Relationships xmlns="http://schemas.openxmlformats.org/package/2006/relationships"><Relationship Type="http://schemas.openxmlformats.org/officeDocument/2006/relationships/hyperlink" Id="rId12" Target="citation-integrity-portable.md" TargetMode="External" /><Relationship Type="http://schemas.openxmlformats.org/officeDocument/2006/relationships/hyperlink" Id="rId13" Target="https://github.com/Shalice-in-AIland/claude-language-assessment-research-kit" TargetMode="External" /><Relationship Type="http://schemas.openxmlformats.org/officeDocument/2006/relationships/hyperlink" Id="rId9" Target="https://github.com/Shalice-in-AIland/claude-language-assessment-research-kit/blob/main/docs/04-citation-integrit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2026-10-22T16:19:23Z</dcterms:created>
  <dcterms:modified xsi:type="dcterms:W3CDTF">2026-10-22T16:19:23Z</dcterms:modified>
</cp:coreProperties>
</file>

<file path=docProps/custom.xml><?xml version="1.0" encoding="utf-8"?>
<Properties xmlns="http://schemas.openxmlformats.org/officeDocument/2006/custom-properties" xmlns:vt="http://schemas.openxmlformats.org/officeDocument/2006/docPropsVTypes"/>
</file>