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>THz ալիքների առանձնահատկությունները (խորացված ուսումնասիացում)</w:t>
      </w:r>
    </w:p>
    <w:p>
      <w:pPr>
        <w:pStyle w:val="Heading2"/>
        <w:spacing w:before="200" w:after="283"/>
        <w:rPr/>
      </w:pPr>
      <w:r>
        <w:rPr/>
        <w:t>1. Տիրույթը, հիմնական բնական բանաձևերը և ֆոտոնի էներգիան</w:t>
      </w:r>
    </w:p>
    <w:p>
      <w:pPr>
        <w:pStyle w:val="TextBody"/>
        <w:rPr/>
      </w:pPr>
      <w:r>
        <w:rPr/>
        <w:t xml:space="preserve">THz (տերահերցային) ալիքները ուներ հաճախականությունների տիրույթ՝ մոտ </w:t>
      </w:r>
      <w:r>
        <w:rPr>
          <w:rStyle w:val="StrongEmphasis"/>
        </w:rPr>
        <w:t>0.1–10 THz</w:t>
      </w:r>
      <w:r>
        <w:rPr/>
        <w:t xml:space="preserve"> (10¹¹–10¹³ Hz)՝ ալիքի երկարություններ՝ </w:t>
      </w:r>
      <w:r>
        <w:rPr>
          <w:rStyle w:val="StrongEmphasis"/>
        </w:rPr>
        <w:t>≈30 μm – 3 mm</w:t>
      </w:r>
      <w:r>
        <w:rPr/>
        <w:t>։ Ֆոտոնի էներգիան և ալիքի-տերինյան հարաբերությունները տրվում են՝</w:t>
      </w:r>
    </w:p>
    <w:p>
      <w:pPr>
        <w:pStyle w:val="TextBody"/>
        <w:rPr/>
      </w:pPr>
      <w:r>
        <w:rPr/>
        <w:t xml:space="preserve">E=hf,λ=fc​, </w:t>
      </w:r>
    </w:p>
    <w:p>
      <w:pPr>
        <w:pStyle w:val="TextBody"/>
        <w:rPr/>
      </w:pPr>
      <w:r>
        <w:rPr/>
        <w:t xml:space="preserve">որտեղ h — Փլանկի ստանդարտը, f — հաճախականությունը, c — լույսի արագությունը։ Այս արժեքները ցույց են տալիս, որ THz-ի ֆոտոնների էներգիան </w:t>
      </w:r>
      <w:r>
        <w:rPr>
          <w:rStyle w:val="StrongEmphasis"/>
        </w:rPr>
        <w:t>չի լինի իոնիզացնող</w:t>
      </w:r>
      <w:r>
        <w:rPr/>
        <w:t xml:space="preserve"> (ոչ վտանգավոր կենսաբանորեն նման X-ճառագայթին), ուստի THz-ը համարվում է հիմնականում անվտանգ փոքր հզորությունների դեպքում։ </w:t>
      </w:r>
      <w:hyperlink r:id="rId2" w:tgtFrame="_blank">
        <w:r>
          <w:rPr>
            <w:rStyle w:val="InternetLink"/>
          </w:rPr>
          <w:t>pmc.ncbi.nlm.nih.gov+1</w:t>
        </w:r>
      </w:hyperlink>
    </w:p>
    <w:p>
      <w:pPr>
        <w:pStyle w:val="Heading2"/>
        <w:spacing w:before="200" w:after="283"/>
        <w:rPr/>
      </w:pPr>
      <w:r>
        <w:rPr/>
        <w:t>2. Գեներացիա և ընդունում (sources &amp; detectors)</w:t>
      </w:r>
    </w:p>
    <w:p>
      <w:pPr>
        <w:pStyle w:val="TextBody"/>
        <w:rPr/>
      </w:pPr>
      <w:r>
        <w:rPr/>
        <w:t>THz-ը գտնվում է «էլեկտրոնիկայի» և «օպտիկայի» օկուպացիայի միջակայքում, այդ պատճառով դրա արդյունավետ ստեղծումն ու հայտնաբերումը պահանջել են երկու մոտեցումների խաչ:</w:t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Գեներացիա</w:t>
      </w:r>
      <w:r>
        <w:rPr/>
        <w:t xml:space="preserve"> — հիմնական մեթոդներ՝ photoconductive antennas (femtosecond լազերների հետ pump-probe TDS սուցիկներում), optical rectification, difference-frequency generation, և էլեկտրոնային լուծումներ՝ backward-wave oscillators (BWOs), multiplier chains և </w:t>
      </w:r>
      <w:r>
        <w:rPr>
          <w:rStyle w:val="StrongEmphasis"/>
        </w:rPr>
        <w:t>quantum cascade lasers (QCLs)</w:t>
      </w:r>
      <w:r>
        <w:rPr/>
        <w:t xml:space="preserve"> (continuous-wave աղբյուրներ THz-ի համար)։ </w:t>
      </w:r>
      <w:hyperlink r:id="rId3" w:tgtFrame="_blank">
        <w:r>
          <w:rPr>
            <w:rStyle w:val="InternetLink"/>
          </w:rPr>
          <w:t>spiedigitallibrary.org+1</w:t>
        </w:r>
      </w:hyperlink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Ընդունիչներ</w:t>
      </w:r>
      <w:r>
        <w:rPr/>
        <w:t xml:space="preserve"> — </w:t>
      </w:r>
      <w:r>
        <w:rPr>
          <w:rStyle w:val="SourceText"/>
        </w:rPr>
        <w:t>electro-optic sampling</w:t>
      </w:r>
      <w:r>
        <w:rPr/>
        <w:t xml:space="preserve">, photoconductive detection, Schottky-diode mixers, bolometers և առաջացող սենսորային մատրիցաներ (microbolometer arrays կամ շուկայի նոր անքուլթիվ տեխնիկա)։ Վերջին տարիներին ակտիվ են նաև 2D նյութերի վրա հիմնված և սենսորներ ընդլայնող տեխնոլոգիաները։ </w:t>
      </w:r>
      <w:hyperlink r:id="rId4" w:tgtFrame="_blank">
        <w:r>
          <w:rPr>
            <w:rStyle w:val="InternetLink"/>
          </w:rPr>
          <w:t>mdpi.com+1</w:t>
        </w:r>
      </w:hyperlink>
    </w:p>
    <w:p>
      <w:pPr>
        <w:pStyle w:val="TextBody"/>
        <w:rPr/>
      </w:pPr>
      <w:r>
        <w:rPr/>
        <w:t xml:space="preserve">Այս տեխնիկային վերաբերող մանրամասներ ազդում են համակարգի ամբողջական արագության, ճշգրտության և զգայունության վրա՝ ուստի կայանների ընտրությունը կախված է նպատակային կիրառությունից (spectroscopy vs imaging vs communications)։ </w:t>
      </w:r>
      <w:hyperlink r:id="rId5" w:tgtFrame="_blank">
        <w:r>
          <w:rPr>
            <w:rStyle w:val="InternetLink"/>
          </w:rPr>
          <w:t>pmc.ncbi.nlm.nih.gov</w:t>
        </w:r>
      </w:hyperlink>
    </w:p>
    <w:p>
      <w:pPr>
        <w:pStyle w:val="Heading2"/>
        <w:spacing w:before="200" w:after="283"/>
        <w:rPr/>
      </w:pPr>
      <w:r>
        <w:rPr/>
        <w:t>3. Փորձարարական մեթոդներ՝ TDS vs Frequency-domain</w:t>
      </w:r>
    </w:p>
    <w:p>
      <w:pPr>
        <w:pStyle w:val="TextBody"/>
        <w:numPr>
          <w:ilvl w:val="0"/>
          <w:numId w:val="8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Time-Domain Spectroscopy (TDS)</w:t>
      </w:r>
      <w:r>
        <w:rPr/>
        <w:t xml:space="preserve"> — յուղոտ pump-probe սցեն՝ կարճ լազերային փուլով ստեղծվող THz-ա և ժամանակային տիրույթում չափվող պիկերի ֆազա-և ամպլիտուդային ինֆորմացիայով։ TDS-ը հարմար է արագ, լայնաբանդվիդթային սպեկտրալ չափումների և imaging-ի համար։ </w:t>
      </w:r>
      <w:hyperlink r:id="rId6" w:tgtFrame="_blank">
        <w:r>
          <w:rPr>
            <w:rStyle w:val="InternetLink"/>
          </w:rPr>
          <w:t>pmc.ncbi.nlm.nih.gov</w:t>
        </w:r>
      </w:hyperlink>
    </w:p>
    <w:p>
      <w:pPr>
        <w:pStyle w:val="TextBody"/>
        <w:numPr>
          <w:ilvl w:val="0"/>
          <w:numId w:val="8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Frequency-domain (CW, heterodyne) մեթոդներ</w:t>
      </w:r>
      <w:r>
        <w:rPr/>
        <w:t xml:space="preserve"> — աղմկաչափական կամ լազերային փոքր-զգայուն տեսք՝ լավ հաճախականական լուծմամբ (narrow-line studies)։ Երկու մոտեցումների համակցումը հաճախ տալիս է լավագույն ելք՝ նկարչական և սպեկտրալ պարզ տարբերակների համար։ </w:t>
      </w:r>
      <w:hyperlink r:id="rId7" w:tgtFrame="_blank">
        <w:r>
          <w:rPr>
            <w:rStyle w:val="InternetLink"/>
          </w:rPr>
          <w:t>onlinelibrary.wiley.com</w:t>
        </w:r>
      </w:hyperlink>
    </w:p>
    <w:p>
      <w:pPr>
        <w:pStyle w:val="Heading2"/>
        <w:spacing w:before="200" w:after="283"/>
        <w:rPr/>
      </w:pPr>
      <w:r>
        <w:rPr/>
        <w:t>4. Նյութերի հետ փոխազդեցությունը և կլանումը (material interactions &amp; absorption)</w:t>
      </w:r>
    </w:p>
    <w:p>
      <w:pPr>
        <w:pStyle w:val="TextBody"/>
        <w:rPr/>
      </w:pPr>
      <w:r>
        <w:rPr/>
        <w:t xml:space="preserve">THz ալիքների հիմնական «խնայողությունն» այն է, որ շատ ոչ-փոլար, չլցված (non-polar) նյութեր (օր. չոր թուղթ, պլաստիկ, որոշ կոմպոզիտներ) թույլ են տալիս partial penetration, երբ նույն պահին ջրազգայուն նյութերը՝ և հատկապես գթաբուրգած մակերևույթները, են </w:t>
      </w:r>
      <w:r>
        <w:rPr>
          <w:rStyle w:val="StrongEmphasis"/>
        </w:rPr>
        <w:t>խիստ կլանումով</w:t>
      </w:r>
      <w:r>
        <w:rPr/>
        <w:t xml:space="preserve"> (strong absorption) սահմանափակում տարածումը։ Շարունակական ընդունված մոդելը տարածման համար՝ Beer–Lambert տեսքով է՝</w:t>
      </w:r>
    </w:p>
    <w:p>
      <w:pPr>
        <w:pStyle w:val="TextBody"/>
        <w:rPr/>
      </w:pPr>
      <w:r>
        <w:rPr/>
        <w:t xml:space="preserve">I(x)=I0​e−α(f)x, </w:t>
      </w:r>
    </w:p>
    <w:p>
      <w:pPr>
        <w:pStyle w:val="TextBody"/>
        <w:rPr/>
      </w:pPr>
      <w:r>
        <w:rPr/>
        <w:t xml:space="preserve">որտեղ α(f) — հաճախականության կախված կլանում/կորյակը (attenuation coefficient)։ Արդյունքում՝ բարձր խոնավության կամ ջրի պարունակության պայմաններում THz ճառագայթը արագ կորցնում է ուժը՝ սահմանափակելով դաշտային կիրառությունները՝ հատկապես բաց երկնքում։ Այս երևույթը մանրամասն ուսումնասիրվել է վերջին տարիների հետազոտություններում (վերջին աշխատանքները ցույց են տալիս տեսակի և խոնավության բարձր ազդակումների մեծ ազդեցությունը)։ </w:t>
      </w:r>
      <w:hyperlink r:id="rId8" w:tgtFrame="_blank">
        <w:r>
          <w:rPr>
            <w:rStyle w:val="InternetLink"/>
          </w:rPr>
          <w:t>PubMed+1</w:t>
        </w:r>
      </w:hyperlink>
    </w:p>
    <w:p>
      <w:pPr>
        <w:pStyle w:val="Heading2"/>
        <w:spacing w:before="200" w:after="283"/>
        <w:rPr/>
      </w:pPr>
      <w:r>
        <w:rPr/>
        <w:t>5. Տիրույթային և տարածական լուծվածություն (Resolution &amp; imaging metrics)</w:t>
      </w:r>
    </w:p>
    <w:p>
      <w:pPr>
        <w:pStyle w:val="TextBody"/>
        <w:numPr>
          <w:ilvl w:val="0"/>
          <w:numId w:val="9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Լայնաշերտ/ախնդիր լուծվածություն (axial/range resolution)</w:t>
      </w:r>
      <w:r>
        <w:rPr/>
        <w:t xml:space="preserve"> կախված է օգտագործվող bandwidth-ից B՝ հաճախակիորեն կիրառվող բանաձևով</w:t>
      </w:r>
    </w:p>
    <w:p>
      <w:pPr>
        <w:pStyle w:val="TextBody"/>
        <w:rPr/>
      </w:pPr>
      <w:r>
        <w:rPr/>
        <w:t xml:space="preserve">Δz≈2Bc​. </w:t>
      </w:r>
    </w:p>
    <w:p>
      <w:pPr>
        <w:pStyle w:val="TextBody"/>
        <w:rPr/>
      </w:pPr>
      <w:r>
        <w:rPr/>
        <w:t xml:space="preserve">Օրինակ՝ եթե համակարգն օգտագործում է  THzB=1 THz (թվաբանական), ապա տեսականականապես  Δz≈150 μm։ Սա է պատճառը, որ THz-ը ունի գերազանց axial resolution (բարձր ֆրեքվենցիայի բանդվիդթը տալիս է շատ լավ անավասնական շերտային սարքը)։ </w:t>
      </w:r>
      <w:hyperlink r:id="rId9" w:tgtFrame="_blank">
        <w:r>
          <w:rPr>
            <w:rStyle w:val="InternetLink"/>
          </w:rPr>
          <w:t>pmc.ncbi.nlm.nih.gov</w:t>
        </w:r>
      </w:hyperlink>
    </w:p>
    <w:p>
      <w:pPr>
        <w:pStyle w:val="TextBody"/>
        <w:numPr>
          <w:ilvl w:val="0"/>
          <w:numId w:val="10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Լարվածային/ lateral լուծվածություն</w:t>
      </w:r>
      <w:r>
        <w:rPr/>
        <w:t xml:space="preserve"> սահմանափակվում է դիֆրակցիոն պայմաններով; անվանական մոտեցում արտահայտվում է՝ Rayleigh-ու մոտավորությամ.</w:t>
      </w:r>
    </w:p>
    <w:p>
      <w:pPr>
        <w:pStyle w:val="TextBody"/>
        <w:rPr/>
      </w:pPr>
      <w:r>
        <w:rPr/>
        <w:t xml:space="preserve">θ≈1.22Dλ​, </w:t>
      </w:r>
    </w:p>
    <w:p>
      <w:pPr>
        <w:pStyle w:val="TextBody"/>
        <w:rPr/>
      </w:pPr>
      <w:r>
        <w:rPr/>
        <w:t xml:space="preserve">որտեղ D — անտենա/օբյեկտիվի տրամագիծը։ Հետևաբար փոքրալիք 30 μm–ից մի քանի մմ ալիքի երկարությամբ ակնհայտորեն պահանջում են մանրակրկիտ օպտիկա՝ բարձր լամինար լուծվածության համար։ Շարքային imaging-ում lateral resolution-ը հաճախ գտնվում է մի քանի հարյուր միկրոմետրից մինչև մի քանի մմ՝ համակարգի կոնֆիգուրացիայից կախված։ </w:t>
      </w:r>
      <w:hyperlink r:id="rId10" w:tgtFrame="_blank">
        <w:r>
          <w:rPr>
            <w:rStyle w:val="InternetLink"/>
          </w:rPr>
          <w:t>recendt.at</w:t>
        </w:r>
      </w:hyperlink>
    </w:p>
    <w:p>
      <w:pPr>
        <w:pStyle w:val="Heading2"/>
        <w:spacing w:before="200" w:after="283"/>
        <w:rPr/>
      </w:pPr>
      <w:r>
        <w:rPr/>
        <w:t>6. Սխալներ, ազդանշան/աղմուկ հարաբերություն (SNR) և համակարգչային մշակում</w:t>
      </w:r>
    </w:p>
    <w:p>
      <w:pPr>
        <w:pStyle w:val="TextBody"/>
        <w:rPr/>
      </w:pPr>
      <w:r>
        <w:rPr/>
        <w:t>THz համակարգերի SNR-ը կախված է աղբյուրի ուժից, դետեկտորի զգայունությունից, բանդվիդթից և միջամտող կլանումից։ Հատկանշական դեր ունեն՝</w:t>
      </w:r>
    </w:p>
    <w:p>
      <w:pPr>
        <w:pStyle w:val="TextBody"/>
        <w:numPr>
          <w:ilvl w:val="0"/>
          <w:numId w:val="1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նմուշի պատրաստման ստանդարտները (pellet vs powder vs thin film)՝ ազդելով ազդանշանի ամպլիտուդի վրա,</w:t>
      </w:r>
    </w:p>
    <w:p>
      <w:pPr>
        <w:pStyle w:val="TextBody"/>
        <w:numPr>
          <w:ilvl w:val="0"/>
          <w:numId w:val="1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հարկավոր է կիրառել spectral pre-processing (baseline correction, deconvolution), և մեթոդներ՝ overlapping peaks բաժանելու համար։ Մշակումում լայն կիրառություն ունի մեքենայական ուսուցումը (ML)՝ fingerprint extraction-ի համար՝ հատկապես երբ ռեակտիվ գծերը թեքվում են կամ գետնապտույտով են overlapped։ </w:t>
      </w:r>
      <w:hyperlink r:id="rId11" w:tgtFrame="_blank">
        <w:r>
          <w:rPr>
            <w:rStyle w:val="InternetLink"/>
          </w:rPr>
          <w:t>sciencedirect.com+1</w:t>
        </w:r>
      </w:hyperlink>
    </w:p>
    <w:p>
      <w:pPr>
        <w:pStyle w:val="Heading2"/>
        <w:spacing w:before="200" w:after="283"/>
        <w:rPr/>
      </w:pPr>
      <w:r>
        <w:rPr/>
        <w:t>7. Անհատական կիրառություններ (strengths in applications)</w:t>
      </w:r>
    </w:p>
    <w:p>
      <w:pPr>
        <w:pStyle w:val="TextBody"/>
        <w:numPr>
          <w:ilvl w:val="0"/>
          <w:numId w:val="12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Spectroscopy</w:t>
      </w:r>
      <w:r>
        <w:rPr/>
        <w:t xml:space="preserve"> — THz-ը լավ է սկանավորել ոչ-այրված մոլեկուլային ռոտացիոն/թրթռական համարները. explosives-ի և դեղանյութերի fingerprint-ների հայտնաբերման համար շատ կենսունակ է (տես ստորև «Explosives detection»): </w:t>
      </w:r>
      <w:hyperlink r:id="rId12" w:tgtFrame="_blank">
        <w:r>
          <w:rPr>
            <w:rStyle w:val="InternetLink"/>
          </w:rPr>
          <w:t>AIP Publishing+1</w:t>
        </w:r>
      </w:hyperlink>
    </w:p>
    <w:p>
      <w:pPr>
        <w:pStyle w:val="TextBody"/>
        <w:numPr>
          <w:ilvl w:val="0"/>
          <w:numId w:val="12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Biomedical imaging (superficial tissues, skin)</w:t>
      </w:r>
      <w:r>
        <w:rPr/>
        <w:t xml:space="preserve"> — ամենատարածված նպատակները՝ because THz չորատեսակում է ոչ-աղտոտիչ և շատ հարմար է մակերևույթային մաշկային imaging-ի համար (penetration limited to sub-mm scales due to water absorption)։ </w:t>
      </w:r>
      <w:hyperlink r:id="rId13" w:tgtFrame="_blank">
        <w:r>
          <w:rPr>
            <w:rStyle w:val="InternetLink"/>
          </w:rPr>
          <w:t>pmc.ncbi.nlm.nih.gov</w:t>
        </w:r>
      </w:hyperlink>
    </w:p>
    <w:p>
      <w:pPr>
        <w:pStyle w:val="TextBody"/>
        <w:numPr>
          <w:ilvl w:val="0"/>
          <w:numId w:val="12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Security screening</w:t>
      </w:r>
      <w:r>
        <w:rPr/>
        <w:t xml:space="preserve"> — concealed objects detection (non-metallic threats): THz կարող է տեսնել յոթ–ոչ մետաղական առարկաներ տեքստիլների տակ՝ տարբերության դեպքում, թեեւ պաշտոնապես դաշտային կիրառությունը պահանջում է համալիր ընմփնջում՝ նվազեցնելու մթնոլորտային ազդեցությունները։ </w:t>
      </w:r>
      <w:hyperlink r:id="rId14" w:tgtFrame="_blank">
        <w:r>
          <w:rPr>
            <w:rStyle w:val="InternetLink"/>
          </w:rPr>
          <w:t>pmc.ncbi.nlm.nih.gov+1</w:t>
        </w:r>
      </w:hyperlink>
    </w:p>
    <w:p>
      <w:pPr>
        <w:pStyle w:val="Heading2"/>
        <w:spacing w:before="200" w:after="283"/>
        <w:rPr/>
      </w:pPr>
      <w:r>
        <w:rPr/>
        <w:t>8. Սահմանափակումներ և գործող հակավերահաշվարկներ</w:t>
      </w:r>
    </w:p>
    <w:p>
      <w:pPr>
        <w:pStyle w:val="TextBody"/>
        <w:numPr>
          <w:ilvl w:val="0"/>
          <w:numId w:val="13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Atmospheric attenuation (water vapor lines)</w:t>
      </w:r>
      <w:r>
        <w:rPr/>
        <w:t xml:space="preserve"> — ջրի մասնիկների կողմից ուժեղ կլանումը ստեղծում է «փոքր պատուհաններ» (transmission windows) THz-ում, որոնք թույլ են տալիս աշխատանք միայն որոշակի ենթաֆրենքվենցիական փողոցներում և ցածր խոնավության պայմաններում։ Արդյունքում այն ավելի՝ indoor/controlled-environment տեխնիկա է՝ քան բացօթյա երկար տիրույթների համար։ </w:t>
      </w:r>
      <w:hyperlink r:id="rId15" w:tgtFrame="_blank">
        <w:r>
          <w:rPr>
            <w:rStyle w:val="InternetLink"/>
          </w:rPr>
          <w:t>PubMed+1</w:t>
        </w:r>
      </w:hyperlink>
    </w:p>
    <w:p>
      <w:pPr>
        <w:pStyle w:val="TextBody"/>
        <w:numPr>
          <w:ilvl w:val="0"/>
          <w:numId w:val="13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Մատակարարներ/դետեկտորների հնարավորություններ</w:t>
      </w:r>
      <w:r>
        <w:rPr/>
        <w:t xml:space="preserve"> — մինչդեռ 2020-ականներից սկսած նկատվում է արագ առաջընթաց (QCLs, room-temperature Schottky detectors, microbolometer arrays), սարքերի գինը և կոմպակտությունը դեռ սահմանափակում են զանգվածային կիրառություններն։ </w:t>
      </w:r>
      <w:hyperlink r:id="rId16" w:tgtFrame="_blank">
        <w:r>
          <w:rPr>
            <w:rStyle w:val="InternetLink"/>
          </w:rPr>
          <w:t>pmc.ncbi.nlm.nih.gov+1</w:t>
        </w:r>
      </w:hyperlink>
    </w:p>
    <w:p>
      <w:pPr>
        <w:pStyle w:val="TextBody"/>
        <w:numPr>
          <w:ilvl w:val="0"/>
          <w:numId w:val="13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Նմուշային ու նյութաբանական փոփոխականություն</w:t>
      </w:r>
      <w:r>
        <w:rPr/>
        <w:t xml:space="preserve"> — ազդեցություն ունեն մակերևութային ծածկույթները, խոնավությունը, գերտաքացումը և փունջի խտությունը (pellet vs powder) — այս ամենը կարող է տեղափոխել կամ թուլացնել fingerprint գծերը։ Հենց այս պատճառով կիրառվում են ռեժիմների համակցություններ (multimodal sensing)։ </w:t>
      </w:r>
      <w:hyperlink r:id="rId17" w:tgtFrame="_blank">
        <w:r>
          <w:rPr>
            <w:rStyle w:val="InternetLink"/>
          </w:rPr>
          <w:t>mdpi.com+1</w:t>
        </w:r>
      </w:hyperlink>
    </w:p>
    <w:p>
      <w:pPr>
        <w:pStyle w:val="Heading2"/>
        <w:spacing w:before="200" w:after="283"/>
        <w:rPr/>
      </w:pPr>
      <w:r>
        <w:rPr/>
        <w:t>9. Խորհուրդներ՝ կիրառական համակարգերի նախագծման համար (practical recommendations)</w:t>
      </w:r>
    </w:p>
    <w:p>
      <w:pPr>
        <w:pStyle w:val="TextBody"/>
        <w:numPr>
          <w:ilvl w:val="0"/>
          <w:numId w:val="1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Մարզային (field) դետեկտորների համար նախ տեսահսկել՝ արդյոք տեղանքի միջավայրը (RH — relative humidity) թույլ է տալիս օգտակար transmission windows։ Եթե ոչ՝ պլանավորել օբյեկտը փակ/շրջանափակ environment-ում կամ purge chambers։ </w:t>
      </w:r>
      <w:hyperlink r:id="rId18" w:tgtFrame="_blank">
        <w:r>
          <w:rPr>
            <w:rStyle w:val="InternetLink"/>
          </w:rPr>
          <w:t>PubMed</w:t>
        </w:r>
      </w:hyperlink>
    </w:p>
    <w:p>
      <w:pPr>
        <w:pStyle w:val="TextBody"/>
        <w:numPr>
          <w:ilvl w:val="0"/>
          <w:numId w:val="1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Ընտրել ճիշտ տեխնոլոգիան՝ spectroscopy vs imaging․ TDS էն առավել հարմար է լայն-բանդվիդթ fingerprint-ների համար, CW/heterodyne՝ նեղ գծերի համար։ </w:t>
      </w:r>
      <w:hyperlink r:id="rId19" w:tgtFrame="_blank">
        <w:r>
          <w:rPr>
            <w:rStyle w:val="InternetLink"/>
          </w:rPr>
          <w:t>pmc.ncbi.nlm.nih.gov+1</w:t>
        </w:r>
      </w:hyperlink>
    </w:p>
    <w:p>
      <w:pPr>
        <w:pStyle w:val="TextBody"/>
        <w:numPr>
          <w:ilvl w:val="0"/>
          <w:numId w:val="1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Preprocessing + ML՝ կիրառել ավտոմատ ճանաչման ալգորիթմներ overlapping peaks համար ու substrate artifacts ոչնչացնելու համար։ </w:t>
      </w:r>
      <w:hyperlink r:id="rId20" w:tgtFrame="_blank">
        <w:r>
          <w:rPr>
            <w:rStyle w:val="InternetLink"/>
          </w:rPr>
          <w:t>sciencedirect.com</w:t>
        </w:r>
      </w:hyperlink>
    </w:p>
    <w:p>
      <w:pPr>
        <w:pStyle w:val="Heading2"/>
        <w:spacing w:before="200" w:after="283"/>
        <w:rPr/>
      </w:pPr>
      <w:r>
        <w:rPr/>
        <w:t>10. Կարճ ամփոփում</w:t>
      </w:r>
    </w:p>
    <w:p>
      <w:pPr>
        <w:pStyle w:val="TextBody"/>
        <w:rPr/>
      </w:pPr>
      <w:r>
        <w:rPr/>
        <w:t>THz ալիքները տալիս են եզակի հնարավորություններ՝ ոչ-ինվազիվ, բարձր-բանդվիդթային սպեկտրալ fingerprinting և մակերևութային imaging համար։ Սակայն իրական դաշտային և լայնամասշտաբ կիրառությունները սահմանափակվում են մթնոլորտային ներծծմամբ, սարքավորման բարդությամբ և նմուշային փոփոխականությամբ։ Դաշտի հաջողությունը կախված է ճիշտ սարք ընտրելուց, չափման ռեժիմի ընտրությունից և տվյալների խելացի մշակմանից (օր. ML)։</w:t>
      </w:r>
    </w:p>
    <w:p>
      <w:pPr>
        <w:pStyle w:val="Normal"/>
        <w:spacing w:before="480" w:after="0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StrongEmphasis">
    <w:name w:val="Strong Emphasis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InternetLink">
    <w:name w:val="Hyperlink"/>
    <w:rPr>
      <w:color w:val="000080"/>
      <w:u w:val="single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Bullet4">
    <w:name w:val="List Bullet 4"/>
    <w:basedOn w:val="Normal"/>
    <w:uiPriority w:val="99"/>
    <w:unhideWhenUsed/>
    <w:qFormat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pmc.ncbi.nlm.nih.gov/articles/PMC7881098/?utm_source=chatgpt.com" TargetMode="External"/><Relationship Id="rId3" Type="http://schemas.openxmlformats.org/officeDocument/2006/relationships/hyperlink" Target="https://www.spiedigitallibrary.org/journals/optical-engineering/volume-56/issue-1/010901/Review-of-terahertz-photoconductive-antenna-technology/10.1117/1.OE.56.1.010901.pdf?utm_source=chatgpt.com" TargetMode="External"/><Relationship Id="rId4" Type="http://schemas.openxmlformats.org/officeDocument/2006/relationships/hyperlink" Target="https://www.mdpi.com/1424-8220/24/21/6784?utm_source=chatgpt.com" TargetMode="External"/><Relationship Id="rId5" Type="http://schemas.openxmlformats.org/officeDocument/2006/relationships/hyperlink" Target="https://pmc.ncbi.nlm.nih.gov/articles/PMC8306943/?utm_source=chatgpt.com" TargetMode="External"/><Relationship Id="rId6" Type="http://schemas.openxmlformats.org/officeDocument/2006/relationships/hyperlink" Target="https://pmc.ncbi.nlm.nih.gov/articles/PMC10504281/?utm_source=chatgpt.com" TargetMode="External"/><Relationship Id="rId7" Type="http://schemas.openxmlformats.org/officeDocument/2006/relationships/hyperlink" Target="https://onlinelibrary.wiley.com/doi/10.1155/2013/419507?utm_source=chatgpt.com" TargetMode="External"/><Relationship Id="rId8" Type="http://schemas.openxmlformats.org/officeDocument/2006/relationships/hyperlink" Target="https://pubmed.ncbi.nlm.nih.gov/38012178/?utm_source=chatgpt.com" TargetMode="External"/><Relationship Id="rId9" Type="http://schemas.openxmlformats.org/officeDocument/2006/relationships/hyperlink" Target="https://pmc.ncbi.nlm.nih.gov/articles/PMC10504281/?utm_source=chatgpt.com" TargetMode="External"/><Relationship Id="rId10" Type="http://schemas.openxmlformats.org/officeDocument/2006/relationships/hyperlink" Target="https://www.recendt.at/files/recendt/Files/TechOffers/RECENDT_TO_08-THz_imaging-web.pdf?utm_source=chatgpt.com" TargetMode="External"/><Relationship Id="rId11" Type="http://schemas.openxmlformats.org/officeDocument/2006/relationships/hyperlink" Target="https://www.sciencedirect.com/science/article/pii/S1369702108700166?utm_source=chatgpt.com" TargetMode="External"/><Relationship Id="rId12" Type="http://schemas.openxmlformats.org/officeDocument/2006/relationships/hyperlink" Target="https://pubs.aip.org/aip/jap/article/115/2/023105/366816/Reflection-terahertz-time-domain-spectroscopy-of?utm_source=chatgpt.com" TargetMode="External"/><Relationship Id="rId13" Type="http://schemas.openxmlformats.org/officeDocument/2006/relationships/hyperlink" Target="https://pmc.ncbi.nlm.nih.gov/articles/PMC7881098/?utm_source=chatgpt.com" TargetMode="External"/><Relationship Id="rId14" Type="http://schemas.openxmlformats.org/officeDocument/2006/relationships/hyperlink" Target="https://pmc.ncbi.nlm.nih.gov/articles/PMC10504281/?utm_source=chatgpt.com" TargetMode="External"/><Relationship Id="rId15" Type="http://schemas.openxmlformats.org/officeDocument/2006/relationships/hyperlink" Target="https://pubmed.ncbi.nlm.nih.gov/38012178/?utm_source=chatgpt.com" TargetMode="External"/><Relationship Id="rId16" Type="http://schemas.openxmlformats.org/officeDocument/2006/relationships/hyperlink" Target="https://pmc.ncbi.nlm.nih.gov/articles/PMC10098974/?utm_source=chatgpt.com" TargetMode="External"/><Relationship Id="rId17" Type="http://schemas.openxmlformats.org/officeDocument/2006/relationships/hyperlink" Target="https://www.mdpi.com/1996-1944/11/8/1364?utm_source=chatgpt.com" TargetMode="External"/><Relationship Id="rId18" Type="http://schemas.openxmlformats.org/officeDocument/2006/relationships/hyperlink" Target="https://pubmed.ncbi.nlm.nih.gov/38012178/?utm_source=chatgpt.com" TargetMode="External"/><Relationship Id="rId19" Type="http://schemas.openxmlformats.org/officeDocument/2006/relationships/hyperlink" Target="https://pmc.ncbi.nlm.nih.gov/articles/PMC10504281/?utm_source=chatgpt.com" TargetMode="External"/><Relationship Id="rId20" Type="http://schemas.openxmlformats.org/officeDocument/2006/relationships/hyperlink" Target="https://www.sciencedirect.com/science/article/pii/S1369702108700166?utm_source=chatgpt.com" TargetMode="External"/><Relationship Id="rId21" Type="http://schemas.openxmlformats.org/officeDocument/2006/relationships/numbering" Target="numbering.xml"/><Relationship Id="rId22" Type="http://schemas.openxmlformats.org/officeDocument/2006/relationships/fontTable" Target="fontTable.xml"/><Relationship Id="rId23" Type="http://schemas.openxmlformats.org/officeDocument/2006/relationships/settings" Target="settings.xml"/><Relationship Id="rId24" Type="http://schemas.openxmlformats.org/officeDocument/2006/relationships/theme" Target="theme/theme1.xml"/><Relationship Id="rId2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Application>LibreOffice/7.3.7.2$Linux_X86_64 LibreOffice_project/30$Build-2</Application>
  <AppVersion>15.0000</AppVersion>
  <Pages>5</Pages>
  <Words>886</Words>
  <Characters>6739</Characters>
  <CharactersWithSpaces>7596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2025-10-28T15:27:56Z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