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jc w:val="center"/>
        <w:rPr>
          <w:rFonts w:ascii="Inter" w:cs="Inter" w:eastAsia="Inter" w:hAnsi="Inter"/>
        </w:rPr>
      </w:pPr>
      <w:bookmarkStart w:colFirst="0" w:colLast="0" w:name="_zhmnrackrxg4" w:id="0"/>
      <w:bookmarkEnd w:id="0"/>
      <w:r w:rsidDel="00000000" w:rsidR="00000000" w:rsidRPr="00000000">
        <w:rPr>
          <w:rFonts w:ascii="Inter" w:cs="Inter" w:eastAsia="Inter" w:hAnsi="Inter"/>
          <w:rtl w:val="0"/>
        </w:rPr>
        <w:t xml:space="preserve">Write a Custom Post Authentication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spacing w:line="276" w:lineRule="auto"/>
        <w:rPr>
          <w:rFonts w:ascii="Inter" w:cs="Inter" w:eastAsia="Inter" w:hAnsi="Inter"/>
        </w:rPr>
      </w:pPr>
      <w:bookmarkStart w:colFirst="0" w:colLast="0" w:name="_f4ksiwh9w70u" w:id="1"/>
      <w:bookmarkEnd w:id="1"/>
      <w:r w:rsidDel="00000000" w:rsidR="00000000" w:rsidRPr="00000000">
        <w:rPr>
          <w:rFonts w:ascii="Inter" w:cs="Inter" w:eastAsia="Inter" w:hAnsi="Inter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WSO2 Identity Server authentication framework facilitates you with the pluggable architecture of multiple inbound/outbound protocols as well as local and federated authenticators including a large number of extension points. The Post Authentication Handler is one such extension point which allows you to do a task upon successful authentication. Authentication to the system is only successful once the execution of post-authentication handlers is completed.</w:t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 demonstrate this, we will implement a post authenticator which will request your consent for retrieving user information from WSO2 IS to the service provider, upon successfully passing the authentication steps. The behavior of this post-authentication handler is,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6"/>
        </w:numPr>
        <w:spacing w:line="36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consent page will be popped up upon successfully passing the authentication steps.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6"/>
        </w:numPr>
        <w:spacing w:line="36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If you click on approve, then you will be redirected to your application with a successful login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6"/>
        </w:numPr>
        <w:spacing w:line="36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If you deny the consent, authentication will be failed and you will be shown an error message on the screen.</w:t>
        <w:br w:type="textWrapping"/>
      </w:r>
    </w:p>
    <w:p w:rsidR="00000000" w:rsidDel="00000000" w:rsidP="00000000" w:rsidRDefault="00000000" w:rsidRPr="00000000" w14:paraId="0000000A">
      <w:pPr>
        <w:spacing w:line="360" w:lineRule="auto"/>
        <w:rPr>
          <w:rFonts w:ascii="Inter" w:cs="Inter" w:eastAsia="Inter" w:hAnsi="Inter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line="360" w:lineRule="auto"/>
        <w:rPr>
          <w:rFonts w:ascii="Inter" w:cs="Inter" w:eastAsia="Inter" w:hAnsi="Inter"/>
          <w:b w:val="1"/>
          <w:bCs w:val="1"/>
          <w:sz w:val="28"/>
          <w:szCs w:val="28"/>
        </w:rPr>
      </w:pPr>
      <w:bookmarkStart w:colFirst="0" w:colLast="0" w:name="_wymmsijxhxhc" w:id="2"/>
      <w:bookmarkEnd w:id="2"/>
      <w:r w:rsidDel="00000000" w:rsidR="00000000" w:rsidRPr="00000000">
        <w:rPr>
          <w:rFonts w:ascii="Inter" w:cs="Inter" w:eastAsia="Inter" w:hAnsi="Inter"/>
          <w:rtl w:val="0"/>
        </w:rPr>
        <w:t xml:space="preserve">Write an event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Follow the steps given below to write the handler.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 write a new event handler, you must extend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d9d9d9" w:val="clear"/>
          <w:rtl w:val="0"/>
        </w:rPr>
        <w:t xml:space="preserve">org.wso2.carbon.identity.application.authentication.framework.handler.request.AbstractPostAuthnHandler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package org.wso2.carbon.identity.custom.post.authn.handler.disclaimer;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public class DisclaimerPostAuthenticationHandler extends AbstractPostAuthnHandler {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Override the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following methods accordingly: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private String CONSENT_POPPED_UP = "consentPoppedUp";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public PostAuthnHandlerFlowStatus handle(HttpServletRequest httpServletRequest,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                         HttpServletResponse httpServletResponse,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                         AuthenticationContext authenticationContext)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throws PostAuthenticationFailedException {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if (getAuthenticatedUser(authenticationContext) == null) {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return PostAuthnHandlerFlowStatus.SUCCESS_COMPLETED;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if (isConsentPoppedUp(authenticationContext)) {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if (httpServletRequest.getParameter("consent").equalsIgnoreCase("approve")) {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return PostAuthnHandlerFlowStatus.SUCCESS_COMPLETED;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throw new PostAuthenticationFailedException("Cannot access this application : Consent Denied",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    "Consent denied");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try {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httpServletResponse.sendRedirect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    (ConfigurationFacade.getInstance().getAuthenticationEndpointURL().replace("/login.do", ""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    ) + "/disclaimer" + ".jsp?sessionDataKey=" + authenticationContext.getContextIdentifier() +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            "&amp;application=" + authenticationContext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            .getSequenceConfig().getApplicationConfig().getApplicationName());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setConsentPoppedUpState(authenticationContext);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return PostAuthnHandlerFlowStatus.INCOMPLETE;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} catch (IOException e) {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throw new PostAuthenticationFailedException("Invalid Consent", "Error while redirecting", e);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public String getName() {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return "DisclaimerHandler";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private AuthenticatedUser getAuthenticatedUser(AuthenticationContext authenticationContext) {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AuthenticatedUser user = authenticationContext.getSequenceConfig().getAuthenticatedUser();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return user;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private void setConsentPoppedUpState(AuthenticationContext authenticationContext) {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authenticationContext.addParameter(CONSENT_POPPED_UP, true);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private boolean isConsentPoppedUp(AuthenticationContext authenticationContext) {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return authenticationContext.getParameter(CONSENT_POPPED_UP) != null;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36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b7b7b7" w:val="clear"/>
          <w:rtl w:val="0"/>
        </w:rPr>
        <w:t xml:space="preserve">handleEvent()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method to do the actual operation. </w:t>
        <w:br w:type="textWrapping"/>
        <w:br w:type="textWrapping"/>
        <w:t xml:space="preserve">The parameters related to the user operations can be taken from the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b7b7b7" w:val="clear"/>
          <w:rtl w:val="0"/>
        </w:rPr>
        <w:t xml:space="preserve">event.getEventProperties()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method.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public void handleEvent(Event event) {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if (IdentityEventConstants.Event.PRE_ADD_USER.equals(event.getEventName())) {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String tenantDomain = (String) event.getEventProperties().get(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IdentityEventConstants.EventProperty.TENANT_DOMAIN);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String username = (String) event.getEventProperties().get(IdentityEventConstants.EventProperty.USER_NAME);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log.info("Handling the event before adding user: " + username + " in tenant domain: " + tenantDomain);</w:t>
            </w:r>
          </w:p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// You can write any code here to handle the event.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if (IdentityEventConstants.Event.POST_ADD_USER.equals(event.getEventName())) {</w:t>
            </w:r>
          </w:p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String tenantDomain = (String) event.getEventProperties()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.get(IdentityEventConstants.EventProperty.TENANT_DOMAIN);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String userName = (String) event.getEventProperties().get(IdentityEventConstants.EventProperty.USER_NAME);</w:t>
            </w:r>
          </w:p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log.info("Handling the event after adding user: " + userName + " in tenant domain: " + tenantDomain);</w:t>
            </w:r>
          </w:p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// You can write any code here to handle the event.</w:t>
            </w:r>
          </w:p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36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Register the event handler.</w:t>
        <w:br w:type="textWrapping"/>
        <w:br w:type="textWrapping"/>
        <w:t xml:space="preserve">The event handler needs to register in the service component as follows: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package org.wso2.carbon.identity.custom.post.authn.handler.disclaimer.internal;</w:t>
            </w:r>
          </w:p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public class DisclaimerPostAuthnHandlerServiceComponent {</w:t>
            </w:r>
          </w:p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360" w:lineRule="auto"/>
              <w:ind w:firstLine="72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private static final Log log = LogFactory.getLog(DisclaimerPostAuthnHandlerServiceComponent.class);</w:t>
            </w:r>
          </w:p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@Activate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protected void activate(ComponentContext context) {</w:t>
            </w:r>
          </w:p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DisclaimerPostAuthenticationHandler disclaimerPostAuthenticationHandler =</w:t>
            </w:r>
          </w:p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new DisclaimerPostAuthenticationHandler();</w:t>
            </w:r>
          </w:p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context.getBundleContext().registerService(PostAuthenticationHandler.class.getName(),</w:t>
            </w:r>
          </w:p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disclaimerPostAuthenticationHandler, null);</w:t>
            </w:r>
          </w:p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} catch (Throwable e) {</w:t>
            </w:r>
          </w:p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log.error("Error while activating disclaimer post authentication handler.", e);</w:t>
            </w:r>
          </w:p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spacing w:line="360" w:lineRule="auto"/>
        <w:rPr/>
      </w:pPr>
      <w:bookmarkStart w:colFirst="0" w:colLast="0" w:name="_mw2en536iut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line="360" w:lineRule="auto"/>
        <w:rPr/>
      </w:pPr>
      <w:bookmarkStart w:colFirst="0" w:colLast="0" w:name="_wlfe1rucxk8n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line="360" w:lineRule="auto"/>
        <w:rPr>
          <w:rFonts w:ascii="Inter" w:cs="Inter" w:eastAsia="Inter" w:hAnsi="Inter"/>
        </w:rPr>
      </w:pPr>
      <w:bookmarkStart w:colFirst="0" w:colLast="0" w:name="_m50wbdf7zxm" w:id="5"/>
      <w:bookmarkEnd w:id="5"/>
      <w:r w:rsidDel="00000000" w:rsidR="00000000" w:rsidRPr="00000000">
        <w:rPr>
          <w:rFonts w:ascii="Inter" w:cs="Inter" w:eastAsia="Inter" w:hAnsi="Inter"/>
          <w:rtl w:val="0"/>
        </w:rPr>
        <w:t xml:space="preserve">Prerequisite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line="36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WSO2 Identity Server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setup.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4"/>
        </w:numPr>
        <w:spacing w:before="0" w:beforeAutospacing="0" w:line="36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Please verify that all the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system requirements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are satisfied.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line="36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An Application registered in Identity Server.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line="36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An application deployed in Tomcat server.</w:t>
      </w:r>
    </w:p>
    <w:p w:rsidR="00000000" w:rsidDel="00000000" w:rsidP="00000000" w:rsidRDefault="00000000" w:rsidRPr="00000000" w14:paraId="0000007D">
      <w:pPr>
        <w:spacing w:line="360" w:lineRule="auto"/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Ex: 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pickup-dispatch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line="360" w:lineRule="auto"/>
        <w:rPr>
          <w:rFonts w:ascii="Inter" w:cs="Inter" w:eastAsia="Inter" w:hAnsi="Inter"/>
        </w:rPr>
      </w:pPr>
      <w:bookmarkStart w:colFirst="0" w:colLast="0" w:name="_lomhdf98z14o" w:id="6"/>
      <w:bookmarkEnd w:id="6"/>
      <w:r w:rsidDel="00000000" w:rsidR="00000000" w:rsidRPr="00000000">
        <w:rPr>
          <w:rFonts w:ascii="Inter" w:cs="Inter" w:eastAsia="Inter" w:hAnsi="Inter"/>
          <w:rtl w:val="0"/>
        </w:rPr>
        <w:t xml:space="preserve">Set up</w:t>
      </w:r>
    </w:p>
    <w:p w:rsidR="00000000" w:rsidDel="00000000" w:rsidP="00000000" w:rsidRDefault="00000000" w:rsidRPr="00000000" w14:paraId="0000007F">
      <w:pPr>
        <w:spacing w:after="240" w:line="36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existing implementation of a post authentication handler can be found from </w:t>
      </w:r>
      <w:hyperlink r:id="rId9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Clone </w:t>
      </w:r>
      <w:hyperlink r:id="rId10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wso2/samples-is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repository and navigate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etc/sample-post-authentication-handler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directory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cd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etc/sample-post-authentication-handler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ageBreakBefore w:val="0"/>
        <w:spacing w:line="36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Run the following command: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mvn clean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ageBreakBefore w:val="0"/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Copy the generated jar file into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&lt;IS_HOME&gt;/repository/components/dropins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directory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Copy the </w:t>
      </w:r>
      <w:hyperlink r:id="rId11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disclaimer.jsp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file inside the resources folder of </w:t>
      </w:r>
      <w:hyperlink r:id="rId12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this project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&lt;IS_HOME&gt;/repository/deployment/server/webapps/authenticationendpoint/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directory.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 configure the event handler, add the event handler configuration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&lt;IS_HOME&gt;/repository/conf/deployment.toml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file.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events that need to subscribe to the handler can be listed in subscriptions.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tbl>
      <w:tblPr>
        <w:tblStyle w:val="Table7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[[event_listener]]</w:t>
            </w:r>
          </w:p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id = "custom_post_auth_listener"</w:t>
            </w:r>
          </w:p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type = "org.wso2.carbon.identity.core.handler.AbstractIdentityHandler"</w:t>
            </w:r>
          </w:p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name = "org.wso2.carbon.identity.post.authn.handler.disclaimer.DisclaimerPostAuthenticationHandler"</w:t>
            </w:r>
          </w:p>
          <w:p w:rsidR="00000000" w:rsidDel="00000000" w:rsidP="00000000" w:rsidRDefault="00000000" w:rsidRPr="00000000" w14:paraId="0000008D">
            <w:pPr>
              <w:spacing w:line="360" w:lineRule="auto"/>
              <w:ind w:left="0" w:firstLine="0"/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order = 899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line="36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Restart the Identity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swoqk9rl99se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rFonts w:ascii="Inter" w:cs="Inter" w:eastAsia="Inter" w:hAnsi="Inter"/>
        </w:rPr>
      </w:pPr>
      <w:bookmarkStart w:colFirst="0" w:colLast="0" w:name="_urt77jf4eqbh" w:id="8"/>
      <w:bookmarkEnd w:id="8"/>
      <w:r w:rsidDel="00000000" w:rsidR="00000000" w:rsidRPr="00000000">
        <w:rPr>
          <w:rFonts w:ascii="Inter" w:cs="Inter" w:eastAsia="Inter" w:hAnsi="Inter"/>
          <w:rtl w:val="0"/>
        </w:rPr>
        <w:t xml:space="preserve">Try it</w:t>
      </w:r>
    </w:p>
    <w:p w:rsidR="00000000" w:rsidDel="00000000" w:rsidP="00000000" w:rsidRDefault="00000000" w:rsidRPr="00000000" w14:paraId="00000092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Go to </w:t>
      </w:r>
      <w:hyperlink r:id="rId13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http://localhost.com:8080/pickup-dispatch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and add your user credentials and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Sign In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line="360" w:lineRule="auto"/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ab/>
      </w:r>
      <w:r w:rsidDel="00000000" w:rsidR="00000000" w:rsidRPr="00000000">
        <w:rPr>
          <w:rFonts w:ascii="Inter" w:cs="Inter" w:eastAsia="Inter" w:hAnsi="Inter"/>
          <w:sz w:val="24"/>
          <w:szCs w:val="24"/>
        </w:rPr>
        <w:drawing>
          <wp:inline distB="114300" distT="114300" distL="114300" distR="114300">
            <wp:extent cx="2009775" cy="26418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641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Upon successful authentication, you will be prompted to a consent page giving the below message.</w:t>
      </w: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02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spacing w:line="240" w:lineRule="auto"/>
      <w:ind w:right="-90"/>
      <w:jc w:val="both"/>
      <w:rPr/>
    </w:pPr>
    <w:r w:rsidDel="00000000" w:rsidR="00000000" w:rsidRPr="00000000">
      <w:rPr>
        <w:rFonts w:ascii="Trebuchet MS" w:cs="Trebuchet MS" w:eastAsia="Trebuchet MS" w:hAnsi="Trebuchet MS"/>
        <w:sz w:val="20"/>
        <w:szCs w:val="20"/>
        <w:rtl w:val="0"/>
      </w:rPr>
      <w:t xml:space="preserve">                                                                                                                                     </w:t>
    </w:r>
    <w:r w:rsidDel="00000000" w:rsidR="00000000" w:rsidRPr="00000000">
      <w:rPr>
        <w:rFonts w:ascii="Trebuchet MS" w:cs="Trebuchet MS" w:eastAsia="Trebuchet MS" w:hAnsi="Trebuchet MS"/>
        <w:color w:val="ff9900"/>
        <w:sz w:val="20"/>
        <w:szCs w:val="20"/>
      </w:rPr>
      <w:drawing>
        <wp:inline distB="114300" distT="114300" distL="114300" distR="114300">
          <wp:extent cx="203666" cy="190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666" cy="190500"/>
                  </a:xfrm>
                  <a:prstGeom prst="rect"/>
                  <a:ln/>
                </pic:spPr>
              </pic:pic>
            </a:graphicData>
          </a:graphic>
        </wp:inline>
      </w:drawing>
    </w:r>
    <w:hyperlink r:id="rId2">
      <w:r w:rsidDel="00000000" w:rsidR="00000000" w:rsidRPr="00000000">
        <w:rPr>
          <w:color w:val="1155cc"/>
          <w:sz w:val="20"/>
          <w:szCs w:val="20"/>
          <w:rtl w:val="0"/>
        </w:rPr>
        <w:t xml:space="preserve">CC BY 4.0</w:t>
      </w:r>
    </w:hyperlink>
    <w:r w:rsidDel="00000000" w:rsidR="00000000" w:rsidRPr="00000000">
      <w:rPr>
        <w:rFonts w:ascii="Trebuchet MS" w:cs="Trebuchet MS" w:eastAsia="Trebuchet MS" w:hAnsi="Trebuchet MS"/>
        <w:color w:val="ff9900"/>
        <w:sz w:val="20"/>
        <w:szCs w:val="20"/>
        <w:rtl w:val="0"/>
      </w:rPr>
      <w:t xml:space="preserve"> </w:t>
    </w:r>
    <w:r w:rsidDel="00000000" w:rsidR="00000000" w:rsidRPr="00000000">
      <w:rPr>
        <w:rFonts w:ascii="Trebuchet MS" w:cs="Trebuchet MS" w:eastAsia="Trebuchet MS" w:hAnsi="Trebuchet MS"/>
        <w:sz w:val="20"/>
        <w:szCs w:val="20"/>
        <w:rtl w:val="0"/>
      </w:rPr>
      <w:tab/>
      <w:t xml:space="preserve">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tabs>
        <w:tab w:val="left" w:leader="none" w:pos="1116"/>
      </w:tabs>
      <w:spacing w:before="72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4838700</wp:posOffset>
          </wp:positionH>
          <wp:positionV relativeFrom="paragraph">
            <wp:posOffset>-342899</wp:posOffset>
          </wp:positionV>
          <wp:extent cx="1306781" cy="661988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57000"/>
                  </a:blip>
                  <a:srcRect b="0" l="0" r="-21591" t="-54286"/>
                  <a:stretch>
                    <a:fillRect/>
                  </a:stretch>
                </pic:blipFill>
                <pic:spPr>
                  <a:xfrm>
                    <a:off x="0" y="0"/>
                    <a:ext cx="1306781" cy="6619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wso2/samples-is/blob/b8bc953a7cf48f5ed2e7f6df4e6c9e5acd276e3d/etc/sample-post-authentication-handler/src/main/resources/disclaimer.jsp" TargetMode="External"/><Relationship Id="rId10" Type="http://schemas.openxmlformats.org/officeDocument/2006/relationships/hyperlink" Target="https://github.com/wso2/samples-is" TargetMode="External"/><Relationship Id="rId13" Type="http://schemas.openxmlformats.org/officeDocument/2006/relationships/hyperlink" Target="http://localhost.com:8080/pickup-dispatch" TargetMode="External"/><Relationship Id="rId12" Type="http://schemas.openxmlformats.org/officeDocument/2006/relationships/hyperlink" Target="https://github.com/wso2/samples-is/tree/master/etc/sample-post-authentication-handl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wso2/samples-is/tree/master/etc/sample-post-authentication-handler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so2.com/identity-server/" TargetMode="External"/><Relationship Id="rId7" Type="http://schemas.openxmlformats.org/officeDocument/2006/relationships/hyperlink" Target="https://is.docs.wso2.com/en/latest/deploy/environment-compatibility/" TargetMode="External"/><Relationship Id="rId8" Type="http://schemas.openxmlformats.org/officeDocument/2006/relationships/hyperlink" Target="https://github.com/wso2/samples-is/releases/download/v4.6.3/pickup-dispatch.w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creativecommons.org/licenses/by/4.0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