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1721" w14:textId="13560039" w:rsidR="00541263" w:rsidRPr="00DB2BCE" w:rsidRDefault="00B24C0D" w:rsidP="00B24C0D">
      <w:pPr>
        <w:jc w:val="right"/>
        <w:rPr>
          <w:rFonts w:ascii="Times New Roman" w:hAnsi="Times New Roman" w:cs="Times New Roman"/>
          <w:b/>
          <w:bCs/>
          <w:sz w:val="28"/>
          <w:szCs w:val="28"/>
          <w:lang w:val="en-US"/>
        </w:rPr>
      </w:pPr>
      <w:r w:rsidRPr="00DB2BCE">
        <w:rPr>
          <w:rFonts w:ascii="Times New Roman" w:hAnsi="Times New Roman" w:cs="Times New Roman"/>
          <w:b/>
          <w:bCs/>
          <w:sz w:val="28"/>
          <w:szCs w:val="28"/>
          <w:lang w:val="en-US"/>
        </w:rPr>
        <w:t>DATE: 04/10/22</w:t>
      </w:r>
    </w:p>
    <w:p w14:paraId="655349DF" w14:textId="1CF9ED4D" w:rsidR="00B24C0D" w:rsidRPr="00DB2BCE" w:rsidRDefault="00B24C0D" w:rsidP="00B24C0D">
      <w:pPr>
        <w:jc w:val="center"/>
        <w:rPr>
          <w:rFonts w:ascii="Times New Roman" w:hAnsi="Times New Roman" w:cs="Times New Roman"/>
          <w:b/>
          <w:bCs/>
          <w:sz w:val="28"/>
          <w:szCs w:val="28"/>
          <w:lang w:val="en-US"/>
        </w:rPr>
      </w:pPr>
      <w:r w:rsidRPr="00DB2BCE">
        <w:rPr>
          <w:rFonts w:ascii="Times New Roman" w:hAnsi="Times New Roman" w:cs="Times New Roman"/>
          <w:b/>
          <w:bCs/>
          <w:sz w:val="28"/>
          <w:szCs w:val="28"/>
          <w:lang w:val="en-US"/>
        </w:rPr>
        <w:t xml:space="preserve">WEBLEM 7: </w:t>
      </w:r>
      <w:proofErr w:type="spellStart"/>
      <w:r w:rsidRPr="00DB2BCE">
        <w:rPr>
          <w:rFonts w:ascii="Times New Roman" w:hAnsi="Times New Roman" w:cs="Times New Roman"/>
          <w:b/>
          <w:bCs/>
          <w:sz w:val="28"/>
          <w:szCs w:val="28"/>
          <w:lang w:val="en-US"/>
        </w:rPr>
        <w:t>CombiGlide</w:t>
      </w:r>
      <w:proofErr w:type="spellEnd"/>
    </w:p>
    <w:p w14:paraId="3B11759F" w14:textId="731A94C3" w:rsidR="00B24C0D" w:rsidRDefault="00B24C0D" w:rsidP="00B24C0D">
      <w:pPr>
        <w:jc w:val="both"/>
        <w:rPr>
          <w:rFonts w:ascii="Times New Roman" w:hAnsi="Times New Roman" w:cs="Times New Roman"/>
          <w:sz w:val="24"/>
          <w:szCs w:val="24"/>
          <w:lang w:val="en-US"/>
        </w:rPr>
      </w:pPr>
      <w:r w:rsidRPr="00DB2BCE">
        <w:rPr>
          <w:rFonts w:ascii="Times New Roman" w:hAnsi="Times New Roman" w:cs="Times New Roman"/>
          <w:b/>
          <w:bCs/>
          <w:sz w:val="24"/>
          <w:szCs w:val="24"/>
          <w:lang w:val="en-US"/>
        </w:rPr>
        <w:t>Aim</w:t>
      </w:r>
      <w:r w:rsidR="00382A02" w:rsidRPr="00DB2BCE">
        <w:rPr>
          <w:rFonts w:ascii="Times New Roman" w:hAnsi="Times New Roman" w:cs="Times New Roman"/>
          <w:b/>
          <w:bCs/>
          <w:sz w:val="24"/>
          <w:szCs w:val="24"/>
          <w:lang w:val="en-US"/>
        </w:rPr>
        <w:t>:</w:t>
      </w:r>
      <w:r w:rsidR="00382A02" w:rsidRPr="00DB2BCE">
        <w:rPr>
          <w:rFonts w:ascii="Times New Roman" w:hAnsi="Times New Roman" w:cs="Times New Roman"/>
          <w:sz w:val="24"/>
          <w:szCs w:val="24"/>
          <w:lang w:val="en-US"/>
        </w:rPr>
        <w:t xml:space="preserve"> </w:t>
      </w:r>
      <w:proofErr w:type="spellStart"/>
      <w:r w:rsidR="00382A02" w:rsidRPr="00DB2BCE">
        <w:rPr>
          <w:rFonts w:ascii="Times New Roman" w:hAnsi="Times New Roman" w:cs="Times New Roman"/>
          <w:sz w:val="24"/>
          <w:szCs w:val="24"/>
          <w:lang w:val="en-US"/>
        </w:rPr>
        <w:t>CombiGlide</w:t>
      </w:r>
      <w:proofErr w:type="spellEnd"/>
      <w:r w:rsidR="00382A02" w:rsidRPr="00DB2BCE">
        <w:rPr>
          <w:rFonts w:ascii="Times New Roman" w:hAnsi="Times New Roman" w:cs="Times New Roman"/>
          <w:sz w:val="24"/>
          <w:szCs w:val="24"/>
          <w:lang w:val="en-US"/>
        </w:rPr>
        <w:t xml:space="preserve">: A building molecular database along with special emphasis on </w:t>
      </w:r>
      <w:proofErr w:type="spellStart"/>
      <w:r w:rsidR="00382A02" w:rsidRPr="00DB2BCE">
        <w:rPr>
          <w:rFonts w:ascii="Times New Roman" w:hAnsi="Times New Roman" w:cs="Times New Roman"/>
          <w:sz w:val="24"/>
          <w:szCs w:val="24"/>
          <w:lang w:val="en-US"/>
        </w:rPr>
        <w:t>retriebal</w:t>
      </w:r>
      <w:proofErr w:type="spellEnd"/>
      <w:r w:rsidR="00382A02" w:rsidRPr="00DB2BCE">
        <w:rPr>
          <w:rFonts w:ascii="Times New Roman" w:hAnsi="Times New Roman" w:cs="Times New Roman"/>
          <w:sz w:val="24"/>
          <w:szCs w:val="24"/>
          <w:lang w:val="en-US"/>
        </w:rPr>
        <w:t xml:space="preserve"> using structure input.</w:t>
      </w:r>
    </w:p>
    <w:p w14:paraId="5DC9F89F" w14:textId="23867FAF" w:rsidR="00DC1F00" w:rsidRDefault="00DC1F00" w:rsidP="00B24C0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79DD2194" w14:textId="70E36306" w:rsidR="00DC1F00" w:rsidRDefault="00C8199F" w:rsidP="00C8199F">
      <w:pPr>
        <w:jc w:val="both"/>
        <w:rPr>
          <w:rFonts w:ascii="Times New Roman" w:hAnsi="Times New Roman" w:cs="Times New Roman"/>
          <w:sz w:val="24"/>
          <w:szCs w:val="24"/>
          <w:lang w:val="en-US"/>
        </w:rPr>
      </w:pPr>
      <w:r w:rsidRPr="00C8199F">
        <w:rPr>
          <w:rFonts w:ascii="Times New Roman" w:hAnsi="Times New Roman" w:cs="Times New Roman"/>
          <w:sz w:val="24"/>
          <w:szCs w:val="24"/>
          <w:lang w:val="en-US"/>
        </w:rPr>
        <w:t>The number of drug-discovery initiatives that have a high-resolution crystal structure of the receptor available in recent years has increased, and this trend is projected to continue, as a result of the human genome project and high-throughput crystallography studies.</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A common computational strategy in this case is to dock molecules into the receptor from a physical or virtual database and then apply an appropriate scoring function to calculate the binding affinity.</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 xml:space="preserve">Numerous dockings </w:t>
      </w:r>
      <w:proofErr w:type="spellStart"/>
      <w:r w:rsidRPr="00C8199F">
        <w:rPr>
          <w:rFonts w:ascii="Times New Roman" w:hAnsi="Times New Roman" w:cs="Times New Roman"/>
          <w:sz w:val="24"/>
          <w:szCs w:val="24"/>
          <w:lang w:val="en-US"/>
        </w:rPr>
        <w:t>programmes</w:t>
      </w:r>
      <w:proofErr w:type="spellEnd"/>
      <w:r w:rsidRPr="00C8199F">
        <w:rPr>
          <w:rFonts w:ascii="Times New Roman" w:hAnsi="Times New Roman" w:cs="Times New Roman"/>
          <w:sz w:val="24"/>
          <w:szCs w:val="24"/>
          <w:lang w:val="en-US"/>
        </w:rPr>
        <w:t xml:space="preserve"> are widely used by the pharmaceutical and biotechnology sectors; the most common ones seem to be GOLD, </w:t>
      </w:r>
      <w:proofErr w:type="spellStart"/>
      <w:r w:rsidRPr="00C8199F">
        <w:rPr>
          <w:rFonts w:ascii="Times New Roman" w:hAnsi="Times New Roman" w:cs="Times New Roman"/>
          <w:sz w:val="24"/>
          <w:szCs w:val="24"/>
          <w:lang w:val="en-US"/>
        </w:rPr>
        <w:t>FlexX</w:t>
      </w:r>
      <w:proofErr w:type="spellEnd"/>
      <w:r w:rsidRPr="00C8199F">
        <w:rPr>
          <w:rFonts w:ascii="Times New Roman" w:hAnsi="Times New Roman" w:cs="Times New Roman"/>
          <w:sz w:val="24"/>
          <w:szCs w:val="24"/>
          <w:lang w:val="en-US"/>
        </w:rPr>
        <w:t>, and DOCK.</w:t>
      </w:r>
      <w:r>
        <w:rPr>
          <w:rFonts w:ascii="Times New Roman" w:hAnsi="Times New Roman" w:cs="Times New Roman"/>
          <w:sz w:val="24"/>
          <w:szCs w:val="24"/>
          <w:lang w:val="en-US"/>
        </w:rPr>
        <w:t xml:space="preserve"> </w:t>
      </w:r>
      <w:r w:rsidRPr="00C8199F">
        <w:rPr>
          <w:rFonts w:ascii="Times New Roman" w:hAnsi="Times New Roman" w:cs="Times New Roman"/>
          <w:sz w:val="24"/>
          <w:szCs w:val="24"/>
          <w:lang w:val="en-US"/>
        </w:rPr>
        <w:t xml:space="preserve">Over the past few years, these </w:t>
      </w:r>
      <w:proofErr w:type="spellStart"/>
      <w:r w:rsidRPr="00C8199F">
        <w:rPr>
          <w:rFonts w:ascii="Times New Roman" w:hAnsi="Times New Roman" w:cs="Times New Roman"/>
          <w:sz w:val="24"/>
          <w:szCs w:val="24"/>
          <w:lang w:val="en-US"/>
        </w:rPr>
        <w:t>programmes</w:t>
      </w:r>
      <w:proofErr w:type="spellEnd"/>
      <w:r w:rsidRPr="00C8199F">
        <w:rPr>
          <w:rFonts w:ascii="Times New Roman" w:hAnsi="Times New Roman" w:cs="Times New Roman"/>
          <w:sz w:val="24"/>
          <w:szCs w:val="24"/>
          <w:lang w:val="en-US"/>
        </w:rPr>
        <w:t xml:space="preserve"> have shown significant success with virtual screening applications.</w:t>
      </w:r>
    </w:p>
    <w:p w14:paraId="5E5AC4E1" w14:textId="5CB5C0DF" w:rsidR="00B41231" w:rsidRDefault="00B41231" w:rsidP="00B41231">
      <w:pPr>
        <w:jc w:val="both"/>
        <w:rPr>
          <w:rFonts w:ascii="Times New Roman" w:hAnsi="Times New Roman" w:cs="Times New Roman"/>
          <w:sz w:val="24"/>
          <w:szCs w:val="24"/>
          <w:lang w:val="en-US"/>
        </w:rPr>
      </w:pPr>
      <w:r w:rsidRPr="00B41231">
        <w:rPr>
          <w:rFonts w:ascii="Times New Roman" w:hAnsi="Times New Roman" w:cs="Times New Roman"/>
          <w:sz w:val="24"/>
          <w:szCs w:val="24"/>
          <w:lang w:val="en-US"/>
        </w:rPr>
        <w:t xml:space="preserve">Grid-based ligand docking with energetics is the new docking technique used by the Glide software suite from </w:t>
      </w:r>
      <w:proofErr w:type="spellStart"/>
      <w:r w:rsidRPr="00B41231">
        <w:rPr>
          <w:rFonts w:ascii="Times New Roman" w:hAnsi="Times New Roman" w:cs="Times New Roman"/>
          <w:sz w:val="24"/>
          <w:szCs w:val="24"/>
          <w:lang w:val="en-US"/>
        </w:rPr>
        <w:t>FirstDiscovery</w:t>
      </w:r>
      <w:proofErr w:type="spellEnd"/>
      <w:r w:rsidRPr="00B4123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Glide was created to screen large libraries quickly enough while doing the most thorough possible search of the positional, orientational, and structural space.</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This was accomplished by using several hierarchical filters, as will be described in more detail below.</w:t>
      </w:r>
      <w:r>
        <w:rPr>
          <w:rFonts w:ascii="Times New Roman" w:hAnsi="Times New Roman" w:cs="Times New Roman"/>
          <w:sz w:val="24"/>
          <w:szCs w:val="24"/>
          <w:lang w:val="en-US"/>
        </w:rPr>
        <w:t xml:space="preserve"> </w:t>
      </w:r>
      <w:r w:rsidRPr="00B41231">
        <w:rPr>
          <w:rFonts w:ascii="Times New Roman" w:hAnsi="Times New Roman" w:cs="Times New Roman"/>
          <w:sz w:val="24"/>
          <w:szCs w:val="24"/>
          <w:lang w:val="en-US"/>
        </w:rPr>
        <w:t>The current performance characteristics of Glide are as follows.</w:t>
      </w:r>
    </w:p>
    <w:p w14:paraId="43B506F3" w14:textId="4F29F56B" w:rsidR="00701D90" w:rsidRPr="00701D90" w:rsidRDefault="00701D90" w:rsidP="00701D90">
      <w:pPr>
        <w:pStyle w:val="ListParagraph"/>
        <w:numPr>
          <w:ilvl w:val="0"/>
          <w:numId w:val="1"/>
        </w:numPr>
        <w:jc w:val="both"/>
        <w:rPr>
          <w:rFonts w:ascii="Times New Roman" w:hAnsi="Times New Roman" w:cs="Times New Roman"/>
          <w:sz w:val="24"/>
          <w:szCs w:val="24"/>
          <w:lang w:val="en-US"/>
        </w:rPr>
      </w:pPr>
      <w:r w:rsidRPr="00701D90">
        <w:rPr>
          <w:rFonts w:ascii="Times New Roman" w:hAnsi="Times New Roman" w:cs="Times New Roman"/>
          <w:sz w:val="24"/>
          <w:szCs w:val="24"/>
          <w:lang w:val="en-US"/>
        </w:rPr>
        <w:t xml:space="preserve">On an AMD </w:t>
      </w:r>
      <w:proofErr w:type="spellStart"/>
      <w:r w:rsidRPr="00701D90">
        <w:rPr>
          <w:rFonts w:ascii="Times New Roman" w:hAnsi="Times New Roman" w:cs="Times New Roman"/>
          <w:sz w:val="24"/>
          <w:szCs w:val="24"/>
          <w:lang w:val="en-US"/>
        </w:rPr>
        <w:t>Athelon</w:t>
      </w:r>
      <w:proofErr w:type="spellEnd"/>
      <w:r w:rsidRPr="00701D90">
        <w:rPr>
          <w:rFonts w:ascii="Times New Roman" w:hAnsi="Times New Roman" w:cs="Times New Roman"/>
          <w:sz w:val="24"/>
          <w:szCs w:val="24"/>
          <w:lang w:val="en-US"/>
        </w:rPr>
        <w:t xml:space="preserve"> MP 1800+ CPU running Linux, docking times for data sets with 0–10 rotatable bonds typically take less than one minute.</w:t>
      </w:r>
    </w:p>
    <w:p w14:paraId="47C0EBFC" w14:textId="57BA9D4E" w:rsidR="00701D90" w:rsidRDefault="007E4ECB" w:rsidP="007E4ECB">
      <w:pPr>
        <w:pStyle w:val="ListParagraph"/>
        <w:numPr>
          <w:ilvl w:val="0"/>
          <w:numId w:val="1"/>
        </w:numPr>
        <w:jc w:val="both"/>
        <w:rPr>
          <w:rFonts w:ascii="Times New Roman" w:hAnsi="Times New Roman" w:cs="Times New Roman"/>
          <w:sz w:val="24"/>
          <w:szCs w:val="24"/>
          <w:lang w:val="en-US"/>
        </w:rPr>
      </w:pPr>
      <w:r w:rsidRPr="007E4ECB">
        <w:rPr>
          <w:rFonts w:ascii="Times New Roman" w:hAnsi="Times New Roman" w:cs="Times New Roman"/>
          <w:sz w:val="24"/>
          <w:szCs w:val="24"/>
          <w:lang w:val="en-US"/>
        </w:rPr>
        <w:t>In comparison to what is published in the present literature for widely used docking algorithms, robustness in binding mode prediction is qualitatively greater.</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 xml:space="preserve">For instance, a comparison with the results obtained by the creators of GOLD shows that for the 72 noncovalently bound </w:t>
      </w:r>
      <w:proofErr w:type="spellStart"/>
      <w:r w:rsidRPr="007E4ECB">
        <w:rPr>
          <w:rFonts w:ascii="Times New Roman" w:hAnsi="Times New Roman" w:cs="Times New Roman"/>
          <w:sz w:val="24"/>
          <w:szCs w:val="24"/>
          <w:lang w:val="en-US"/>
        </w:rPr>
        <w:t>cocrystallized</w:t>
      </w:r>
      <w:proofErr w:type="spellEnd"/>
      <w:r w:rsidRPr="007E4ECB">
        <w:rPr>
          <w:rFonts w:ascii="Times New Roman" w:hAnsi="Times New Roman" w:cs="Times New Roman"/>
          <w:sz w:val="24"/>
          <w:szCs w:val="24"/>
          <w:lang w:val="en-US"/>
        </w:rPr>
        <w:t xml:space="preserve"> ligands of the GOLD test set15 that have 10 or fewer rotatable bonds, Glide's average </w:t>
      </w:r>
      <w:proofErr w:type="spellStart"/>
      <w:r w:rsidRPr="007E4ECB">
        <w:rPr>
          <w:rFonts w:ascii="Times New Roman" w:hAnsi="Times New Roman" w:cs="Times New Roman"/>
          <w:sz w:val="24"/>
          <w:szCs w:val="24"/>
          <w:lang w:val="en-US"/>
        </w:rPr>
        <w:t>rmsd</w:t>
      </w:r>
      <w:proofErr w:type="spellEnd"/>
      <w:r w:rsidRPr="007E4ECB">
        <w:rPr>
          <w:rFonts w:ascii="Times New Roman" w:hAnsi="Times New Roman" w:cs="Times New Roman"/>
          <w:sz w:val="24"/>
          <w:szCs w:val="24"/>
          <w:lang w:val="en-US"/>
        </w:rPr>
        <w:t xml:space="preserve"> is 1.46 A while GOLD's is 2.56.</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 xml:space="preserve">Even more </w:t>
      </w:r>
      <w:proofErr w:type="spellStart"/>
      <w:r w:rsidRPr="007E4ECB">
        <w:rPr>
          <w:rFonts w:ascii="Times New Roman" w:hAnsi="Times New Roman" w:cs="Times New Roman"/>
          <w:sz w:val="24"/>
          <w:szCs w:val="24"/>
          <w:lang w:val="en-US"/>
        </w:rPr>
        <w:t>favourably</w:t>
      </w:r>
      <w:proofErr w:type="spellEnd"/>
      <w:r w:rsidRPr="007E4ECB">
        <w:rPr>
          <w:rFonts w:ascii="Times New Roman" w:hAnsi="Times New Roman" w:cs="Times New Roman"/>
          <w:sz w:val="24"/>
          <w:szCs w:val="24"/>
          <w:lang w:val="en-US"/>
        </w:rPr>
        <w:t xml:space="preserve">, </w:t>
      </w:r>
      <w:proofErr w:type="spellStart"/>
      <w:r w:rsidRPr="007E4ECB">
        <w:rPr>
          <w:rFonts w:ascii="Times New Roman" w:hAnsi="Times New Roman" w:cs="Times New Roman"/>
          <w:sz w:val="24"/>
          <w:szCs w:val="24"/>
          <w:lang w:val="en-US"/>
        </w:rPr>
        <w:t>FlexX</w:t>
      </w:r>
      <w:proofErr w:type="spellEnd"/>
      <w:r w:rsidRPr="007E4ECB">
        <w:rPr>
          <w:rFonts w:ascii="Times New Roman" w:hAnsi="Times New Roman" w:cs="Times New Roman"/>
          <w:sz w:val="24"/>
          <w:szCs w:val="24"/>
          <w:lang w:val="en-US"/>
        </w:rPr>
        <w:t xml:space="preserve"> is compared.</w:t>
      </w:r>
      <w:r>
        <w:rPr>
          <w:rFonts w:ascii="Times New Roman" w:hAnsi="Times New Roman" w:cs="Times New Roman"/>
          <w:sz w:val="24"/>
          <w:szCs w:val="24"/>
          <w:lang w:val="en-US"/>
        </w:rPr>
        <w:t xml:space="preserve"> </w:t>
      </w:r>
      <w:r w:rsidRPr="007E4ECB">
        <w:rPr>
          <w:rFonts w:ascii="Times New Roman" w:hAnsi="Times New Roman" w:cs="Times New Roman"/>
          <w:sz w:val="24"/>
          <w:szCs w:val="24"/>
          <w:lang w:val="en-US"/>
        </w:rPr>
        <w:t>Similar conclusions can be drawn from comparisons for ligands with up to 20 rotatable bonds.</w:t>
      </w:r>
    </w:p>
    <w:p w14:paraId="7E11437D" w14:textId="4CD24FE6" w:rsidR="007C6EDC" w:rsidRPr="00B8007B" w:rsidRDefault="007C6EDC" w:rsidP="00B8007B">
      <w:pPr>
        <w:pStyle w:val="ListParagraph"/>
        <w:numPr>
          <w:ilvl w:val="0"/>
          <w:numId w:val="1"/>
        </w:numPr>
        <w:jc w:val="both"/>
        <w:rPr>
          <w:rFonts w:ascii="Times New Roman" w:hAnsi="Times New Roman" w:cs="Times New Roman"/>
          <w:sz w:val="24"/>
          <w:szCs w:val="24"/>
          <w:lang w:val="en-US"/>
        </w:rPr>
      </w:pPr>
      <w:r w:rsidRPr="007C6EDC">
        <w:rPr>
          <w:rFonts w:ascii="Times New Roman" w:hAnsi="Times New Roman" w:cs="Times New Roman"/>
          <w:sz w:val="24"/>
          <w:szCs w:val="24"/>
          <w:lang w:val="en-US"/>
        </w:rPr>
        <w:t xml:space="preserve">The predicted binding affinities for </w:t>
      </w:r>
      <w:proofErr w:type="spellStart"/>
      <w:r w:rsidRPr="007C6EDC">
        <w:rPr>
          <w:rFonts w:ascii="Times New Roman" w:hAnsi="Times New Roman" w:cs="Times New Roman"/>
          <w:sz w:val="24"/>
          <w:szCs w:val="24"/>
          <w:lang w:val="en-US"/>
        </w:rPr>
        <w:t>cocrystallized</w:t>
      </w:r>
      <w:proofErr w:type="spellEnd"/>
      <w:r w:rsidRPr="007C6EDC">
        <w:rPr>
          <w:rFonts w:ascii="Times New Roman" w:hAnsi="Times New Roman" w:cs="Times New Roman"/>
          <w:sz w:val="24"/>
          <w:szCs w:val="24"/>
          <w:lang w:val="en-US"/>
        </w:rPr>
        <w:t xml:space="preserve"> complexes are reasonable (2.3 kcal/mol </w:t>
      </w:r>
      <w:proofErr w:type="spellStart"/>
      <w:r w:rsidRPr="007C6EDC">
        <w:rPr>
          <w:rFonts w:ascii="Times New Roman" w:hAnsi="Times New Roman" w:cs="Times New Roman"/>
          <w:sz w:val="24"/>
          <w:szCs w:val="24"/>
          <w:lang w:val="en-US"/>
        </w:rPr>
        <w:t>rmsd</w:t>
      </w:r>
      <w:proofErr w:type="spellEnd"/>
      <w:r w:rsidRPr="007C6EDC">
        <w:rPr>
          <w:rFonts w:ascii="Times New Roman" w:hAnsi="Times New Roman" w:cs="Times New Roman"/>
          <w:sz w:val="24"/>
          <w:szCs w:val="24"/>
          <w:lang w:val="en-US"/>
        </w:rPr>
        <w:t>), although they could certainly be better.</w:t>
      </w:r>
    </w:p>
    <w:p w14:paraId="2D319846" w14:textId="3BF37EED" w:rsidR="00FF7E4B" w:rsidRDefault="007C6EDC" w:rsidP="00254087">
      <w:pPr>
        <w:pStyle w:val="ListParagraph"/>
        <w:numPr>
          <w:ilvl w:val="0"/>
          <w:numId w:val="1"/>
        </w:numPr>
        <w:jc w:val="both"/>
        <w:rPr>
          <w:rFonts w:ascii="Times New Roman" w:hAnsi="Times New Roman" w:cs="Times New Roman"/>
          <w:sz w:val="24"/>
          <w:szCs w:val="24"/>
          <w:lang w:val="en-US"/>
        </w:rPr>
      </w:pPr>
      <w:r w:rsidRPr="007C6EDC">
        <w:rPr>
          <w:rFonts w:ascii="Times New Roman" w:hAnsi="Times New Roman" w:cs="Times New Roman"/>
          <w:sz w:val="24"/>
          <w:szCs w:val="24"/>
          <w:lang w:val="en-US"/>
        </w:rPr>
        <w:t>The results of the library screening, which are given in the paper that follows, 16 are quite positive.</w:t>
      </w:r>
      <w:r w:rsidR="00254087">
        <w:rPr>
          <w:rFonts w:ascii="Times New Roman" w:hAnsi="Times New Roman" w:cs="Times New Roman"/>
          <w:sz w:val="24"/>
          <w:szCs w:val="24"/>
          <w:lang w:val="en-US"/>
        </w:rPr>
        <w:t xml:space="preserve"> </w:t>
      </w:r>
      <w:r w:rsidRPr="00254087">
        <w:rPr>
          <w:rFonts w:ascii="Times New Roman" w:hAnsi="Times New Roman" w:cs="Times New Roman"/>
          <w:sz w:val="24"/>
          <w:szCs w:val="24"/>
          <w:lang w:val="en-US"/>
        </w:rPr>
        <w:t>Additionally, compared to earlier Glide versions, Glide 2.5 yields database enrichment factors that are noticeably greater.</w:t>
      </w:r>
    </w:p>
    <w:p w14:paraId="07591B40" w14:textId="7239A49C" w:rsidR="00405D6F" w:rsidRDefault="00187923" w:rsidP="00405D6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Overview: Docking Methodology</w:t>
      </w:r>
    </w:p>
    <w:p w14:paraId="35BABAF3" w14:textId="2E36045A" w:rsidR="00E64ED5" w:rsidRPr="00E64ED5" w:rsidRDefault="00E64ED5" w:rsidP="00E64ED5">
      <w:pPr>
        <w:jc w:val="both"/>
        <w:rPr>
          <w:rFonts w:ascii="Times New Roman" w:hAnsi="Times New Roman" w:cs="Times New Roman"/>
          <w:sz w:val="24"/>
          <w:szCs w:val="24"/>
          <w:lang w:val="en-US"/>
        </w:rPr>
      </w:pPr>
      <w:r w:rsidRPr="00E64ED5">
        <w:rPr>
          <w:rFonts w:ascii="Times New Roman" w:hAnsi="Times New Roman" w:cs="Times New Roman"/>
          <w:sz w:val="24"/>
          <w:szCs w:val="24"/>
          <w:lang w:val="en-US"/>
        </w:rPr>
        <w:t>Glide employs a system of filters to search for probable ligand locations in the receptor's active-site region.</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The shape and properties of the receptor are described by different sets of fields on a grid that enable progressively more accurate scoring of the ligand posture.</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 xml:space="preserve">These fields are generated during the preprocessing steps of the </w:t>
      </w:r>
      <w:proofErr w:type="gramStart"/>
      <w:r w:rsidRPr="00E64ED5">
        <w:rPr>
          <w:rFonts w:ascii="Times New Roman" w:hAnsi="Times New Roman" w:cs="Times New Roman"/>
          <w:sz w:val="24"/>
          <w:szCs w:val="24"/>
          <w:lang w:val="en-US"/>
        </w:rPr>
        <w:t>calculation,</w:t>
      </w:r>
      <w:proofErr w:type="gramEnd"/>
      <w:r w:rsidRPr="00E64ED5">
        <w:rPr>
          <w:rFonts w:ascii="Times New Roman" w:hAnsi="Times New Roman" w:cs="Times New Roman"/>
          <w:sz w:val="24"/>
          <w:szCs w:val="24"/>
          <w:lang w:val="en-US"/>
        </w:rPr>
        <w:t xml:space="preserve"> thus they only need to be computed once for each receptor.</w:t>
      </w:r>
    </w:p>
    <w:p w14:paraId="286CF819" w14:textId="33C22464" w:rsidR="00DB63D7" w:rsidRDefault="00E64ED5" w:rsidP="00E64ED5">
      <w:pPr>
        <w:jc w:val="both"/>
        <w:rPr>
          <w:rFonts w:ascii="Times New Roman" w:hAnsi="Times New Roman" w:cs="Times New Roman"/>
          <w:sz w:val="24"/>
          <w:szCs w:val="24"/>
          <w:lang w:val="en-US"/>
        </w:rPr>
      </w:pPr>
      <w:r w:rsidRPr="00E64ED5">
        <w:rPr>
          <w:rFonts w:ascii="Times New Roman" w:hAnsi="Times New Roman" w:cs="Times New Roman"/>
          <w:sz w:val="24"/>
          <w:szCs w:val="24"/>
          <w:lang w:val="en-US"/>
        </w:rPr>
        <w:t>The following procedure results in a number of initial ligand conformations.</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These conformations are given in a compact combinatorial form and are chosen from an extensive list of the minima in the ligand torsion-angle space</w:t>
      </w:r>
      <w:r w:rsidR="003C0B11">
        <w:rPr>
          <w:rFonts w:ascii="Times New Roman" w:hAnsi="Times New Roman" w:cs="Times New Roman"/>
          <w:sz w:val="24"/>
          <w:szCs w:val="24"/>
          <w:lang w:val="en-US"/>
        </w:rPr>
        <w:t xml:space="preserve">. </w:t>
      </w:r>
      <w:r w:rsidRPr="00E64ED5">
        <w:rPr>
          <w:rFonts w:ascii="Times New Roman" w:hAnsi="Times New Roman" w:cs="Times New Roman"/>
          <w:sz w:val="24"/>
          <w:szCs w:val="24"/>
          <w:lang w:val="en-US"/>
        </w:rPr>
        <w:t>Given these ligand conformations, preliminary searches are made across the ligand's full phase space to identify viable ligand poses.</w:t>
      </w:r>
    </w:p>
    <w:p w14:paraId="5F521AE0" w14:textId="77777777" w:rsidR="00086F07" w:rsidRDefault="00086F07" w:rsidP="00086F07">
      <w:pPr>
        <w:jc w:val="both"/>
        <w:rPr>
          <w:rFonts w:ascii="Times New Roman" w:hAnsi="Times New Roman" w:cs="Times New Roman"/>
          <w:sz w:val="24"/>
          <w:szCs w:val="24"/>
          <w:lang w:val="en-US"/>
        </w:rPr>
      </w:pPr>
      <w:r w:rsidRPr="00086F07">
        <w:rPr>
          <w:rFonts w:ascii="Times New Roman" w:hAnsi="Times New Roman" w:cs="Times New Roman"/>
          <w:sz w:val="24"/>
          <w:szCs w:val="24"/>
          <w:lang w:val="en-US"/>
        </w:rPr>
        <w:t>While avoiding the use of stochastic methods, which can miss important phase-space regions occasionally and prevent the development of a truly robust algorithm, his prescreening significantly reduces the region of phase space over which computationally expensive energy and gradient evaluations will later be carried out.</w:t>
      </w:r>
      <w:r>
        <w:rPr>
          <w:rFonts w:ascii="Times New Roman" w:hAnsi="Times New Roman" w:cs="Times New Roman"/>
          <w:sz w:val="24"/>
          <w:szCs w:val="24"/>
          <w:lang w:val="en-US"/>
        </w:rPr>
        <w:t xml:space="preserve"> </w:t>
      </w:r>
      <w:r w:rsidRPr="00086F07">
        <w:rPr>
          <w:rFonts w:ascii="Times New Roman" w:hAnsi="Times New Roman" w:cs="Times New Roman"/>
          <w:sz w:val="24"/>
          <w:szCs w:val="24"/>
          <w:lang w:val="en-US"/>
        </w:rPr>
        <w:t>While Glide is unique in that it relies on comprehensive systematic search techniques, reasonable computational speed necessitates approximations and truncations.</w:t>
      </w:r>
    </w:p>
    <w:p w14:paraId="39FACED2" w14:textId="351AE568" w:rsidR="00086F07" w:rsidRDefault="00086F07" w:rsidP="00086F07">
      <w:pPr>
        <w:jc w:val="both"/>
        <w:rPr>
          <w:rFonts w:ascii="Times New Roman" w:hAnsi="Times New Roman" w:cs="Times New Roman"/>
          <w:sz w:val="24"/>
          <w:szCs w:val="24"/>
          <w:lang w:val="en-US"/>
        </w:rPr>
      </w:pPr>
      <w:r w:rsidRPr="00086F07">
        <w:rPr>
          <w:rFonts w:ascii="Times New Roman" w:hAnsi="Times New Roman" w:cs="Times New Roman"/>
          <w:sz w:val="24"/>
          <w:szCs w:val="24"/>
          <w:lang w:val="en-US"/>
        </w:rPr>
        <w:lastRenderedPageBreak/>
        <w:t xml:space="preserve">Using a typical molecular mechanics energy function along with a distance-dependent dielectric model, the ligand is </w:t>
      </w:r>
      <w:proofErr w:type="spellStart"/>
      <w:r w:rsidRPr="00086F07">
        <w:rPr>
          <w:rFonts w:ascii="Times New Roman" w:hAnsi="Times New Roman" w:cs="Times New Roman"/>
          <w:sz w:val="24"/>
          <w:szCs w:val="24"/>
          <w:lang w:val="en-US"/>
        </w:rPr>
        <w:t>minimised</w:t>
      </w:r>
      <w:proofErr w:type="spellEnd"/>
      <w:r w:rsidRPr="00086F07">
        <w:rPr>
          <w:rFonts w:ascii="Times New Roman" w:hAnsi="Times New Roman" w:cs="Times New Roman"/>
          <w:sz w:val="24"/>
          <w:szCs w:val="24"/>
          <w:lang w:val="en-US"/>
        </w:rPr>
        <w:t xml:space="preserve"> in the field of the receptor starting from the poses chosen by the initial screening.</w:t>
      </w:r>
    </w:p>
    <w:p w14:paraId="0CF9F2D9" w14:textId="2FD3CD56" w:rsidR="001F7084" w:rsidRPr="001F7084" w:rsidRDefault="001F7084" w:rsidP="001F7084">
      <w:pPr>
        <w:jc w:val="both"/>
        <w:rPr>
          <w:rFonts w:ascii="Times New Roman" w:hAnsi="Times New Roman" w:cs="Times New Roman"/>
          <w:sz w:val="24"/>
          <w:szCs w:val="24"/>
          <w:lang w:val="en-US"/>
        </w:rPr>
      </w:pPr>
      <w:r w:rsidRPr="001F7084">
        <w:rPr>
          <w:rFonts w:ascii="Times New Roman" w:hAnsi="Times New Roman" w:cs="Times New Roman"/>
          <w:sz w:val="24"/>
          <w:szCs w:val="24"/>
          <w:lang w:val="en-US"/>
        </w:rPr>
        <w:t>Finally, on the three to six lowest-energy sites discovered in this manner, a Monte Carlo method is employed to search for close torsional minima.</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Such a method may occasionally be required to accurately orient peripheral groups and potentially alter internal torsion angles.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The standard molecular mechanics energy function offers a trustworthy model for predicting binding modes even in the absence of a solvent.</w:t>
      </w:r>
    </w:p>
    <w:p w14:paraId="63DF9AD9" w14:textId="1F6CB286" w:rsidR="0002221C" w:rsidRDefault="001F7084" w:rsidP="001F7084">
      <w:pPr>
        <w:jc w:val="both"/>
        <w:rPr>
          <w:rFonts w:ascii="Times New Roman" w:hAnsi="Times New Roman" w:cs="Times New Roman"/>
          <w:sz w:val="24"/>
          <w:szCs w:val="24"/>
          <w:lang w:val="en-US"/>
        </w:rPr>
      </w:pPr>
      <w:r w:rsidRPr="001F7084">
        <w:rPr>
          <w:rFonts w:ascii="Times New Roman" w:hAnsi="Times New Roman" w:cs="Times New Roman"/>
          <w:sz w:val="24"/>
          <w:szCs w:val="24"/>
          <w:lang w:val="en-US"/>
        </w:rPr>
        <w:t>However, it is sufficient for ranking different ligands, such as ligands with different net charges.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 xml:space="preserve">A modified and improved version of the </w:t>
      </w:r>
      <w:proofErr w:type="spellStart"/>
      <w:r w:rsidRPr="001F7084">
        <w:rPr>
          <w:rFonts w:ascii="Times New Roman" w:hAnsi="Times New Roman" w:cs="Times New Roman"/>
          <w:sz w:val="24"/>
          <w:szCs w:val="24"/>
          <w:lang w:val="en-US"/>
        </w:rPr>
        <w:t>ChemScore</w:t>
      </w:r>
      <w:proofErr w:type="spellEnd"/>
      <w:r w:rsidRPr="001F7084">
        <w:rPr>
          <w:rFonts w:ascii="Times New Roman" w:hAnsi="Times New Roman" w:cs="Times New Roman"/>
          <w:sz w:val="24"/>
          <w:szCs w:val="24"/>
          <w:lang w:val="en-US"/>
        </w:rPr>
        <w:t xml:space="preserve">! scoring tool, </w:t>
      </w:r>
      <w:proofErr w:type="spellStart"/>
      <w:r w:rsidRPr="001F7084">
        <w:rPr>
          <w:rFonts w:ascii="Times New Roman" w:hAnsi="Times New Roman" w:cs="Times New Roman"/>
          <w:sz w:val="24"/>
          <w:szCs w:val="24"/>
          <w:lang w:val="en-US"/>
        </w:rPr>
        <w:t>GlideScore</w:t>
      </w:r>
      <w:proofErr w:type="spellEnd"/>
      <w:r w:rsidRPr="001F7084">
        <w:rPr>
          <w:rFonts w:ascii="Times New Roman" w:hAnsi="Times New Roman" w:cs="Times New Roman"/>
          <w:sz w:val="24"/>
          <w:szCs w:val="24"/>
          <w:lang w:val="en-US"/>
        </w:rPr>
        <w:t>, is created to forecast binding affinity and rank-order ligands in database screens.</w:t>
      </w:r>
      <w:r>
        <w:rPr>
          <w:rFonts w:ascii="Times New Roman" w:hAnsi="Times New Roman" w:cs="Times New Roman"/>
          <w:sz w:val="24"/>
          <w:szCs w:val="24"/>
          <w:lang w:val="en-US"/>
        </w:rPr>
        <w:t xml:space="preserve"> </w:t>
      </w:r>
      <w:r w:rsidRPr="001F7084">
        <w:rPr>
          <w:rFonts w:ascii="Times New Roman" w:hAnsi="Times New Roman" w:cs="Times New Roman"/>
          <w:sz w:val="24"/>
          <w:szCs w:val="24"/>
          <w:lang w:val="en-US"/>
        </w:rPr>
        <w:t xml:space="preserve">Combining the </w:t>
      </w:r>
      <w:proofErr w:type="spellStart"/>
      <w:r w:rsidRPr="001F7084">
        <w:rPr>
          <w:rFonts w:ascii="Times New Roman" w:hAnsi="Times New Roman" w:cs="Times New Roman"/>
          <w:sz w:val="24"/>
          <w:szCs w:val="24"/>
          <w:lang w:val="en-US"/>
        </w:rPr>
        <w:t>GlideScore</w:t>
      </w:r>
      <w:proofErr w:type="spellEnd"/>
      <w:r w:rsidRPr="001F7084">
        <w:rPr>
          <w:rFonts w:ascii="Times New Roman" w:hAnsi="Times New Roman" w:cs="Times New Roman"/>
          <w:sz w:val="24"/>
          <w:szCs w:val="24"/>
          <w:lang w:val="en-US"/>
        </w:rPr>
        <w:t>, the ligand-receptor molecular mechanics interaction energy, and the ligand may determine the optimal docked configuration.</w:t>
      </w:r>
    </w:p>
    <w:p w14:paraId="28098FE7" w14:textId="4D38747D" w:rsidR="0008499C" w:rsidRDefault="0008499C" w:rsidP="0008499C">
      <w:pPr>
        <w:jc w:val="both"/>
        <w:rPr>
          <w:rFonts w:ascii="Times New Roman" w:hAnsi="Times New Roman" w:cs="Times New Roman"/>
          <w:sz w:val="24"/>
          <w:szCs w:val="24"/>
          <w:lang w:val="en-US"/>
        </w:rPr>
      </w:pPr>
      <w:r w:rsidRPr="0008499C">
        <w:rPr>
          <w:rFonts w:ascii="Times New Roman" w:hAnsi="Times New Roman" w:cs="Times New Roman"/>
          <w:sz w:val="24"/>
          <w:szCs w:val="24"/>
          <w:lang w:val="en-US"/>
        </w:rPr>
        <w:t xml:space="preserve">It is necessary to modify the scoring method, particularly the molecular mechanics component, to take into account the fact that the protein structure </w:t>
      </w:r>
      <w:proofErr w:type="spellStart"/>
      <w:r w:rsidRPr="0008499C">
        <w:rPr>
          <w:rFonts w:ascii="Times New Roman" w:hAnsi="Times New Roman" w:cs="Times New Roman"/>
          <w:sz w:val="24"/>
          <w:szCs w:val="24"/>
          <w:lang w:val="en-US"/>
        </w:rPr>
        <w:t>utilised</w:t>
      </w:r>
      <w:proofErr w:type="spellEnd"/>
      <w:r w:rsidRPr="0008499C">
        <w:rPr>
          <w:rFonts w:ascii="Times New Roman" w:hAnsi="Times New Roman" w:cs="Times New Roman"/>
          <w:sz w:val="24"/>
          <w:szCs w:val="24"/>
          <w:lang w:val="en-US"/>
        </w:rPr>
        <w:t xml:space="preserve"> for docking is frequently not </w:t>
      </w:r>
      <w:proofErr w:type="spellStart"/>
      <w:r w:rsidRPr="0008499C">
        <w:rPr>
          <w:rFonts w:ascii="Times New Roman" w:hAnsi="Times New Roman" w:cs="Times New Roman"/>
          <w:sz w:val="24"/>
          <w:szCs w:val="24"/>
          <w:lang w:val="en-US"/>
        </w:rPr>
        <w:t>optimised</w:t>
      </w:r>
      <w:proofErr w:type="spellEnd"/>
      <w:r w:rsidRPr="0008499C">
        <w:rPr>
          <w:rFonts w:ascii="Times New Roman" w:hAnsi="Times New Roman" w:cs="Times New Roman"/>
          <w:sz w:val="24"/>
          <w:szCs w:val="24"/>
          <w:lang w:val="en-US"/>
        </w:rPr>
        <w:t xml:space="preserve"> to fit a particular ligand.</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This is the key last issue.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Most actives cannot fit because the protein cavity is too small when docking a library of ligands into a single stiff receptor shape.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Van der Waals radii of often chosen (e.g., nonpolar) protein and/or ligand atoms are scaled down to expand the binding pocket in order to prevent this.</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According to studies, this tactic is effective here.</w:t>
      </w:r>
      <w:r>
        <w:rPr>
          <w:rFonts w:ascii="Times New Roman" w:hAnsi="Times New Roman" w:cs="Times New Roman"/>
          <w:sz w:val="24"/>
          <w:szCs w:val="24"/>
          <w:lang w:val="en-US"/>
        </w:rPr>
        <w:t xml:space="preserve"> </w:t>
      </w:r>
      <w:r w:rsidRPr="0008499C">
        <w:rPr>
          <w:rFonts w:ascii="Times New Roman" w:hAnsi="Times New Roman" w:cs="Times New Roman"/>
          <w:sz w:val="24"/>
          <w:szCs w:val="24"/>
          <w:lang w:val="en-US"/>
        </w:rPr>
        <w:t>The default values are sufficient, even if altering the scale parameters for a specific receptor typically leads to superior enrichment.</w:t>
      </w:r>
    </w:p>
    <w:p w14:paraId="09D9B774" w14:textId="6812505E" w:rsidR="00A0130F" w:rsidRDefault="00C06D88" w:rsidP="0008499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Scoring Function:</w:t>
      </w:r>
    </w:p>
    <w:p w14:paraId="78195FD4" w14:textId="4AE286B6" w:rsidR="00C06D88" w:rsidRDefault="00C06D88" w:rsidP="0008499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starting point for Glide scoring is the empirically based </w:t>
      </w:r>
      <w:proofErr w:type="spellStart"/>
      <w:r>
        <w:rPr>
          <w:rFonts w:ascii="Times New Roman" w:hAnsi="Times New Roman" w:cs="Times New Roman"/>
          <w:sz w:val="24"/>
          <w:szCs w:val="24"/>
          <w:lang w:val="en-US"/>
        </w:rPr>
        <w:t>ChemScore</w:t>
      </w:r>
      <w:proofErr w:type="spellEnd"/>
      <w:r>
        <w:rPr>
          <w:rFonts w:ascii="Times New Roman" w:hAnsi="Times New Roman" w:cs="Times New Roman"/>
          <w:sz w:val="24"/>
          <w:szCs w:val="24"/>
          <w:lang w:val="en-US"/>
        </w:rPr>
        <w:t xml:space="preserve"> function of Eldridge et al., which can be written as:</w:t>
      </w:r>
    </w:p>
    <w:p w14:paraId="061B653B" w14:textId="77777777" w:rsidR="007C1272" w:rsidRDefault="007C1272" w:rsidP="007C1272">
      <w:pPr>
        <w:ind w:right="20"/>
        <w:jc w:val="center"/>
        <w:rPr>
          <w:sz w:val="20"/>
          <w:szCs w:val="20"/>
        </w:rPr>
      </w:pPr>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G</w:t>
      </w:r>
      <w:r>
        <w:rPr>
          <w:rFonts w:ascii="Times New Roman" w:eastAsia="Times New Roman" w:hAnsi="Times New Roman" w:cs="Times New Roman"/>
          <w:color w:val="202020"/>
          <w:sz w:val="15"/>
          <w:szCs w:val="15"/>
        </w:rPr>
        <w:t>bind</w:t>
      </w:r>
      <w:proofErr w:type="spellEnd"/>
      <w:r>
        <w:rPr>
          <w:rFonts w:ascii="Times New Roman" w:eastAsia="Times New Roman" w:hAnsi="Times New Roman" w:cs="Times New Roman"/>
          <w:color w:val="202020"/>
          <w:sz w:val="24"/>
          <w:szCs w:val="24"/>
        </w:rPr>
        <w:t xml:space="preserve"> = </w:t>
      </w:r>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0</w:t>
      </w:r>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lipo</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color w:val="202020"/>
          <w:sz w:val="24"/>
          <w:szCs w:val="24"/>
        </w:rPr>
        <w:t>r</w:t>
      </w:r>
      <w:r>
        <w:rPr>
          <w:rFonts w:ascii="Times New Roman" w:eastAsia="Times New Roman" w:hAnsi="Times New Roman" w:cs="Times New Roman"/>
          <w:color w:val="202020"/>
          <w:sz w:val="15"/>
          <w:szCs w:val="15"/>
        </w:rPr>
        <w:t>lr</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 xml:space="preserve">(∆r)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metal</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15"/>
          <w:szCs w:val="15"/>
        </w:rPr>
        <w:t>lm</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rotb</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15"/>
          <w:szCs w:val="15"/>
        </w:rPr>
        <w:t>rotb</w:t>
      </w:r>
      <w:proofErr w:type="spellEnd"/>
    </w:p>
    <w:p w14:paraId="6F56C020" w14:textId="1022B0EA" w:rsidR="00C06D88" w:rsidRDefault="009D5526" w:rsidP="009D5526">
      <w:pPr>
        <w:jc w:val="both"/>
        <w:rPr>
          <w:rFonts w:ascii="Times New Roman" w:hAnsi="Times New Roman" w:cs="Times New Roman"/>
          <w:sz w:val="24"/>
          <w:szCs w:val="24"/>
          <w:lang w:val="en-US"/>
        </w:rPr>
      </w:pPr>
      <w:r w:rsidRPr="009D5526">
        <w:rPr>
          <w:rFonts w:ascii="Times New Roman" w:hAnsi="Times New Roman" w:cs="Times New Roman"/>
          <w:sz w:val="24"/>
          <w:szCs w:val="24"/>
          <w:lang w:val="en-US"/>
        </w:rPr>
        <w:t xml:space="preserve">The summation </w:t>
      </w:r>
      <w:proofErr w:type="gramStart"/>
      <w:r w:rsidRPr="009D5526">
        <w:rPr>
          <w:rFonts w:ascii="Times New Roman" w:hAnsi="Times New Roman" w:cs="Times New Roman"/>
          <w:sz w:val="24"/>
          <w:szCs w:val="24"/>
          <w:lang w:val="en-US"/>
        </w:rPr>
        <w:t>include</w:t>
      </w:r>
      <w:proofErr w:type="gramEnd"/>
      <w:r w:rsidRPr="009D5526">
        <w:rPr>
          <w:rFonts w:ascii="Times New Roman" w:hAnsi="Times New Roman" w:cs="Times New Roman"/>
          <w:sz w:val="24"/>
          <w:szCs w:val="24"/>
          <w:lang w:val="en-US"/>
        </w:rPr>
        <w:t xml:space="preserve"> all ligand-atom/receptor-atom pairs classified as lipophilic by </w:t>
      </w:r>
      <w:proofErr w:type="spellStart"/>
      <w:r w:rsidRPr="009D5526">
        <w:rPr>
          <w:rFonts w:ascii="Times New Roman" w:hAnsi="Times New Roman" w:cs="Times New Roman"/>
          <w:sz w:val="24"/>
          <w:szCs w:val="24"/>
          <w:lang w:val="en-US"/>
        </w:rPr>
        <w:t>ChemScore</w:t>
      </w:r>
      <w:proofErr w:type="spellEnd"/>
      <w:r w:rsidRPr="009D5526">
        <w:rPr>
          <w:rFonts w:ascii="Times New Roman" w:hAnsi="Times New Roman" w:cs="Times New Roman"/>
          <w:sz w:val="24"/>
          <w:szCs w:val="24"/>
          <w:lang w:val="en-US"/>
        </w:rPr>
        <w:t>, whereas the third term encompasses interactions involving ligand-receptor hydrogen bonds.</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For lengths or angles that are within nominal bounds and fall inside greater threshold values, f, g, and h are functions that provide a complete score (1.00) and a half score (1.00-0.00), respectively.</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For instance, g(r) is 1.00 if the H—-X hydrogen bond distance is less than or equal to 0.25 of the nominal value of 1.85, but it linearly decreases to zero if it is between 2.10 and 2.50.</w:t>
      </w:r>
      <w:r>
        <w:rPr>
          <w:rFonts w:ascii="Times New Roman" w:hAnsi="Times New Roman" w:cs="Times New Roman"/>
          <w:sz w:val="24"/>
          <w:szCs w:val="24"/>
          <w:lang w:val="en-US"/>
        </w:rPr>
        <w:t xml:space="preserve"> </w:t>
      </w:r>
      <w:r w:rsidRPr="009D5526">
        <w:rPr>
          <w:rFonts w:ascii="Times New Roman" w:hAnsi="Times New Roman" w:cs="Times New Roman"/>
          <w:sz w:val="24"/>
          <w:szCs w:val="24"/>
          <w:lang w:val="en-US"/>
        </w:rPr>
        <w:t>In a similar manner, h(R) equals 1.00 if the Z-H—- X angle is between 150° and 120° and zero between 180° and 30°.</w:t>
      </w:r>
    </w:p>
    <w:p w14:paraId="1DE9AC52" w14:textId="38A1D0BC" w:rsidR="00C94562" w:rsidRDefault="00C94562" w:rsidP="009D5526">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GlideScore</w:t>
      </w:r>
      <w:proofErr w:type="spellEnd"/>
      <w:r>
        <w:rPr>
          <w:rFonts w:ascii="Times New Roman" w:hAnsi="Times New Roman" w:cs="Times New Roman"/>
          <w:sz w:val="24"/>
          <w:szCs w:val="24"/>
          <w:lang w:val="en-US"/>
        </w:rPr>
        <w:t xml:space="preserve"> 2.5 modifies and extend the </w:t>
      </w:r>
      <w:proofErr w:type="spellStart"/>
      <w:r>
        <w:rPr>
          <w:rFonts w:ascii="Times New Roman" w:hAnsi="Times New Roman" w:cs="Times New Roman"/>
          <w:sz w:val="24"/>
          <w:szCs w:val="24"/>
          <w:lang w:val="en-US"/>
        </w:rPr>
        <w:t>CHemScore</w:t>
      </w:r>
      <w:proofErr w:type="spellEnd"/>
      <w:r>
        <w:rPr>
          <w:rFonts w:ascii="Times New Roman" w:hAnsi="Times New Roman" w:cs="Times New Roman"/>
          <w:sz w:val="24"/>
          <w:szCs w:val="24"/>
          <w:lang w:val="en-US"/>
        </w:rPr>
        <w:t xml:space="preserve"> function as follows:</w:t>
      </w:r>
    </w:p>
    <w:p w14:paraId="2A05F834" w14:textId="77777777" w:rsidR="00B41558" w:rsidRDefault="00B41558" w:rsidP="00B41558">
      <w:pPr>
        <w:spacing w:line="255" w:lineRule="auto"/>
        <w:ind w:right="20"/>
        <w:jc w:val="center"/>
        <w:rPr>
          <w:sz w:val="20"/>
          <w:szCs w:val="20"/>
        </w:rPr>
      </w:pPr>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G</w:t>
      </w:r>
      <w:r>
        <w:rPr>
          <w:rFonts w:ascii="Times New Roman" w:eastAsia="Times New Roman" w:hAnsi="Times New Roman" w:cs="Times New Roman"/>
          <w:color w:val="202020"/>
          <w:sz w:val="15"/>
          <w:szCs w:val="15"/>
        </w:rPr>
        <w:t>bind</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lipo-lipo</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color w:val="202020"/>
          <w:sz w:val="24"/>
          <w:szCs w:val="24"/>
        </w:rPr>
        <w:t>r</w:t>
      </w:r>
      <w:r>
        <w:rPr>
          <w:rFonts w:ascii="Times New Roman" w:eastAsia="Times New Roman" w:hAnsi="Times New Roman" w:cs="Times New Roman"/>
          <w:color w:val="202020"/>
          <w:sz w:val="15"/>
          <w:szCs w:val="15"/>
        </w:rPr>
        <w:t>lr</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hbond-neut-neut</w:t>
      </w:r>
      <w:r>
        <w:rPr>
          <w:rFonts w:ascii="Times New Roman" w:eastAsia="Times New Roman" w:hAnsi="Times New Roman" w:cs="Times New Roman"/>
          <w:color w:val="202020"/>
          <w:sz w:val="24"/>
          <w:szCs w:val="24"/>
        </w:rPr>
        <w:t>∑</w:t>
      </w:r>
      <w:r>
        <w:rPr>
          <w:rFonts w:ascii="Times New Roman" w:eastAsia="Times New Roman" w:hAnsi="Times New Roman" w:cs="Times New Roman"/>
          <w:color w:val="202020"/>
          <w:sz w:val="15"/>
          <w:szCs w:val="15"/>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hbond-neut-charged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hbond-charged-charged</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g</w:t>
      </w:r>
      <w:proofErr w:type="spellEnd"/>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 xml:space="preserve"> h</w:t>
      </w:r>
      <w:r>
        <w:rPr>
          <w:rFonts w:ascii="Times New Roman" w:eastAsia="Times New Roman" w:hAnsi="Times New Roman" w:cs="Times New Roman"/>
          <w:color w:val="202020"/>
          <w:sz w:val="24"/>
          <w:szCs w:val="24"/>
        </w:rPr>
        <w:t xml:space="preserve">(∆α)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max-metal-ion</w:t>
      </w:r>
      <w:r>
        <w:rPr>
          <w:rFonts w:ascii="Times New Roman" w:eastAsia="Times New Roman" w:hAnsi="Times New Roman" w:cs="Times New Roman"/>
          <w:color w:val="202020"/>
          <w:sz w:val="24"/>
          <w:szCs w:val="24"/>
        </w:rPr>
        <w:t>∑</w:t>
      </w:r>
      <w:r>
        <w:rPr>
          <w:rFonts w:ascii="Times New Roman" w:eastAsia="Times New Roman" w:hAnsi="Times New Roman" w:cs="Times New Roman"/>
          <w:i/>
          <w:iCs/>
          <w:color w:val="202020"/>
          <w:sz w:val="24"/>
          <w:szCs w:val="24"/>
        </w:rPr>
        <w:t>f</w:t>
      </w:r>
      <w:proofErr w:type="spellEnd"/>
      <w:r>
        <w:rPr>
          <w:rFonts w:ascii="Times New Roman" w:eastAsia="Times New Roman" w:hAnsi="Times New Roman" w:cs="Times New Roman"/>
          <w:color w:val="202020"/>
          <w:sz w:val="24"/>
          <w:szCs w:val="24"/>
        </w:rPr>
        <w:t>(</w:t>
      </w:r>
      <w:proofErr w:type="spellStart"/>
      <w:r>
        <w:rPr>
          <w:rFonts w:ascii="Times New Roman" w:eastAsia="Times New Roman" w:hAnsi="Times New Roman" w:cs="Times New Roman"/>
          <w:i/>
          <w:iCs/>
          <w:color w:val="202020"/>
          <w:sz w:val="24"/>
          <w:szCs w:val="24"/>
        </w:rPr>
        <w:t>r</w:t>
      </w:r>
      <w:r>
        <w:rPr>
          <w:rFonts w:ascii="Times New Roman" w:eastAsia="Times New Roman" w:hAnsi="Times New Roman" w:cs="Times New Roman"/>
          <w:color w:val="202020"/>
          <w:sz w:val="15"/>
          <w:szCs w:val="15"/>
        </w:rPr>
        <w:t>lm</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rotb</w:t>
      </w:r>
      <w:r>
        <w:rPr>
          <w:rFonts w:ascii="Times New Roman" w:eastAsia="Times New Roman" w:hAnsi="Times New Roman" w:cs="Times New Roman"/>
          <w:i/>
          <w:iCs/>
          <w:color w:val="202020"/>
          <w:sz w:val="24"/>
          <w:szCs w:val="24"/>
        </w:rPr>
        <w:t>H</w:t>
      </w:r>
      <w:r>
        <w:rPr>
          <w:rFonts w:ascii="Times New Roman" w:eastAsia="Times New Roman" w:hAnsi="Times New Roman" w:cs="Times New Roman"/>
          <w:color w:val="202020"/>
          <w:sz w:val="15"/>
          <w:szCs w:val="15"/>
        </w:rPr>
        <w:t>rotb</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polar-phob</w:t>
      </w:r>
      <w:r>
        <w:rPr>
          <w:rFonts w:ascii="Times New Roman" w:eastAsia="Times New Roman" w:hAnsi="Times New Roman" w:cs="Times New Roman"/>
          <w:i/>
          <w:iCs/>
          <w:color w:val="202020"/>
          <w:sz w:val="24"/>
          <w:szCs w:val="24"/>
        </w:rPr>
        <w:t>V</w:t>
      </w:r>
      <w:r>
        <w:rPr>
          <w:rFonts w:ascii="Times New Roman" w:eastAsia="Times New Roman" w:hAnsi="Times New Roman" w:cs="Times New Roman"/>
          <w:color w:val="202020"/>
          <w:sz w:val="15"/>
          <w:szCs w:val="15"/>
        </w:rPr>
        <w:t>polar-phob</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coul</w:t>
      </w:r>
      <w:r>
        <w:rPr>
          <w:rFonts w:ascii="Times New Roman" w:eastAsia="Times New Roman" w:hAnsi="Times New Roman" w:cs="Times New Roman"/>
          <w:i/>
          <w:iCs/>
          <w:color w:val="202020"/>
          <w:sz w:val="24"/>
          <w:szCs w:val="24"/>
        </w:rPr>
        <w:t>E</w:t>
      </w:r>
      <w:r>
        <w:rPr>
          <w:rFonts w:ascii="Times New Roman" w:eastAsia="Times New Roman" w:hAnsi="Times New Roman" w:cs="Times New Roman"/>
          <w:color w:val="202020"/>
          <w:sz w:val="15"/>
          <w:szCs w:val="15"/>
        </w:rPr>
        <w:t>coul</w:t>
      </w:r>
      <w:proofErr w:type="spellEnd"/>
      <w:r>
        <w:rPr>
          <w:rFonts w:ascii="Times New Roman" w:eastAsia="Times New Roman" w:hAnsi="Times New Roman" w:cs="Times New Roman"/>
          <w:color w:val="202020"/>
          <w:sz w:val="24"/>
          <w:szCs w:val="24"/>
        </w:rPr>
        <w:t xml:space="preserve"> + </w:t>
      </w:r>
      <w:proofErr w:type="spellStart"/>
      <w:r>
        <w:rPr>
          <w:rFonts w:ascii="Times New Roman" w:eastAsia="Times New Roman" w:hAnsi="Times New Roman" w:cs="Times New Roman"/>
          <w:i/>
          <w:iCs/>
          <w:color w:val="202020"/>
          <w:sz w:val="24"/>
          <w:szCs w:val="24"/>
        </w:rPr>
        <w:t>C</w:t>
      </w:r>
      <w:r>
        <w:rPr>
          <w:rFonts w:ascii="Times New Roman" w:eastAsia="Times New Roman" w:hAnsi="Times New Roman" w:cs="Times New Roman"/>
          <w:color w:val="202020"/>
          <w:sz w:val="15"/>
          <w:szCs w:val="15"/>
        </w:rPr>
        <w:t>vdW</w:t>
      </w:r>
      <w:r>
        <w:rPr>
          <w:rFonts w:ascii="Times New Roman" w:eastAsia="Times New Roman" w:hAnsi="Times New Roman" w:cs="Times New Roman"/>
          <w:i/>
          <w:iCs/>
          <w:color w:val="202020"/>
          <w:sz w:val="24"/>
          <w:szCs w:val="24"/>
        </w:rPr>
        <w:t>EvdW</w:t>
      </w:r>
      <w:proofErr w:type="spellEnd"/>
      <w:r>
        <w:rPr>
          <w:rFonts w:ascii="Times New Roman" w:eastAsia="Times New Roman" w:hAnsi="Times New Roman" w:cs="Times New Roman"/>
          <w:color w:val="202020"/>
          <w:sz w:val="24"/>
          <w:szCs w:val="24"/>
        </w:rPr>
        <w:t xml:space="preserve"> + solvation terms</w:t>
      </w:r>
    </w:p>
    <w:p w14:paraId="32D19636" w14:textId="411C229C" w:rsidR="00C94562" w:rsidRDefault="00177FBA" w:rsidP="00177FBA">
      <w:pPr>
        <w:jc w:val="both"/>
        <w:rPr>
          <w:rFonts w:ascii="Times New Roman" w:hAnsi="Times New Roman" w:cs="Times New Roman"/>
          <w:sz w:val="24"/>
          <w:szCs w:val="24"/>
          <w:lang w:val="en-US"/>
        </w:rPr>
      </w:pPr>
      <w:r w:rsidRPr="00177FBA">
        <w:rPr>
          <w:rFonts w:ascii="Times New Roman" w:hAnsi="Times New Roman" w:cs="Times New Roman"/>
          <w:sz w:val="24"/>
          <w:szCs w:val="24"/>
          <w:lang w:val="en-US"/>
        </w:rPr>
        <w:t xml:space="preserve">According to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the phrase "lipophilic-lipophilic" means.</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The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xml:space="preserve"> form is used for the hydrogen-bonding term as well, but it is divided into variously weighted components depending on whether the donor and acceptor are both neutral, one is neutral and the other is charged, or both are charged.</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The first of these contributions is discovered to be the most </w:t>
      </w:r>
      <w:proofErr w:type="spellStart"/>
      <w:r w:rsidRPr="00177FBA">
        <w:rPr>
          <w:rFonts w:ascii="Times New Roman" w:hAnsi="Times New Roman" w:cs="Times New Roman"/>
          <w:sz w:val="24"/>
          <w:szCs w:val="24"/>
          <w:lang w:val="en-US"/>
        </w:rPr>
        <w:t>stabilising</w:t>
      </w:r>
      <w:proofErr w:type="spellEnd"/>
      <w:r w:rsidRPr="00177FBA">
        <w:rPr>
          <w:rFonts w:ascii="Times New Roman" w:hAnsi="Times New Roman" w:cs="Times New Roman"/>
          <w:sz w:val="24"/>
          <w:szCs w:val="24"/>
          <w:lang w:val="en-US"/>
        </w:rPr>
        <w:t xml:space="preserve"> and the final, the charged-charged term, to be the least significant in the </w:t>
      </w:r>
      <w:proofErr w:type="spellStart"/>
      <w:r w:rsidRPr="00177FBA">
        <w:rPr>
          <w:rFonts w:ascii="Times New Roman" w:hAnsi="Times New Roman" w:cs="Times New Roman"/>
          <w:sz w:val="24"/>
          <w:szCs w:val="24"/>
          <w:lang w:val="en-US"/>
        </w:rPr>
        <w:t>optimised</w:t>
      </w:r>
      <w:proofErr w:type="spellEnd"/>
      <w:r w:rsidRPr="00177FBA">
        <w:rPr>
          <w:rFonts w:ascii="Times New Roman" w:hAnsi="Times New Roman" w:cs="Times New Roman"/>
          <w:sz w:val="24"/>
          <w:szCs w:val="24"/>
          <w:lang w:val="en-US"/>
        </w:rPr>
        <w:t xml:space="preserve"> scoring system.</w:t>
      </w:r>
      <w:r>
        <w:rPr>
          <w:rFonts w:ascii="Times New Roman" w:hAnsi="Times New Roman" w:cs="Times New Roman"/>
          <w:sz w:val="24"/>
          <w:szCs w:val="24"/>
          <w:lang w:val="en-US"/>
        </w:rPr>
        <w:t xml:space="preserve"> </w:t>
      </w:r>
      <w:r w:rsidRPr="00177FBA">
        <w:rPr>
          <w:rFonts w:ascii="Times New Roman" w:hAnsi="Times New Roman" w:cs="Times New Roman"/>
          <w:sz w:val="24"/>
          <w:szCs w:val="24"/>
          <w:lang w:val="en-US"/>
        </w:rPr>
        <w:t xml:space="preserve">While using the same functional form as </w:t>
      </w:r>
      <w:proofErr w:type="spellStart"/>
      <w:r w:rsidRPr="00177FBA">
        <w:rPr>
          <w:rFonts w:ascii="Times New Roman" w:hAnsi="Times New Roman" w:cs="Times New Roman"/>
          <w:sz w:val="24"/>
          <w:szCs w:val="24"/>
          <w:lang w:val="en-US"/>
        </w:rPr>
        <w:t>ChemScore</w:t>
      </w:r>
      <w:proofErr w:type="spellEnd"/>
      <w:r w:rsidRPr="00177FBA">
        <w:rPr>
          <w:rFonts w:ascii="Times New Roman" w:hAnsi="Times New Roman" w:cs="Times New Roman"/>
          <w:sz w:val="24"/>
          <w:szCs w:val="24"/>
          <w:lang w:val="en-US"/>
        </w:rPr>
        <w:t>, the metal-ligand interaction term differs in three key aspects.</w:t>
      </w:r>
    </w:p>
    <w:p w14:paraId="6F68848C" w14:textId="16013527" w:rsidR="0068298D" w:rsidRDefault="00BB2CC9" w:rsidP="00BB2CC9">
      <w:pPr>
        <w:jc w:val="both"/>
        <w:rPr>
          <w:rFonts w:ascii="Times New Roman" w:hAnsi="Times New Roman" w:cs="Times New Roman"/>
          <w:sz w:val="24"/>
          <w:szCs w:val="24"/>
          <w:lang w:val="en-US"/>
        </w:rPr>
      </w:pPr>
      <w:r w:rsidRPr="00BB2CC9">
        <w:rPr>
          <w:rFonts w:ascii="Times New Roman" w:hAnsi="Times New Roman" w:cs="Times New Roman"/>
          <w:sz w:val="24"/>
          <w:szCs w:val="24"/>
          <w:lang w:val="en-US"/>
        </w:rPr>
        <w:t>First, only interactions with anionic acceptor atoms are taken into account (such as either of the two oxygens of a carboxylate group).</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With this adjustment, Glide is now able to distinguish metalloproteases' significant propensity for coordinating the functionality of anionic ligands to metal </w:t>
      </w:r>
      <w:proofErr w:type="spellStart"/>
      <w:r w:rsidRPr="00BB2CC9">
        <w:rPr>
          <w:rFonts w:ascii="Times New Roman" w:hAnsi="Times New Roman" w:cs="Times New Roman"/>
          <w:sz w:val="24"/>
          <w:szCs w:val="24"/>
          <w:lang w:val="en-US"/>
        </w:rPr>
        <w:t>centres</w:t>
      </w:r>
      <w:proofErr w:type="spellEnd"/>
      <w:r w:rsidRPr="00BB2CC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In addition, when two or more metal ligations are discovered, Glide 2.5 only counts the best interaction.</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We chose a decent value for the coefficient—-2.0 kcal/mol—even though the parameter refinement would have </w:t>
      </w:r>
      <w:proofErr w:type="spellStart"/>
      <w:r w:rsidRPr="00BB2CC9">
        <w:rPr>
          <w:rFonts w:ascii="Times New Roman" w:hAnsi="Times New Roman" w:cs="Times New Roman"/>
          <w:sz w:val="24"/>
          <w:szCs w:val="24"/>
          <w:lang w:val="en-US"/>
        </w:rPr>
        <w:t>favoured</w:t>
      </w:r>
      <w:proofErr w:type="spellEnd"/>
      <w:r w:rsidRPr="00BB2CC9">
        <w:rPr>
          <w:rFonts w:ascii="Times New Roman" w:hAnsi="Times New Roman" w:cs="Times New Roman"/>
          <w:sz w:val="24"/>
          <w:szCs w:val="24"/>
          <w:lang w:val="en-US"/>
        </w:rPr>
        <w:t xml:space="preserve"> a value that was even more drastically negative.</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 xml:space="preserve">Third, we evaluate the metal ion's net charge in the </w:t>
      </w:r>
      <w:proofErr w:type="spellStart"/>
      <w:r w:rsidRPr="00BB2CC9">
        <w:rPr>
          <w:rFonts w:ascii="Times New Roman" w:hAnsi="Times New Roman" w:cs="Times New Roman"/>
          <w:sz w:val="24"/>
          <w:szCs w:val="24"/>
          <w:lang w:val="en-US"/>
        </w:rPr>
        <w:t>unligated</w:t>
      </w:r>
      <w:proofErr w:type="spellEnd"/>
      <w:r w:rsidRPr="00BB2CC9">
        <w:rPr>
          <w:rFonts w:ascii="Times New Roman" w:hAnsi="Times New Roman" w:cs="Times New Roman"/>
          <w:sz w:val="24"/>
          <w:szCs w:val="24"/>
          <w:lang w:val="en-US"/>
        </w:rPr>
        <w:t xml:space="preserve"> apo protein (generally straightforward via examination of the directly coordinated protein side chains).</w:t>
      </w:r>
      <w:r>
        <w:rPr>
          <w:rFonts w:ascii="Times New Roman" w:hAnsi="Times New Roman" w:cs="Times New Roman"/>
          <w:sz w:val="24"/>
          <w:szCs w:val="24"/>
          <w:lang w:val="en-US"/>
        </w:rPr>
        <w:t xml:space="preserve"> </w:t>
      </w:r>
      <w:r w:rsidRPr="00BB2CC9">
        <w:rPr>
          <w:rFonts w:ascii="Times New Roman" w:hAnsi="Times New Roman" w:cs="Times New Roman"/>
          <w:sz w:val="24"/>
          <w:szCs w:val="24"/>
          <w:lang w:val="en-US"/>
        </w:rPr>
        <w:t>An anionic ligand is preferred if the net charge is positive.</w:t>
      </w:r>
    </w:p>
    <w:p w14:paraId="4760CB12" w14:textId="43D3DF65" w:rsidR="00731288" w:rsidRDefault="00731288" w:rsidP="00BB2CC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Docking Accuracy:</w:t>
      </w:r>
    </w:p>
    <w:p w14:paraId="1A53FBB8" w14:textId="080E4AE7" w:rsidR="004A2FD5" w:rsidRDefault="004A2FD5" w:rsidP="004A2FD5">
      <w:pPr>
        <w:jc w:val="both"/>
        <w:rPr>
          <w:rFonts w:ascii="Times New Roman" w:hAnsi="Times New Roman" w:cs="Times New Roman"/>
          <w:sz w:val="24"/>
          <w:szCs w:val="24"/>
          <w:lang w:val="en-US"/>
        </w:rPr>
      </w:pPr>
      <w:r w:rsidRPr="004A2FD5">
        <w:rPr>
          <w:rFonts w:ascii="Times New Roman" w:hAnsi="Times New Roman" w:cs="Times New Roman"/>
          <w:sz w:val="24"/>
          <w:szCs w:val="24"/>
          <w:lang w:val="en-US"/>
        </w:rPr>
        <w:t xml:space="preserve">The capacity of Glide to mimic the </w:t>
      </w:r>
      <w:proofErr w:type="spellStart"/>
      <w:r w:rsidRPr="004A2FD5">
        <w:rPr>
          <w:rFonts w:ascii="Times New Roman" w:hAnsi="Times New Roman" w:cs="Times New Roman"/>
          <w:sz w:val="24"/>
          <w:szCs w:val="24"/>
          <w:lang w:val="en-US"/>
        </w:rPr>
        <w:t>cocrystallized</w:t>
      </w:r>
      <w:proofErr w:type="spellEnd"/>
      <w:r w:rsidRPr="004A2FD5">
        <w:rPr>
          <w:rFonts w:ascii="Times New Roman" w:hAnsi="Times New Roman" w:cs="Times New Roman"/>
          <w:sz w:val="24"/>
          <w:szCs w:val="24"/>
          <w:lang w:val="en-US"/>
        </w:rPr>
        <w:t xml:space="preserve"> ligand geometries of a sizable group of 282 publicly accessible PDB24 complexes is assessed in this section.</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This set contains the majority of the well-known GOLD and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test set members, 50 PDB complexes that were used to evaluate Glide for potential customers, and an additional 50 complexes whose experimental binding affinities were used to create one or more of the empirical scoring functions mentioned in the literature (e.g., </w:t>
      </w:r>
      <w:proofErr w:type="spellStart"/>
      <w:r w:rsidRPr="004A2FD5">
        <w:rPr>
          <w:rFonts w:ascii="Times New Roman" w:hAnsi="Times New Roman" w:cs="Times New Roman"/>
          <w:sz w:val="24"/>
          <w:szCs w:val="24"/>
          <w:lang w:val="en-US"/>
        </w:rPr>
        <w:t>ChemScore</w:t>
      </w:r>
      <w:proofErr w:type="spellEnd"/>
      <w:r w:rsidRPr="004A2F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These complexes were used to calibrate the </w:t>
      </w:r>
      <w:proofErr w:type="spellStart"/>
      <w:r w:rsidRPr="004A2FD5">
        <w:rPr>
          <w:rFonts w:ascii="Times New Roman" w:hAnsi="Times New Roman" w:cs="Times New Roman"/>
          <w:sz w:val="24"/>
          <w:szCs w:val="24"/>
          <w:lang w:val="en-US"/>
        </w:rPr>
        <w:t>GlideScore</w:t>
      </w:r>
      <w:proofErr w:type="spellEnd"/>
      <w:r w:rsidRPr="004A2FD5">
        <w:rPr>
          <w:rFonts w:ascii="Times New Roman" w:hAnsi="Times New Roman" w:cs="Times New Roman"/>
          <w:sz w:val="24"/>
          <w:szCs w:val="24"/>
          <w:lang w:val="en-US"/>
        </w:rPr>
        <w:t xml:space="preserve"> algorithm along with others discovered in the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and GOLD test sets.</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 xml:space="preserve">Our coverage of the GOLD and </w:t>
      </w:r>
      <w:proofErr w:type="spellStart"/>
      <w:r w:rsidRPr="004A2FD5">
        <w:rPr>
          <w:rFonts w:ascii="Times New Roman" w:hAnsi="Times New Roman" w:cs="Times New Roman"/>
          <w:sz w:val="24"/>
          <w:szCs w:val="24"/>
          <w:lang w:val="en-US"/>
        </w:rPr>
        <w:t>FlexX</w:t>
      </w:r>
      <w:proofErr w:type="spellEnd"/>
      <w:r w:rsidRPr="004A2FD5">
        <w:rPr>
          <w:rFonts w:ascii="Times New Roman" w:hAnsi="Times New Roman" w:cs="Times New Roman"/>
          <w:sz w:val="24"/>
          <w:szCs w:val="24"/>
          <w:lang w:val="en-US"/>
        </w:rPr>
        <w:t xml:space="preserve"> sets is incomplete since Glide cannot handle ligands with more than 35 rotatable bonds or ligands that are covalently linked (seven cases: 1aec, 1ase, 1blh, 1tpp, and 1lmp) (one case: 2er6).</w:t>
      </w:r>
      <w:r>
        <w:rPr>
          <w:rFonts w:ascii="Times New Roman" w:hAnsi="Times New Roman" w:cs="Times New Roman"/>
          <w:sz w:val="24"/>
          <w:szCs w:val="24"/>
          <w:lang w:val="en-US"/>
        </w:rPr>
        <w:t xml:space="preserve"> </w:t>
      </w:r>
      <w:r w:rsidRPr="004A2FD5">
        <w:rPr>
          <w:rFonts w:ascii="Times New Roman" w:hAnsi="Times New Roman" w:cs="Times New Roman"/>
          <w:sz w:val="24"/>
          <w:szCs w:val="24"/>
          <w:lang w:val="en-US"/>
        </w:rPr>
        <w:t>Furthermore, one complex (6rsa) was ignored since it has a vanadium atomic species, which is missing parameters from Glide's OPLS-AA force field.</w:t>
      </w:r>
    </w:p>
    <w:p w14:paraId="275C314C" w14:textId="2CEE3211" w:rsidR="00776C6E" w:rsidRPr="00053869" w:rsidRDefault="000638CF" w:rsidP="004A2FD5">
      <w:pPr>
        <w:jc w:val="both"/>
        <w:rPr>
          <w:rFonts w:ascii="Times New Roman" w:hAnsi="Times New Roman" w:cs="Times New Roman"/>
          <w:b/>
          <w:bCs/>
          <w:sz w:val="24"/>
          <w:szCs w:val="24"/>
          <w:lang w:val="en-US"/>
        </w:rPr>
      </w:pPr>
      <w:proofErr w:type="spellStart"/>
      <w:r w:rsidRPr="00053869">
        <w:rPr>
          <w:rFonts w:ascii="Times New Roman" w:hAnsi="Times New Roman" w:cs="Times New Roman"/>
          <w:b/>
          <w:bCs/>
          <w:sz w:val="24"/>
          <w:szCs w:val="24"/>
          <w:lang w:val="en-US"/>
        </w:rPr>
        <w:t>CombiGlide</w:t>
      </w:r>
      <w:proofErr w:type="spellEnd"/>
      <w:r w:rsidRPr="00053869">
        <w:rPr>
          <w:rFonts w:ascii="Times New Roman" w:hAnsi="Times New Roman" w:cs="Times New Roman"/>
          <w:b/>
          <w:bCs/>
          <w:sz w:val="24"/>
          <w:szCs w:val="24"/>
          <w:lang w:val="en-US"/>
        </w:rPr>
        <w:t xml:space="preserve"> includes the following capabilities and features:</w:t>
      </w:r>
    </w:p>
    <w:p w14:paraId="1D032A52" w14:textId="35801CB1" w:rsidR="00F427C0" w:rsidRDefault="00F427C0"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Librar</w:t>
      </w:r>
      <w:r w:rsidR="0038551D">
        <w:rPr>
          <w:rFonts w:ascii="Times New Roman" w:hAnsi="Times New Roman" w:cs="Times New Roman"/>
          <w:sz w:val="24"/>
          <w:szCs w:val="24"/>
          <w:lang w:val="en-US"/>
        </w:rPr>
        <w:t>y</w:t>
      </w:r>
      <w:r>
        <w:rPr>
          <w:rFonts w:ascii="Times New Roman" w:hAnsi="Times New Roman" w:cs="Times New Roman"/>
          <w:sz w:val="24"/>
          <w:szCs w:val="24"/>
          <w:lang w:val="en-US"/>
        </w:rPr>
        <w:t xml:space="preserve"> enumeration:</w:t>
      </w:r>
      <w:r>
        <w:rPr>
          <w:rFonts w:ascii="Times New Roman" w:hAnsi="Times New Roman" w:cs="Times New Roman"/>
          <w:sz w:val="24"/>
          <w:szCs w:val="24"/>
          <w:lang w:val="en-US"/>
        </w:rPr>
        <w:tab/>
      </w:r>
      <w:r w:rsidR="00C6284B">
        <w:rPr>
          <w:rFonts w:ascii="Times New Roman" w:hAnsi="Times New Roman" w:cs="Times New Roman"/>
          <w:sz w:val="24"/>
          <w:szCs w:val="24"/>
          <w:lang w:val="en-US"/>
        </w:rPr>
        <w:tab/>
      </w:r>
      <w:r>
        <w:rPr>
          <w:rFonts w:ascii="Times New Roman" w:hAnsi="Times New Roman" w:cs="Times New Roman"/>
          <w:sz w:val="24"/>
          <w:szCs w:val="24"/>
          <w:lang w:val="en-US"/>
        </w:rPr>
        <w:t>1. Enumerate complete combinatori</w:t>
      </w:r>
      <w:r w:rsidR="0038551D">
        <w:rPr>
          <w:rFonts w:ascii="Times New Roman" w:hAnsi="Times New Roman" w:cs="Times New Roman"/>
          <w:sz w:val="24"/>
          <w:szCs w:val="24"/>
          <w:lang w:val="en-US"/>
        </w:rPr>
        <w:t>a</w:t>
      </w:r>
      <w:r>
        <w:rPr>
          <w:rFonts w:ascii="Times New Roman" w:hAnsi="Times New Roman" w:cs="Times New Roman"/>
          <w:sz w:val="24"/>
          <w:szCs w:val="24"/>
          <w:lang w:val="en-US"/>
        </w:rPr>
        <w:t>l libraries</w:t>
      </w:r>
      <w:r w:rsidR="00AA25B9">
        <w:rPr>
          <w:rFonts w:ascii="Times New Roman" w:hAnsi="Times New Roman" w:cs="Times New Roman"/>
          <w:sz w:val="24"/>
          <w:szCs w:val="24"/>
          <w:lang w:val="en-US"/>
        </w:rPr>
        <w:t>.</w:t>
      </w:r>
    </w:p>
    <w:p w14:paraId="504022B9" w14:textId="60FBC34C" w:rsidR="00F427C0" w:rsidRDefault="00F427C0"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6284B">
        <w:rPr>
          <w:rFonts w:ascii="Times New Roman" w:hAnsi="Times New Roman" w:cs="Times New Roman"/>
          <w:sz w:val="24"/>
          <w:szCs w:val="24"/>
          <w:lang w:val="en-US"/>
        </w:rPr>
        <w:tab/>
      </w:r>
      <w:r>
        <w:rPr>
          <w:rFonts w:ascii="Times New Roman" w:hAnsi="Times New Roman" w:cs="Times New Roman"/>
          <w:sz w:val="24"/>
          <w:szCs w:val="24"/>
          <w:lang w:val="en-US"/>
        </w:rPr>
        <w:t>2. Untangles and minimizes structures</w:t>
      </w:r>
      <w:r w:rsidR="00AA25B9">
        <w:rPr>
          <w:rFonts w:ascii="Times New Roman" w:hAnsi="Times New Roman" w:cs="Times New Roman"/>
          <w:sz w:val="24"/>
          <w:szCs w:val="24"/>
          <w:lang w:val="en-US"/>
        </w:rPr>
        <w:t>.</w:t>
      </w:r>
    </w:p>
    <w:p w14:paraId="1F85866A" w14:textId="60E58A69" w:rsidR="00F427C0" w:rsidRDefault="0038551D"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Interactive enumeration:</w:t>
      </w:r>
      <w:r>
        <w:rPr>
          <w:rFonts w:ascii="Times New Roman" w:hAnsi="Times New Roman" w:cs="Times New Roman"/>
          <w:sz w:val="24"/>
          <w:szCs w:val="24"/>
          <w:lang w:val="en-US"/>
        </w:rPr>
        <w:tab/>
        <w:t>1. Define and manage collections of fragments (R groups)</w:t>
      </w:r>
      <w:r w:rsidR="00AA25B9">
        <w:rPr>
          <w:rFonts w:ascii="Times New Roman" w:hAnsi="Times New Roman" w:cs="Times New Roman"/>
          <w:sz w:val="24"/>
          <w:szCs w:val="24"/>
          <w:lang w:val="en-US"/>
        </w:rPr>
        <w:t>.</w:t>
      </w:r>
    </w:p>
    <w:p w14:paraId="13F45CA0" w14:textId="1B6A6980" w:rsidR="00C6284B" w:rsidRDefault="00C6284B" w:rsidP="004A2FD5">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2. Enumerate complete combinatorial libraries</w:t>
      </w:r>
      <w:r w:rsidR="00DE60F8">
        <w:rPr>
          <w:rFonts w:ascii="Times New Roman" w:hAnsi="Times New Roman" w:cs="Times New Roman"/>
          <w:sz w:val="24"/>
          <w:szCs w:val="24"/>
          <w:lang w:val="en-US"/>
        </w:rPr>
        <w:t>.</w:t>
      </w:r>
    </w:p>
    <w:p w14:paraId="0BA01135" w14:textId="74E54F5E" w:rsidR="009232A5" w:rsidRDefault="003A3F1B" w:rsidP="009232A5">
      <w:pPr>
        <w:jc w:val="both"/>
        <w:rPr>
          <w:rFonts w:ascii="Times New Roman" w:hAnsi="Times New Roman" w:cs="Times New Roman"/>
          <w:b/>
          <w:bCs/>
          <w:sz w:val="24"/>
          <w:szCs w:val="24"/>
          <w:lang w:val="en-US"/>
        </w:rPr>
      </w:pPr>
      <w:r w:rsidRPr="00053869">
        <w:rPr>
          <w:rFonts w:ascii="Times New Roman" w:hAnsi="Times New Roman" w:cs="Times New Roman"/>
          <w:b/>
          <w:bCs/>
          <w:sz w:val="24"/>
          <w:szCs w:val="24"/>
          <w:lang w:val="en-US"/>
        </w:rPr>
        <w:t>Virtual Combinatorial screening</w:t>
      </w:r>
      <w:r w:rsidR="009232A5">
        <w:rPr>
          <w:rFonts w:ascii="Times New Roman" w:hAnsi="Times New Roman" w:cs="Times New Roman"/>
          <w:b/>
          <w:bCs/>
          <w:sz w:val="24"/>
          <w:szCs w:val="24"/>
          <w:lang w:val="en-US"/>
        </w:rPr>
        <w:t>:</w:t>
      </w:r>
    </w:p>
    <w:p w14:paraId="3812B377" w14:textId="4CB0DD30"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1.</w:t>
      </w:r>
      <w:r w:rsidRPr="008314C8">
        <w:rPr>
          <w:rFonts w:ascii="Times New Roman" w:hAnsi="Times New Roman" w:cs="Times New Roman"/>
          <w:sz w:val="24"/>
          <w:szCs w:val="24"/>
          <w:lang w:val="en-US"/>
        </w:rPr>
        <w:tab/>
        <w:t>Performs rapid screening of large virtual combinatorial libraries against 3D targets</w:t>
      </w:r>
    </w:p>
    <w:p w14:paraId="64668952" w14:textId="382258C6"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2.</w:t>
      </w:r>
      <w:r w:rsidRPr="008314C8">
        <w:rPr>
          <w:rFonts w:ascii="Times New Roman" w:hAnsi="Times New Roman" w:cs="Times New Roman"/>
          <w:sz w:val="24"/>
          <w:szCs w:val="24"/>
          <w:lang w:val="en-US"/>
        </w:rPr>
        <w:tab/>
        <w:t>Are orders of magnitude faster than docking the entire library</w:t>
      </w:r>
    </w:p>
    <w:p w14:paraId="72469ECC" w14:textId="18B471B5"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3.</w:t>
      </w:r>
      <w:r w:rsidRPr="008314C8">
        <w:rPr>
          <w:rFonts w:ascii="Times New Roman" w:hAnsi="Times New Roman" w:cs="Times New Roman"/>
          <w:sz w:val="24"/>
          <w:szCs w:val="24"/>
          <w:lang w:val="en-US"/>
        </w:rPr>
        <w:tab/>
        <w:t>Performs flexible docking using the standard and extra precision (XP) modes of Glide</w:t>
      </w:r>
    </w:p>
    <w:p w14:paraId="2DDC5BD1" w14:textId="5D7AF50F"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4.</w:t>
      </w:r>
      <w:r w:rsidRPr="008314C8">
        <w:rPr>
          <w:rFonts w:ascii="Times New Roman" w:hAnsi="Times New Roman" w:cs="Times New Roman"/>
          <w:sz w:val="24"/>
          <w:szCs w:val="24"/>
          <w:lang w:val="en-US"/>
        </w:rPr>
        <w:tab/>
        <w:t>Provides multiple post-docking library selection strategies and options</w:t>
      </w:r>
    </w:p>
    <w:p w14:paraId="1BE7841D" w14:textId="51182527" w:rsidR="008314C8" w:rsidRPr="008314C8"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5.</w:t>
      </w:r>
      <w:r w:rsidRPr="008314C8">
        <w:rPr>
          <w:rFonts w:ascii="Times New Roman" w:hAnsi="Times New Roman" w:cs="Times New Roman"/>
          <w:sz w:val="24"/>
          <w:szCs w:val="24"/>
          <w:lang w:val="en-US"/>
        </w:rPr>
        <w:tab/>
        <w:t>Allows for incorporation of predicted ADME properties into selection process</w:t>
      </w:r>
    </w:p>
    <w:p w14:paraId="1C22BBDE" w14:textId="4E3288F2" w:rsidR="009232A5" w:rsidRDefault="008314C8" w:rsidP="008314C8">
      <w:pPr>
        <w:jc w:val="both"/>
        <w:rPr>
          <w:rFonts w:ascii="Times New Roman" w:hAnsi="Times New Roman" w:cs="Times New Roman"/>
          <w:sz w:val="24"/>
          <w:szCs w:val="24"/>
          <w:lang w:val="en-US"/>
        </w:rPr>
      </w:pPr>
      <w:r w:rsidRPr="008314C8">
        <w:rPr>
          <w:rFonts w:ascii="Times New Roman" w:hAnsi="Times New Roman" w:cs="Times New Roman"/>
          <w:sz w:val="24"/>
          <w:szCs w:val="24"/>
          <w:lang w:val="en-US"/>
        </w:rPr>
        <w:t>6.</w:t>
      </w:r>
      <w:r w:rsidRPr="008314C8">
        <w:rPr>
          <w:rFonts w:ascii="Times New Roman" w:hAnsi="Times New Roman" w:cs="Times New Roman"/>
          <w:sz w:val="24"/>
          <w:szCs w:val="24"/>
          <w:lang w:val="en-US"/>
        </w:rPr>
        <w:tab/>
        <w:t>Analyzes selected libraries for enrichment of actives and chemical features</w:t>
      </w:r>
    </w:p>
    <w:p w14:paraId="2AB9E5A6" w14:textId="6BF27EFE" w:rsidR="006626EF" w:rsidRDefault="006626EF" w:rsidP="008314C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All workflows</w:t>
      </w:r>
      <w:r w:rsidR="00DE65AB">
        <w:rPr>
          <w:rFonts w:ascii="Times New Roman" w:hAnsi="Times New Roman" w:cs="Times New Roman"/>
          <w:b/>
          <w:bCs/>
          <w:sz w:val="24"/>
          <w:szCs w:val="24"/>
          <w:lang w:val="en-US"/>
        </w:rPr>
        <w:t>:</w:t>
      </w:r>
    </w:p>
    <w:p w14:paraId="50FED9EC" w14:textId="5CF59A2A" w:rsidR="00DE65AB" w:rsidRDefault="0041791E"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Provides automated reagent file </w:t>
      </w:r>
      <w:proofErr w:type="spellStart"/>
      <w:r>
        <w:rPr>
          <w:rFonts w:ascii="Times New Roman" w:hAnsi="Times New Roman" w:cs="Times New Roman"/>
          <w:sz w:val="24"/>
          <w:szCs w:val="24"/>
          <w:lang w:val="en-US"/>
        </w:rPr>
        <w:t>prearation</w:t>
      </w:r>
      <w:proofErr w:type="spellEnd"/>
      <w:r>
        <w:rPr>
          <w:rFonts w:ascii="Times New Roman" w:hAnsi="Times New Roman" w:cs="Times New Roman"/>
          <w:sz w:val="24"/>
          <w:szCs w:val="24"/>
          <w:lang w:val="en-US"/>
        </w:rPr>
        <w:t xml:space="preserve">: 2D to 3D conversion, generation of reasonable ionization and tautomeric states, </w:t>
      </w:r>
      <w:proofErr w:type="spellStart"/>
      <w:r>
        <w:rPr>
          <w:rFonts w:ascii="Times New Roman" w:hAnsi="Times New Roman" w:cs="Times New Roman"/>
          <w:sz w:val="24"/>
          <w:szCs w:val="24"/>
          <w:lang w:val="en-US"/>
        </w:rPr>
        <w:t>stereoexpansion</w:t>
      </w:r>
      <w:proofErr w:type="spellEnd"/>
      <w:r>
        <w:rPr>
          <w:rFonts w:ascii="Times New Roman" w:hAnsi="Times New Roman" w:cs="Times New Roman"/>
          <w:sz w:val="24"/>
          <w:szCs w:val="24"/>
          <w:lang w:val="en-US"/>
        </w:rPr>
        <w:t>, assignment of attachment points</w:t>
      </w:r>
    </w:p>
    <w:p w14:paraId="2D3349BE" w14:textId="55281B84" w:rsidR="00541E29" w:rsidRDefault="001C3899" w:rsidP="004179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634C9C8" wp14:editId="1936FDAA">
                <wp:simplePos x="0" y="0"/>
                <wp:positionH relativeFrom="column">
                  <wp:posOffset>3363750</wp:posOffset>
                </wp:positionH>
                <wp:positionV relativeFrom="paragraph">
                  <wp:posOffset>3918</wp:posOffset>
                </wp:positionV>
                <wp:extent cx="8255" cy="335915"/>
                <wp:effectExtent l="38100" t="0" r="67945" b="64135"/>
                <wp:wrapNone/>
                <wp:docPr id="2" name="Straight Arrow Connector 2"/>
                <wp:cNvGraphicFramePr/>
                <a:graphic xmlns:a="http://schemas.openxmlformats.org/drawingml/2006/main">
                  <a:graphicData uri="http://schemas.microsoft.com/office/word/2010/wordprocessingShape">
                    <wps:wsp>
                      <wps:cNvCnPr/>
                      <wps:spPr>
                        <a:xfrm>
                          <a:off x="0" y="0"/>
                          <a:ext cx="8255" cy="335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70701E" id="_x0000_t32" coordsize="21600,21600" o:spt="32" o:oned="t" path="m,l21600,21600e" filled="f">
                <v:path arrowok="t" fillok="f" o:connecttype="none"/>
                <o:lock v:ext="edit" shapetype="t"/>
              </v:shapetype>
              <v:shape id="Straight Arrow Connector 2" o:spid="_x0000_s1026" type="#_x0000_t32" style="position:absolute;margin-left:264.85pt;margin-top:.3pt;width:.6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" strokecolor="#4472c4 [3204]" strokeweight=".5pt">
                <v:stroke endarrow="block" joinstyle="miter"/>
              </v:shape>
            </w:pict>
          </mc:Fallback>
        </mc:AlternateContent>
      </w:r>
    </w:p>
    <w:p w14:paraId="6689DC1B" w14:textId="77777777" w:rsidR="001C3899" w:rsidRDefault="001C3899" w:rsidP="0041791E">
      <w:pPr>
        <w:jc w:val="center"/>
        <w:rPr>
          <w:rFonts w:ascii="Times New Roman" w:hAnsi="Times New Roman" w:cs="Times New Roman"/>
          <w:sz w:val="24"/>
          <w:szCs w:val="24"/>
          <w:lang w:val="en-US"/>
        </w:rPr>
      </w:pPr>
    </w:p>
    <w:p w14:paraId="212B13AF" w14:textId="24CCF96F" w:rsidR="001A79B3" w:rsidRDefault="001A79B3"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Uses a “core plus side chains” approach</w:t>
      </w:r>
    </w:p>
    <w:p w14:paraId="142B060F" w14:textId="07402571" w:rsidR="00B274DC" w:rsidRDefault="001C3899" w:rsidP="001C3899">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5BAC37CF" wp14:editId="6AB6E352">
                <wp:simplePos x="0" y="0"/>
                <wp:positionH relativeFrom="column">
                  <wp:posOffset>3382010</wp:posOffset>
                </wp:positionH>
                <wp:positionV relativeFrom="paragraph">
                  <wp:posOffset>6350</wp:posOffset>
                </wp:positionV>
                <wp:extent cx="8627" cy="336431"/>
                <wp:effectExtent l="38100" t="0" r="67945" b="64135"/>
                <wp:wrapNone/>
                <wp:docPr id="3" name="Straight Arrow Connector 3"/>
                <wp:cNvGraphicFramePr/>
                <a:graphic xmlns:a="http://schemas.openxmlformats.org/drawingml/2006/main">
                  <a:graphicData uri="http://schemas.microsoft.com/office/word/2010/wordprocessingShape">
                    <wps:wsp>
                      <wps:cNvCnPr/>
                      <wps:spPr>
                        <a:xfrm>
                          <a:off x="0" y="0"/>
                          <a:ext cx="8627" cy="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CFC95" id="Straight Arrow Connector 3" o:spid="_x0000_s1026" type="#_x0000_t32" style="position:absolute;margin-left:266.3pt;margin-top:.5pt;width:.7pt;height: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" strokecolor="#4472c4 [3204]" strokeweight=".5pt">
                <v:stroke endarrow="block" joinstyle="miter"/>
              </v:shape>
            </w:pict>
          </mc:Fallback>
        </mc:AlternateContent>
      </w:r>
    </w:p>
    <w:p w14:paraId="3EC4267E" w14:textId="77777777" w:rsidR="001C3899" w:rsidRDefault="001C3899" w:rsidP="001C3899">
      <w:pPr>
        <w:jc w:val="center"/>
        <w:rPr>
          <w:rFonts w:ascii="Times New Roman" w:hAnsi="Times New Roman" w:cs="Times New Roman"/>
          <w:sz w:val="24"/>
          <w:szCs w:val="24"/>
          <w:lang w:val="en-US"/>
        </w:rPr>
      </w:pPr>
    </w:p>
    <w:p w14:paraId="2C66C716" w14:textId="01A1FF1A" w:rsidR="001C3899" w:rsidRDefault="00B274DC" w:rsidP="001C3899">
      <w:pPr>
        <w:jc w:val="center"/>
        <w:rPr>
          <w:rFonts w:ascii="Times New Roman" w:hAnsi="Times New Roman" w:cs="Times New Roman"/>
          <w:sz w:val="24"/>
          <w:szCs w:val="24"/>
          <w:lang w:val="en-US"/>
        </w:rPr>
      </w:pPr>
      <w:r>
        <w:rPr>
          <w:rFonts w:ascii="Times New Roman" w:hAnsi="Times New Roman" w:cs="Times New Roman"/>
          <w:sz w:val="24"/>
          <w:szCs w:val="24"/>
          <w:lang w:val="en-US"/>
        </w:rPr>
        <w:t>Offers extensive flexibility in initial core placement</w:t>
      </w:r>
    </w:p>
    <w:p w14:paraId="3C0FD427" w14:textId="2635E9D1" w:rsidR="00B274DC" w:rsidRDefault="001C3899" w:rsidP="0041791E">
      <w:pPr>
        <w:jc w:val="cente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03B22E8" wp14:editId="026E2283">
                <wp:simplePos x="0" y="0"/>
                <wp:positionH relativeFrom="column">
                  <wp:posOffset>3390300</wp:posOffset>
                </wp:positionH>
                <wp:positionV relativeFrom="paragraph">
                  <wp:posOffset>2960</wp:posOffset>
                </wp:positionV>
                <wp:extent cx="8627" cy="336431"/>
                <wp:effectExtent l="38100" t="0" r="67945" b="64135"/>
                <wp:wrapNone/>
                <wp:docPr id="4" name="Straight Arrow Connector 4"/>
                <wp:cNvGraphicFramePr/>
                <a:graphic xmlns:a="http://schemas.openxmlformats.org/drawingml/2006/main">
                  <a:graphicData uri="http://schemas.microsoft.com/office/word/2010/wordprocessingShape">
                    <wps:wsp>
                      <wps:cNvCnPr/>
                      <wps:spPr>
                        <a:xfrm>
                          <a:off x="0" y="0"/>
                          <a:ext cx="8627" cy="336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B6BE9" id="Straight Arrow Connector 4" o:spid="_x0000_s1026" type="#_x0000_t32" style="position:absolute;margin-left:266.95pt;margin-top:.25pt;width:.7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" strokecolor="#4472c4 [3204]" strokeweight=".5pt">
                <v:stroke endarrow="block" joinstyle="miter"/>
              </v:shape>
            </w:pict>
          </mc:Fallback>
        </mc:AlternateContent>
      </w:r>
    </w:p>
    <w:p w14:paraId="1C8E93E8" w14:textId="77777777" w:rsidR="001C3899" w:rsidRDefault="001C3899" w:rsidP="0041791E">
      <w:pPr>
        <w:jc w:val="center"/>
        <w:rPr>
          <w:rFonts w:ascii="Times New Roman" w:hAnsi="Times New Roman" w:cs="Times New Roman"/>
          <w:sz w:val="24"/>
          <w:szCs w:val="24"/>
          <w:lang w:val="en-US"/>
        </w:rPr>
      </w:pPr>
    </w:p>
    <w:p w14:paraId="37DF82CF" w14:textId="1D9CD797" w:rsidR="00B274DC" w:rsidRDefault="00B274DC" w:rsidP="0041791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Uses an intuitive, user-friendly wizard-based GUI for setting up and monitoring jobs and for </w:t>
      </w:r>
      <w:r w:rsidR="00F57361">
        <w:rPr>
          <w:rFonts w:ascii="Times New Roman" w:hAnsi="Times New Roman" w:cs="Times New Roman"/>
          <w:sz w:val="24"/>
          <w:szCs w:val="24"/>
          <w:lang w:val="en-US"/>
        </w:rPr>
        <w:t>visualization</w:t>
      </w:r>
      <w:r>
        <w:rPr>
          <w:rFonts w:ascii="Times New Roman" w:hAnsi="Times New Roman" w:cs="Times New Roman"/>
          <w:sz w:val="24"/>
          <w:szCs w:val="24"/>
          <w:lang w:val="en-US"/>
        </w:rPr>
        <w:t xml:space="preserve"> of docked poses</w:t>
      </w:r>
    </w:p>
    <w:p w14:paraId="2507825D" w14:textId="2C2100B4" w:rsidR="00131033" w:rsidRDefault="00131033" w:rsidP="0041791E">
      <w:pPr>
        <w:jc w:val="center"/>
        <w:rPr>
          <w:rFonts w:ascii="Times New Roman" w:hAnsi="Times New Roman" w:cs="Times New Roman"/>
          <w:sz w:val="24"/>
          <w:szCs w:val="24"/>
          <w:lang w:val="en-US"/>
        </w:rPr>
      </w:pPr>
    </w:p>
    <w:p w14:paraId="0924C7D8" w14:textId="62CB031A" w:rsidR="00131033" w:rsidRDefault="00131033" w:rsidP="0013103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2142F90E" w14:textId="3003C84D" w:rsidR="00131033" w:rsidRDefault="00607542" w:rsidP="006530D0">
      <w:pPr>
        <w:pStyle w:val="ListParagraph"/>
        <w:numPr>
          <w:ilvl w:val="0"/>
          <w:numId w:val="3"/>
        </w:numPr>
        <w:jc w:val="both"/>
        <w:rPr>
          <w:rFonts w:ascii="Times New Roman" w:hAnsi="Times New Roman" w:cs="Times New Roman"/>
          <w:sz w:val="24"/>
          <w:szCs w:val="24"/>
          <w:lang w:val="en-US"/>
        </w:rPr>
      </w:pPr>
      <w:proofErr w:type="spellStart"/>
      <w:r w:rsidRPr="006530D0">
        <w:rPr>
          <w:rFonts w:ascii="Times New Roman" w:hAnsi="Times New Roman" w:cs="Times New Roman"/>
          <w:sz w:val="24"/>
          <w:szCs w:val="24"/>
          <w:lang w:val="en-US"/>
        </w:rPr>
        <w:t>Friesner</w:t>
      </w:r>
      <w:proofErr w:type="spellEnd"/>
      <w:r w:rsidRPr="006530D0">
        <w:rPr>
          <w:rFonts w:ascii="Times New Roman" w:hAnsi="Times New Roman" w:cs="Times New Roman"/>
          <w:sz w:val="24"/>
          <w:szCs w:val="24"/>
          <w:lang w:val="en-US"/>
        </w:rPr>
        <w:t xml:space="preserve">, R. A., Banks, J. L., Murphy, R. B., </w:t>
      </w:r>
      <w:proofErr w:type="spellStart"/>
      <w:r w:rsidRPr="006530D0">
        <w:rPr>
          <w:rFonts w:ascii="Times New Roman" w:hAnsi="Times New Roman" w:cs="Times New Roman"/>
          <w:sz w:val="24"/>
          <w:szCs w:val="24"/>
          <w:lang w:val="en-US"/>
        </w:rPr>
        <w:t>Halgren</w:t>
      </w:r>
      <w:proofErr w:type="spellEnd"/>
      <w:r w:rsidRPr="006530D0">
        <w:rPr>
          <w:rFonts w:ascii="Times New Roman" w:hAnsi="Times New Roman" w:cs="Times New Roman"/>
          <w:sz w:val="24"/>
          <w:szCs w:val="24"/>
          <w:lang w:val="en-US"/>
        </w:rPr>
        <w:t xml:space="preserve">, T. A., </w:t>
      </w:r>
      <w:proofErr w:type="spellStart"/>
      <w:r w:rsidRPr="006530D0">
        <w:rPr>
          <w:rFonts w:ascii="Times New Roman" w:hAnsi="Times New Roman" w:cs="Times New Roman"/>
          <w:sz w:val="24"/>
          <w:szCs w:val="24"/>
          <w:lang w:val="en-US"/>
        </w:rPr>
        <w:t>Klicic</w:t>
      </w:r>
      <w:proofErr w:type="spellEnd"/>
      <w:r w:rsidRPr="006530D0">
        <w:rPr>
          <w:rFonts w:ascii="Times New Roman" w:hAnsi="Times New Roman" w:cs="Times New Roman"/>
          <w:sz w:val="24"/>
          <w:szCs w:val="24"/>
          <w:lang w:val="en-US"/>
        </w:rPr>
        <w:t xml:space="preserve">, J. J., Mainz, D. T., </w:t>
      </w:r>
      <w:proofErr w:type="spellStart"/>
      <w:r w:rsidRPr="006530D0">
        <w:rPr>
          <w:rFonts w:ascii="Times New Roman" w:hAnsi="Times New Roman" w:cs="Times New Roman"/>
          <w:sz w:val="24"/>
          <w:szCs w:val="24"/>
          <w:lang w:val="en-US"/>
        </w:rPr>
        <w:t>Repasky</w:t>
      </w:r>
      <w:proofErr w:type="spellEnd"/>
      <w:r w:rsidRPr="006530D0">
        <w:rPr>
          <w:rFonts w:ascii="Times New Roman" w:hAnsi="Times New Roman" w:cs="Times New Roman"/>
          <w:sz w:val="24"/>
          <w:szCs w:val="24"/>
          <w:lang w:val="en-US"/>
        </w:rPr>
        <w:t xml:space="preserve">, M. P., Knoll, E. H., Shelley, M., Perry, J. K., Shaw, D. E., Francis, P., &amp; </w:t>
      </w:r>
      <w:proofErr w:type="spellStart"/>
      <w:r w:rsidRPr="006530D0">
        <w:rPr>
          <w:rFonts w:ascii="Times New Roman" w:hAnsi="Times New Roman" w:cs="Times New Roman"/>
          <w:sz w:val="24"/>
          <w:szCs w:val="24"/>
          <w:lang w:val="en-US"/>
        </w:rPr>
        <w:t>Shenkin</w:t>
      </w:r>
      <w:proofErr w:type="spellEnd"/>
      <w:r w:rsidRPr="006530D0">
        <w:rPr>
          <w:rFonts w:ascii="Times New Roman" w:hAnsi="Times New Roman" w:cs="Times New Roman"/>
          <w:sz w:val="24"/>
          <w:szCs w:val="24"/>
          <w:lang w:val="en-US"/>
        </w:rPr>
        <w:t xml:space="preserve">, P. S. (2004). Glide: a new approach for rapid, accurate docking and scoring. 1. Method and assessment of docking accuracy. Journal of medicinal chemistry, 47(7), 1739–1749. </w:t>
      </w:r>
      <w:hyperlink r:id="rId5" w:history="1">
        <w:r w:rsidR="00A01DFA" w:rsidRPr="00146F34">
          <w:rPr>
            <w:rStyle w:val="Hyperlink"/>
            <w:rFonts w:ascii="Times New Roman" w:hAnsi="Times New Roman" w:cs="Times New Roman"/>
            <w:sz w:val="24"/>
            <w:szCs w:val="24"/>
            <w:lang w:val="en-US"/>
          </w:rPr>
          <w:t>https://doi.org/10.1021/jm0306430</w:t>
        </w:r>
      </w:hyperlink>
    </w:p>
    <w:p w14:paraId="794F1289" w14:textId="2FA4F34C" w:rsidR="00DA59C8" w:rsidRDefault="00684625" w:rsidP="008D038D">
      <w:pPr>
        <w:pStyle w:val="ListParagraph"/>
        <w:numPr>
          <w:ilvl w:val="0"/>
          <w:numId w:val="3"/>
        </w:numPr>
        <w:rPr>
          <w:rFonts w:ascii="Times New Roman" w:hAnsi="Times New Roman" w:cs="Times New Roman"/>
          <w:sz w:val="24"/>
          <w:szCs w:val="24"/>
          <w:lang w:val="en-US"/>
        </w:rPr>
      </w:pPr>
      <w:proofErr w:type="spellStart"/>
      <w:r w:rsidRPr="00684625">
        <w:rPr>
          <w:rFonts w:ascii="Times New Roman" w:hAnsi="Times New Roman" w:cs="Times New Roman"/>
          <w:sz w:val="24"/>
          <w:szCs w:val="24"/>
          <w:lang w:val="en-US"/>
        </w:rPr>
        <w:t>CombiGlide</w:t>
      </w:r>
      <w:proofErr w:type="spellEnd"/>
      <w:r w:rsidRPr="00684625">
        <w:rPr>
          <w:rFonts w:ascii="Times New Roman" w:hAnsi="Times New Roman" w:cs="Times New Roman"/>
          <w:sz w:val="24"/>
          <w:szCs w:val="24"/>
          <w:lang w:val="en-US"/>
        </w:rPr>
        <w:t xml:space="preserve"> 2.8: User Manual. (n.d.). Retrieved October 3, 2022, from </w:t>
      </w:r>
      <w:hyperlink r:id="rId6" w:history="1">
        <w:r w:rsidR="008D038D" w:rsidRPr="00146F34">
          <w:rPr>
            <w:rStyle w:val="Hyperlink"/>
            <w:rFonts w:ascii="Times New Roman" w:hAnsi="Times New Roman" w:cs="Times New Roman"/>
            <w:sz w:val="24"/>
            <w:szCs w:val="24"/>
            <w:lang w:val="en-US"/>
          </w:rPr>
          <w:t>http://gohom.win/ManualHom/Schrodinger/Schrodinger_2012_docs/combiglide/combiglide_user_manual.pdf</w:t>
        </w:r>
      </w:hyperlink>
    </w:p>
    <w:p w14:paraId="7FDE292B" w14:textId="77777777" w:rsidR="008D038D" w:rsidRPr="008D038D" w:rsidRDefault="008D038D" w:rsidP="008D038D">
      <w:pPr>
        <w:rPr>
          <w:rFonts w:ascii="Times New Roman" w:hAnsi="Times New Roman" w:cs="Times New Roman"/>
          <w:sz w:val="24"/>
          <w:szCs w:val="24"/>
          <w:lang w:val="en-US"/>
        </w:rPr>
      </w:pPr>
    </w:p>
    <w:sectPr w:rsidR="008D038D" w:rsidRPr="008D038D" w:rsidSect="00EC6C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A16"/>
    <w:multiLevelType w:val="hybridMultilevel"/>
    <w:tmpl w:val="A670A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511B8"/>
    <w:multiLevelType w:val="hybridMultilevel"/>
    <w:tmpl w:val="AEA44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B82A69"/>
    <w:multiLevelType w:val="hybridMultilevel"/>
    <w:tmpl w:val="BB6CA1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408"/>
    <w:rsid w:val="0002221C"/>
    <w:rsid w:val="00053869"/>
    <w:rsid w:val="000638CF"/>
    <w:rsid w:val="0008499C"/>
    <w:rsid w:val="00086F07"/>
    <w:rsid w:val="00131033"/>
    <w:rsid w:val="00177FBA"/>
    <w:rsid w:val="00187923"/>
    <w:rsid w:val="001A79B3"/>
    <w:rsid w:val="001C3899"/>
    <w:rsid w:val="001F7084"/>
    <w:rsid w:val="00254087"/>
    <w:rsid w:val="00382A02"/>
    <w:rsid w:val="0038551D"/>
    <w:rsid w:val="003A3F1B"/>
    <w:rsid w:val="003C0B11"/>
    <w:rsid w:val="00405D6F"/>
    <w:rsid w:val="0041791E"/>
    <w:rsid w:val="004720CE"/>
    <w:rsid w:val="004A2FD5"/>
    <w:rsid w:val="00541263"/>
    <w:rsid w:val="00541E29"/>
    <w:rsid w:val="00600F33"/>
    <w:rsid w:val="00607542"/>
    <w:rsid w:val="006530D0"/>
    <w:rsid w:val="006626EF"/>
    <w:rsid w:val="0068298D"/>
    <w:rsid w:val="00684625"/>
    <w:rsid w:val="00701D90"/>
    <w:rsid w:val="00731288"/>
    <w:rsid w:val="00776C6E"/>
    <w:rsid w:val="007C1272"/>
    <w:rsid w:val="007C6EDC"/>
    <w:rsid w:val="007E4ECB"/>
    <w:rsid w:val="008314C8"/>
    <w:rsid w:val="008D038D"/>
    <w:rsid w:val="009232A5"/>
    <w:rsid w:val="009434FD"/>
    <w:rsid w:val="009A2770"/>
    <w:rsid w:val="009D5526"/>
    <w:rsid w:val="00A0130F"/>
    <w:rsid w:val="00A01DFA"/>
    <w:rsid w:val="00AA25B9"/>
    <w:rsid w:val="00AC4BF0"/>
    <w:rsid w:val="00B24C0D"/>
    <w:rsid w:val="00B274DC"/>
    <w:rsid w:val="00B41231"/>
    <w:rsid w:val="00B41558"/>
    <w:rsid w:val="00B8007B"/>
    <w:rsid w:val="00BB2CC9"/>
    <w:rsid w:val="00C06D88"/>
    <w:rsid w:val="00C6284B"/>
    <w:rsid w:val="00C8199F"/>
    <w:rsid w:val="00C81FC5"/>
    <w:rsid w:val="00C94562"/>
    <w:rsid w:val="00CE039D"/>
    <w:rsid w:val="00D10408"/>
    <w:rsid w:val="00DA59C8"/>
    <w:rsid w:val="00DB2BCE"/>
    <w:rsid w:val="00DB63D7"/>
    <w:rsid w:val="00DC1F00"/>
    <w:rsid w:val="00DE60F8"/>
    <w:rsid w:val="00DE65AB"/>
    <w:rsid w:val="00E64ED5"/>
    <w:rsid w:val="00EC6C31"/>
    <w:rsid w:val="00F427C0"/>
    <w:rsid w:val="00F43A38"/>
    <w:rsid w:val="00F57361"/>
    <w:rsid w:val="00FF7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42A0"/>
  <w15:chartTrackingRefBased/>
  <w15:docId w15:val="{76385B4F-967C-472F-8FFD-4C74B550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D90"/>
    <w:pPr>
      <w:ind w:left="720"/>
      <w:contextualSpacing/>
    </w:pPr>
  </w:style>
  <w:style w:type="character" w:styleId="Hyperlink">
    <w:name w:val="Hyperlink"/>
    <w:basedOn w:val="DefaultParagraphFont"/>
    <w:uiPriority w:val="99"/>
    <w:unhideWhenUsed/>
    <w:rsid w:val="00A01DFA"/>
    <w:rPr>
      <w:color w:val="0563C1" w:themeColor="hyperlink"/>
      <w:u w:val="single"/>
    </w:rPr>
  </w:style>
  <w:style w:type="character" w:styleId="UnresolvedMention">
    <w:name w:val="Unresolved Mention"/>
    <w:basedOn w:val="DefaultParagraphFont"/>
    <w:uiPriority w:val="99"/>
    <w:semiHidden/>
    <w:unhideWhenUsed/>
    <w:rsid w:val="00A01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hom.win/ManualHom/Schrodinger/Schrodinger_2012_docs/combiglide/combiglide_user_manual.pdf" TargetMode="External"/><Relationship Id="rId5" Type="http://schemas.openxmlformats.org/officeDocument/2006/relationships/hyperlink" Target="https://doi.org/10.1021/jm03064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Shalmon Anandas</dc:creator>
  <cp:keywords/>
  <dc:description/>
  <cp:lastModifiedBy>Shalmon Anandas</cp:lastModifiedBy>
  <cp:revision>68</cp:revision>
  <dcterms:created xsi:type="dcterms:W3CDTF">2022-10-04T16:37:00Z</dcterms:created>
  <dcterms:modified xsi:type="dcterms:W3CDTF">2022-10-04T17:07:00Z</dcterms:modified>
</cp:coreProperties>
</file>