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4"/>
          <w:szCs w:val="24"/>
        </w:rPr>
        <w:id w:val="-285743130"/>
        <w:docPartObj>
          <w:docPartGallery w:val="Table of Contents"/>
          <w:docPartUnique/>
        </w:docPartObj>
      </w:sdtPr>
      <w:sdtEndPr>
        <w:rPr>
          <w:rFonts w:ascii="Times New Roman" w:hAnsi="Times New Roman" w:cs="Times New Roman"/>
        </w:rPr>
      </w:sdtEndPr>
      <w:sdtContent>
        <w:p w14:paraId="5C401DDA" w14:textId="77777777" w:rsidR="00052612" w:rsidRPr="00524677" w:rsidRDefault="003F3D5F" w:rsidP="006277DE">
          <w:pPr>
            <w:pStyle w:val="TOCHeading"/>
          </w:pPr>
          <w:r w:rsidRPr="00524677">
            <w:t>Table of Contents</w:t>
          </w:r>
        </w:p>
        <w:p w14:paraId="2A8FED34" w14:textId="12DFEA16" w:rsidR="006816FE" w:rsidRDefault="003F3D5F">
          <w:pPr>
            <w:pStyle w:val="TOC1"/>
            <w:tabs>
              <w:tab w:val="right" w:leader="dot" w:pos="9396"/>
            </w:tabs>
            <w:rPr>
              <w:rFonts w:eastAsiaTheme="minorEastAsia"/>
              <w:noProof/>
              <w:sz w:val="22"/>
              <w:szCs w:val="22"/>
              <w:lang w:val="fr-FR" w:eastAsia="fr-FR"/>
            </w:rPr>
          </w:pPr>
          <w:r w:rsidRPr="00524677">
            <w:rPr>
              <w:rFonts w:ascii="Times New Roman" w:hAnsi="Times New Roman" w:cs="Times New Roman"/>
            </w:rPr>
            <w:fldChar w:fldCharType="begin"/>
          </w:r>
          <w:r w:rsidRPr="00524677">
            <w:rPr>
              <w:rFonts w:ascii="Times New Roman" w:hAnsi="Times New Roman" w:cs="Times New Roman"/>
            </w:rPr>
            <w:instrText>TOC \o "1-3" \h \z \u</w:instrText>
          </w:r>
          <w:r w:rsidRPr="00524677">
            <w:rPr>
              <w:rFonts w:ascii="Times New Roman" w:hAnsi="Times New Roman" w:cs="Times New Roman"/>
            </w:rPr>
            <w:fldChar w:fldCharType="separate"/>
          </w:r>
          <w:hyperlink w:anchor="_Toc229131304" w:history="1">
            <w:r w:rsidR="006816FE" w:rsidRPr="006D0CA3">
              <w:rPr>
                <w:rStyle w:val="Hyperlink"/>
                <w:noProof/>
              </w:rPr>
              <w:t>CHAPITRE II. ÉTAT DE L’ART</w:t>
            </w:r>
            <w:r w:rsidR="006816FE">
              <w:rPr>
                <w:noProof/>
                <w:webHidden/>
              </w:rPr>
              <w:tab/>
            </w:r>
            <w:r w:rsidR="006816FE">
              <w:rPr>
                <w:noProof/>
                <w:webHidden/>
              </w:rPr>
              <w:fldChar w:fldCharType="begin"/>
            </w:r>
            <w:r w:rsidR="006816FE">
              <w:rPr>
                <w:noProof/>
                <w:webHidden/>
              </w:rPr>
              <w:instrText xml:space="preserve"> PAGEREF _Toc229131304 \h </w:instrText>
            </w:r>
            <w:r w:rsidR="006816FE">
              <w:rPr>
                <w:noProof/>
                <w:webHidden/>
              </w:rPr>
            </w:r>
            <w:r w:rsidR="006816FE">
              <w:rPr>
                <w:noProof/>
                <w:webHidden/>
              </w:rPr>
              <w:fldChar w:fldCharType="separate"/>
            </w:r>
            <w:r w:rsidR="006816FE">
              <w:rPr>
                <w:noProof/>
                <w:webHidden/>
              </w:rPr>
              <w:t>2</w:t>
            </w:r>
            <w:r w:rsidR="006816FE">
              <w:rPr>
                <w:noProof/>
                <w:webHidden/>
              </w:rPr>
              <w:fldChar w:fldCharType="end"/>
            </w:r>
          </w:hyperlink>
        </w:p>
        <w:p w14:paraId="6E8BB051" w14:textId="48F9FAD8" w:rsidR="006816FE" w:rsidRDefault="006816FE">
          <w:pPr>
            <w:pStyle w:val="TOC2"/>
            <w:tabs>
              <w:tab w:val="right" w:leader="dot" w:pos="9396"/>
            </w:tabs>
            <w:rPr>
              <w:rFonts w:eastAsiaTheme="minorEastAsia"/>
              <w:noProof/>
              <w:sz w:val="22"/>
              <w:szCs w:val="22"/>
              <w:lang w:val="fr-FR" w:eastAsia="fr-FR"/>
            </w:rPr>
          </w:pPr>
          <w:hyperlink w:anchor="_Toc229131305" w:history="1">
            <w:r w:rsidRPr="006D0CA3">
              <w:rPr>
                <w:rStyle w:val="Hyperlink"/>
                <w:noProof/>
              </w:rPr>
              <w:t>II.1. Introduction</w:t>
            </w:r>
            <w:r>
              <w:rPr>
                <w:noProof/>
                <w:webHidden/>
              </w:rPr>
              <w:tab/>
            </w:r>
            <w:r>
              <w:rPr>
                <w:noProof/>
                <w:webHidden/>
              </w:rPr>
              <w:fldChar w:fldCharType="begin"/>
            </w:r>
            <w:r>
              <w:rPr>
                <w:noProof/>
                <w:webHidden/>
              </w:rPr>
              <w:instrText xml:space="preserve"> PAGEREF _Toc229131305 \h </w:instrText>
            </w:r>
            <w:r>
              <w:rPr>
                <w:noProof/>
                <w:webHidden/>
              </w:rPr>
            </w:r>
            <w:r>
              <w:rPr>
                <w:noProof/>
                <w:webHidden/>
              </w:rPr>
              <w:fldChar w:fldCharType="separate"/>
            </w:r>
            <w:r>
              <w:rPr>
                <w:noProof/>
                <w:webHidden/>
              </w:rPr>
              <w:t>2</w:t>
            </w:r>
            <w:r>
              <w:rPr>
                <w:noProof/>
                <w:webHidden/>
              </w:rPr>
              <w:fldChar w:fldCharType="end"/>
            </w:r>
          </w:hyperlink>
        </w:p>
        <w:p w14:paraId="7FF7F7C0" w14:textId="6873E3E7" w:rsidR="006816FE" w:rsidRDefault="006816FE">
          <w:pPr>
            <w:pStyle w:val="TOC2"/>
            <w:tabs>
              <w:tab w:val="right" w:leader="dot" w:pos="9396"/>
            </w:tabs>
            <w:rPr>
              <w:rFonts w:eastAsiaTheme="minorEastAsia"/>
              <w:noProof/>
              <w:sz w:val="22"/>
              <w:szCs w:val="22"/>
              <w:lang w:val="fr-FR" w:eastAsia="fr-FR"/>
            </w:rPr>
          </w:pPr>
          <w:hyperlink w:anchor="_Toc229131306" w:history="1">
            <w:r w:rsidRPr="006D0CA3">
              <w:rPr>
                <w:rStyle w:val="Hyperlink"/>
                <w:noProof/>
              </w:rPr>
              <w:t>II.2. Solutions industrielles historiques</w:t>
            </w:r>
            <w:r>
              <w:rPr>
                <w:noProof/>
                <w:webHidden/>
              </w:rPr>
              <w:tab/>
            </w:r>
            <w:r>
              <w:rPr>
                <w:noProof/>
                <w:webHidden/>
              </w:rPr>
              <w:fldChar w:fldCharType="begin"/>
            </w:r>
            <w:r>
              <w:rPr>
                <w:noProof/>
                <w:webHidden/>
              </w:rPr>
              <w:instrText xml:space="preserve"> PAGEREF _Toc229131306 \h </w:instrText>
            </w:r>
            <w:r>
              <w:rPr>
                <w:noProof/>
                <w:webHidden/>
              </w:rPr>
            </w:r>
            <w:r>
              <w:rPr>
                <w:noProof/>
                <w:webHidden/>
              </w:rPr>
              <w:fldChar w:fldCharType="separate"/>
            </w:r>
            <w:r>
              <w:rPr>
                <w:noProof/>
                <w:webHidden/>
              </w:rPr>
              <w:t>3</w:t>
            </w:r>
            <w:r>
              <w:rPr>
                <w:noProof/>
                <w:webHidden/>
              </w:rPr>
              <w:fldChar w:fldCharType="end"/>
            </w:r>
          </w:hyperlink>
        </w:p>
        <w:p w14:paraId="66E88958" w14:textId="6A529C11" w:rsidR="006816FE" w:rsidRDefault="006816FE">
          <w:pPr>
            <w:pStyle w:val="TOC3"/>
            <w:tabs>
              <w:tab w:val="right" w:leader="dot" w:pos="9396"/>
            </w:tabs>
            <w:rPr>
              <w:rFonts w:eastAsiaTheme="minorEastAsia"/>
              <w:noProof/>
              <w:sz w:val="22"/>
              <w:szCs w:val="22"/>
              <w:lang w:val="fr-FR" w:eastAsia="fr-FR"/>
            </w:rPr>
          </w:pPr>
          <w:hyperlink w:anchor="_Toc229131307" w:history="1">
            <w:r w:rsidRPr="006D0CA3">
              <w:rPr>
                <w:rStyle w:val="Hyperlink"/>
                <w:rFonts w:ascii="Times New Roman" w:hAnsi="Times New Roman" w:cs="Times New Roman"/>
                <w:noProof/>
              </w:rPr>
              <w:t>II.2.1. Détecteur de défaut de terre (EFD) à injection continue</w:t>
            </w:r>
            <w:r>
              <w:rPr>
                <w:noProof/>
                <w:webHidden/>
              </w:rPr>
              <w:tab/>
            </w:r>
            <w:r>
              <w:rPr>
                <w:noProof/>
                <w:webHidden/>
              </w:rPr>
              <w:fldChar w:fldCharType="begin"/>
            </w:r>
            <w:r>
              <w:rPr>
                <w:noProof/>
                <w:webHidden/>
              </w:rPr>
              <w:instrText xml:space="preserve"> PAGEREF _Toc229131307 \h </w:instrText>
            </w:r>
            <w:r>
              <w:rPr>
                <w:noProof/>
                <w:webHidden/>
              </w:rPr>
            </w:r>
            <w:r>
              <w:rPr>
                <w:noProof/>
                <w:webHidden/>
              </w:rPr>
              <w:fldChar w:fldCharType="separate"/>
            </w:r>
            <w:r>
              <w:rPr>
                <w:noProof/>
                <w:webHidden/>
              </w:rPr>
              <w:t>3</w:t>
            </w:r>
            <w:r>
              <w:rPr>
                <w:noProof/>
                <w:webHidden/>
              </w:rPr>
              <w:fldChar w:fldCharType="end"/>
            </w:r>
          </w:hyperlink>
        </w:p>
        <w:p w14:paraId="01E9D3E8" w14:textId="6A29BE1B" w:rsidR="006816FE" w:rsidRDefault="006816FE">
          <w:pPr>
            <w:pStyle w:val="TOC3"/>
            <w:tabs>
              <w:tab w:val="right" w:leader="dot" w:pos="9396"/>
            </w:tabs>
            <w:rPr>
              <w:rFonts w:eastAsiaTheme="minorEastAsia"/>
              <w:noProof/>
              <w:sz w:val="22"/>
              <w:szCs w:val="22"/>
              <w:lang w:val="fr-FR" w:eastAsia="fr-FR"/>
            </w:rPr>
          </w:pPr>
          <w:hyperlink w:anchor="_Toc229131308" w:history="1">
            <w:r w:rsidRPr="006D0CA3">
              <w:rPr>
                <w:rStyle w:val="Hyperlink"/>
                <w:rFonts w:ascii="Times New Roman" w:hAnsi="Times New Roman" w:cs="Times New Roman"/>
                <w:noProof/>
              </w:rPr>
              <w:t>II.2.2. Détecteur de lampe défaillante (LFD)</w:t>
            </w:r>
            <w:r>
              <w:rPr>
                <w:noProof/>
                <w:webHidden/>
              </w:rPr>
              <w:tab/>
            </w:r>
            <w:r>
              <w:rPr>
                <w:noProof/>
                <w:webHidden/>
              </w:rPr>
              <w:fldChar w:fldCharType="begin"/>
            </w:r>
            <w:r>
              <w:rPr>
                <w:noProof/>
                <w:webHidden/>
              </w:rPr>
              <w:instrText xml:space="preserve"> PAGEREF _Toc229131308 \h </w:instrText>
            </w:r>
            <w:r>
              <w:rPr>
                <w:noProof/>
                <w:webHidden/>
              </w:rPr>
            </w:r>
            <w:r>
              <w:rPr>
                <w:noProof/>
                <w:webHidden/>
              </w:rPr>
              <w:fldChar w:fldCharType="separate"/>
            </w:r>
            <w:r>
              <w:rPr>
                <w:noProof/>
                <w:webHidden/>
              </w:rPr>
              <w:t>4</w:t>
            </w:r>
            <w:r>
              <w:rPr>
                <w:noProof/>
                <w:webHidden/>
              </w:rPr>
              <w:fldChar w:fldCharType="end"/>
            </w:r>
          </w:hyperlink>
        </w:p>
        <w:p w14:paraId="02732415" w14:textId="42F826F5" w:rsidR="006816FE" w:rsidRDefault="006816FE">
          <w:pPr>
            <w:pStyle w:val="TOC3"/>
            <w:tabs>
              <w:tab w:val="right" w:leader="dot" w:pos="9396"/>
            </w:tabs>
            <w:rPr>
              <w:rFonts w:eastAsiaTheme="minorEastAsia"/>
              <w:noProof/>
              <w:sz w:val="22"/>
              <w:szCs w:val="22"/>
              <w:lang w:val="fr-FR" w:eastAsia="fr-FR"/>
            </w:rPr>
          </w:pPr>
          <w:hyperlink w:anchor="_Toc229131309" w:history="1">
            <w:r w:rsidRPr="006D0CA3">
              <w:rPr>
                <w:rStyle w:val="Hyperlink"/>
                <w:rFonts w:ascii="Times New Roman" w:hAnsi="Times New Roman" w:cs="Times New Roman"/>
                <w:noProof/>
                <w:lang w:val="fr-FR"/>
              </w:rPr>
              <w:t>II.2.3. Contrôle et surveillance individuelle à la lampe (ILCMS)</w:t>
            </w:r>
            <w:r>
              <w:rPr>
                <w:noProof/>
                <w:webHidden/>
              </w:rPr>
              <w:tab/>
            </w:r>
            <w:r>
              <w:rPr>
                <w:noProof/>
                <w:webHidden/>
              </w:rPr>
              <w:fldChar w:fldCharType="begin"/>
            </w:r>
            <w:r>
              <w:rPr>
                <w:noProof/>
                <w:webHidden/>
              </w:rPr>
              <w:instrText xml:space="preserve"> PAGEREF _Toc229131309 \h </w:instrText>
            </w:r>
            <w:r>
              <w:rPr>
                <w:noProof/>
                <w:webHidden/>
              </w:rPr>
            </w:r>
            <w:r>
              <w:rPr>
                <w:noProof/>
                <w:webHidden/>
              </w:rPr>
              <w:fldChar w:fldCharType="separate"/>
            </w:r>
            <w:r>
              <w:rPr>
                <w:noProof/>
                <w:webHidden/>
              </w:rPr>
              <w:t>4</w:t>
            </w:r>
            <w:r>
              <w:rPr>
                <w:noProof/>
                <w:webHidden/>
              </w:rPr>
              <w:fldChar w:fldCharType="end"/>
            </w:r>
          </w:hyperlink>
        </w:p>
        <w:p w14:paraId="163BE0F9" w14:textId="363BE264" w:rsidR="006816FE" w:rsidRDefault="006816FE">
          <w:pPr>
            <w:pStyle w:val="TOC3"/>
            <w:tabs>
              <w:tab w:val="right" w:leader="dot" w:pos="9396"/>
            </w:tabs>
            <w:rPr>
              <w:rFonts w:eastAsiaTheme="minorEastAsia"/>
              <w:noProof/>
              <w:sz w:val="22"/>
              <w:szCs w:val="22"/>
              <w:lang w:val="fr-FR" w:eastAsia="fr-FR"/>
            </w:rPr>
          </w:pPr>
          <w:hyperlink w:anchor="_Toc229131310" w:history="1">
            <w:r w:rsidRPr="006D0CA3">
              <w:rPr>
                <w:rStyle w:val="Hyperlink"/>
                <w:rFonts w:ascii="Times New Roman" w:hAnsi="Times New Roman" w:cs="Times New Roman"/>
                <w:noProof/>
              </w:rPr>
              <w:t>II.2.3. Synthèse industrielle</w:t>
            </w:r>
            <w:r>
              <w:rPr>
                <w:noProof/>
                <w:webHidden/>
              </w:rPr>
              <w:tab/>
            </w:r>
            <w:r>
              <w:rPr>
                <w:noProof/>
                <w:webHidden/>
              </w:rPr>
              <w:fldChar w:fldCharType="begin"/>
            </w:r>
            <w:r>
              <w:rPr>
                <w:noProof/>
                <w:webHidden/>
              </w:rPr>
              <w:instrText xml:space="preserve"> PAGEREF _Toc229131310 \h </w:instrText>
            </w:r>
            <w:r>
              <w:rPr>
                <w:noProof/>
                <w:webHidden/>
              </w:rPr>
            </w:r>
            <w:r>
              <w:rPr>
                <w:noProof/>
                <w:webHidden/>
              </w:rPr>
              <w:fldChar w:fldCharType="separate"/>
            </w:r>
            <w:r>
              <w:rPr>
                <w:noProof/>
                <w:webHidden/>
              </w:rPr>
              <w:t>6</w:t>
            </w:r>
            <w:r>
              <w:rPr>
                <w:noProof/>
                <w:webHidden/>
              </w:rPr>
              <w:fldChar w:fldCharType="end"/>
            </w:r>
          </w:hyperlink>
        </w:p>
        <w:p w14:paraId="1232626F" w14:textId="74FAB612" w:rsidR="006816FE" w:rsidRDefault="006816FE">
          <w:pPr>
            <w:pStyle w:val="TOC2"/>
            <w:tabs>
              <w:tab w:val="right" w:leader="dot" w:pos="9396"/>
            </w:tabs>
            <w:rPr>
              <w:rFonts w:eastAsiaTheme="minorEastAsia"/>
              <w:noProof/>
              <w:sz w:val="22"/>
              <w:szCs w:val="22"/>
              <w:lang w:val="fr-FR" w:eastAsia="fr-FR"/>
            </w:rPr>
          </w:pPr>
          <w:hyperlink w:anchor="_Toc229131311" w:history="1">
            <w:r w:rsidRPr="006D0CA3">
              <w:rPr>
                <w:rStyle w:val="Hyperlink"/>
                <w:noProof/>
              </w:rPr>
              <w:t>II.3. Analyse spectrale et traitement du signal</w:t>
            </w:r>
            <w:r>
              <w:rPr>
                <w:noProof/>
                <w:webHidden/>
              </w:rPr>
              <w:tab/>
            </w:r>
            <w:r>
              <w:rPr>
                <w:noProof/>
                <w:webHidden/>
              </w:rPr>
              <w:fldChar w:fldCharType="begin"/>
            </w:r>
            <w:r>
              <w:rPr>
                <w:noProof/>
                <w:webHidden/>
              </w:rPr>
              <w:instrText xml:space="preserve"> PAGEREF _Toc229131311 \h </w:instrText>
            </w:r>
            <w:r>
              <w:rPr>
                <w:noProof/>
                <w:webHidden/>
              </w:rPr>
            </w:r>
            <w:r>
              <w:rPr>
                <w:noProof/>
                <w:webHidden/>
              </w:rPr>
              <w:fldChar w:fldCharType="separate"/>
            </w:r>
            <w:r>
              <w:rPr>
                <w:noProof/>
                <w:webHidden/>
              </w:rPr>
              <w:t>6</w:t>
            </w:r>
            <w:r>
              <w:rPr>
                <w:noProof/>
                <w:webHidden/>
              </w:rPr>
              <w:fldChar w:fldCharType="end"/>
            </w:r>
          </w:hyperlink>
        </w:p>
        <w:p w14:paraId="31F6EE19" w14:textId="5A248B8A" w:rsidR="006816FE" w:rsidRDefault="006816FE">
          <w:pPr>
            <w:pStyle w:val="TOC3"/>
            <w:tabs>
              <w:tab w:val="right" w:leader="dot" w:pos="9396"/>
            </w:tabs>
            <w:rPr>
              <w:rFonts w:eastAsiaTheme="minorEastAsia"/>
              <w:noProof/>
              <w:sz w:val="22"/>
              <w:szCs w:val="22"/>
              <w:lang w:val="fr-FR" w:eastAsia="fr-FR"/>
            </w:rPr>
          </w:pPr>
          <w:hyperlink w:anchor="_Toc229131312" w:history="1">
            <w:r w:rsidRPr="006D0CA3">
              <w:rPr>
                <w:rStyle w:val="Hyperlink"/>
                <w:rFonts w:ascii="Times New Roman" w:hAnsi="Times New Roman" w:cs="Times New Roman"/>
                <w:noProof/>
              </w:rPr>
              <w:t>II.3.1. Transformée de Fourier et signature harmonique</w:t>
            </w:r>
            <w:r>
              <w:rPr>
                <w:noProof/>
                <w:webHidden/>
              </w:rPr>
              <w:tab/>
            </w:r>
            <w:r>
              <w:rPr>
                <w:noProof/>
                <w:webHidden/>
              </w:rPr>
              <w:fldChar w:fldCharType="begin"/>
            </w:r>
            <w:r>
              <w:rPr>
                <w:noProof/>
                <w:webHidden/>
              </w:rPr>
              <w:instrText xml:space="preserve"> PAGEREF _Toc229131312 \h </w:instrText>
            </w:r>
            <w:r>
              <w:rPr>
                <w:noProof/>
                <w:webHidden/>
              </w:rPr>
            </w:r>
            <w:r>
              <w:rPr>
                <w:noProof/>
                <w:webHidden/>
              </w:rPr>
              <w:fldChar w:fldCharType="separate"/>
            </w:r>
            <w:r>
              <w:rPr>
                <w:noProof/>
                <w:webHidden/>
              </w:rPr>
              <w:t>6</w:t>
            </w:r>
            <w:r>
              <w:rPr>
                <w:noProof/>
                <w:webHidden/>
              </w:rPr>
              <w:fldChar w:fldCharType="end"/>
            </w:r>
          </w:hyperlink>
        </w:p>
        <w:p w14:paraId="6918F816" w14:textId="1B6CF2E7" w:rsidR="006816FE" w:rsidRDefault="006816FE">
          <w:pPr>
            <w:pStyle w:val="TOC3"/>
            <w:tabs>
              <w:tab w:val="right" w:leader="dot" w:pos="9396"/>
            </w:tabs>
            <w:rPr>
              <w:rFonts w:eastAsiaTheme="minorEastAsia"/>
              <w:noProof/>
              <w:sz w:val="22"/>
              <w:szCs w:val="22"/>
              <w:lang w:val="fr-FR" w:eastAsia="fr-FR"/>
            </w:rPr>
          </w:pPr>
          <w:hyperlink w:anchor="_Toc229131313" w:history="1">
            <w:r w:rsidRPr="006D0CA3">
              <w:rPr>
                <w:rStyle w:val="Hyperlink"/>
                <w:rFonts w:ascii="Times New Roman" w:hAnsi="Times New Roman" w:cs="Times New Roman"/>
                <w:noProof/>
              </w:rPr>
              <w:t>II.3.2. Transformées temps-fréquence et ondelettes</w:t>
            </w:r>
            <w:r>
              <w:rPr>
                <w:noProof/>
                <w:webHidden/>
              </w:rPr>
              <w:tab/>
            </w:r>
            <w:r>
              <w:rPr>
                <w:noProof/>
                <w:webHidden/>
              </w:rPr>
              <w:fldChar w:fldCharType="begin"/>
            </w:r>
            <w:r>
              <w:rPr>
                <w:noProof/>
                <w:webHidden/>
              </w:rPr>
              <w:instrText xml:space="preserve"> PAGEREF _Toc229131313 \h </w:instrText>
            </w:r>
            <w:r>
              <w:rPr>
                <w:noProof/>
                <w:webHidden/>
              </w:rPr>
            </w:r>
            <w:r>
              <w:rPr>
                <w:noProof/>
                <w:webHidden/>
              </w:rPr>
              <w:fldChar w:fldCharType="separate"/>
            </w:r>
            <w:r>
              <w:rPr>
                <w:noProof/>
                <w:webHidden/>
              </w:rPr>
              <w:t>8</w:t>
            </w:r>
            <w:r>
              <w:rPr>
                <w:noProof/>
                <w:webHidden/>
              </w:rPr>
              <w:fldChar w:fldCharType="end"/>
            </w:r>
          </w:hyperlink>
        </w:p>
        <w:p w14:paraId="7DF244CC" w14:textId="6335E5CC" w:rsidR="006816FE" w:rsidRDefault="006816FE">
          <w:pPr>
            <w:pStyle w:val="TOC2"/>
            <w:tabs>
              <w:tab w:val="right" w:leader="dot" w:pos="9396"/>
            </w:tabs>
            <w:rPr>
              <w:rFonts w:eastAsiaTheme="minorEastAsia"/>
              <w:noProof/>
              <w:sz w:val="22"/>
              <w:szCs w:val="22"/>
              <w:lang w:val="fr-FR" w:eastAsia="fr-FR"/>
            </w:rPr>
          </w:pPr>
          <w:hyperlink w:anchor="_Toc229131314" w:history="1">
            <w:r w:rsidRPr="006D0CA3">
              <w:rPr>
                <w:rStyle w:val="Hyperlink"/>
                <w:noProof/>
              </w:rPr>
              <w:t>II.4. Méthodes de réflectométrie</w:t>
            </w:r>
            <w:r>
              <w:rPr>
                <w:noProof/>
                <w:webHidden/>
              </w:rPr>
              <w:tab/>
            </w:r>
            <w:r>
              <w:rPr>
                <w:noProof/>
                <w:webHidden/>
              </w:rPr>
              <w:fldChar w:fldCharType="begin"/>
            </w:r>
            <w:r>
              <w:rPr>
                <w:noProof/>
                <w:webHidden/>
              </w:rPr>
              <w:instrText xml:space="preserve"> PAGEREF _Toc229131314 \h </w:instrText>
            </w:r>
            <w:r>
              <w:rPr>
                <w:noProof/>
                <w:webHidden/>
              </w:rPr>
            </w:r>
            <w:r>
              <w:rPr>
                <w:noProof/>
                <w:webHidden/>
              </w:rPr>
              <w:fldChar w:fldCharType="separate"/>
            </w:r>
            <w:r>
              <w:rPr>
                <w:noProof/>
                <w:webHidden/>
              </w:rPr>
              <w:t>9</w:t>
            </w:r>
            <w:r>
              <w:rPr>
                <w:noProof/>
                <w:webHidden/>
              </w:rPr>
              <w:fldChar w:fldCharType="end"/>
            </w:r>
          </w:hyperlink>
        </w:p>
        <w:p w14:paraId="52463A06" w14:textId="250EEA66" w:rsidR="006816FE" w:rsidRDefault="006816FE">
          <w:pPr>
            <w:pStyle w:val="TOC3"/>
            <w:tabs>
              <w:tab w:val="right" w:leader="dot" w:pos="9396"/>
            </w:tabs>
            <w:rPr>
              <w:rFonts w:eastAsiaTheme="minorEastAsia"/>
              <w:noProof/>
              <w:sz w:val="22"/>
              <w:szCs w:val="22"/>
              <w:lang w:val="fr-FR" w:eastAsia="fr-FR"/>
            </w:rPr>
          </w:pPr>
          <w:hyperlink w:anchor="_Toc229131315" w:history="1">
            <w:r w:rsidRPr="006D0CA3">
              <w:rPr>
                <w:rStyle w:val="Hyperlink"/>
                <w:rFonts w:ascii="Times New Roman" w:hAnsi="Times New Roman" w:cs="Times New Roman"/>
                <w:noProof/>
              </w:rPr>
              <w:t>II.4.1. Réflectométrie dans le domaine temporel (TDR)</w:t>
            </w:r>
            <w:r>
              <w:rPr>
                <w:noProof/>
                <w:webHidden/>
              </w:rPr>
              <w:tab/>
            </w:r>
            <w:r>
              <w:rPr>
                <w:noProof/>
                <w:webHidden/>
              </w:rPr>
              <w:fldChar w:fldCharType="begin"/>
            </w:r>
            <w:r>
              <w:rPr>
                <w:noProof/>
                <w:webHidden/>
              </w:rPr>
              <w:instrText xml:space="preserve"> PAGEREF _Toc229131315 \h </w:instrText>
            </w:r>
            <w:r>
              <w:rPr>
                <w:noProof/>
                <w:webHidden/>
              </w:rPr>
            </w:r>
            <w:r>
              <w:rPr>
                <w:noProof/>
                <w:webHidden/>
              </w:rPr>
              <w:fldChar w:fldCharType="separate"/>
            </w:r>
            <w:r>
              <w:rPr>
                <w:noProof/>
                <w:webHidden/>
              </w:rPr>
              <w:t>9</w:t>
            </w:r>
            <w:r>
              <w:rPr>
                <w:noProof/>
                <w:webHidden/>
              </w:rPr>
              <w:fldChar w:fldCharType="end"/>
            </w:r>
          </w:hyperlink>
        </w:p>
        <w:p w14:paraId="6B2CD204" w14:textId="243A5B12" w:rsidR="006816FE" w:rsidRDefault="006816FE">
          <w:pPr>
            <w:pStyle w:val="TOC3"/>
            <w:tabs>
              <w:tab w:val="right" w:leader="dot" w:pos="9396"/>
            </w:tabs>
            <w:rPr>
              <w:rFonts w:eastAsiaTheme="minorEastAsia"/>
              <w:noProof/>
              <w:sz w:val="22"/>
              <w:szCs w:val="22"/>
              <w:lang w:val="fr-FR" w:eastAsia="fr-FR"/>
            </w:rPr>
          </w:pPr>
          <w:hyperlink w:anchor="_Toc229131316" w:history="1">
            <w:r w:rsidRPr="006D0CA3">
              <w:rPr>
                <w:rStyle w:val="Hyperlink"/>
                <w:rFonts w:ascii="Times New Roman" w:hAnsi="Times New Roman" w:cs="Times New Roman"/>
                <w:noProof/>
              </w:rPr>
              <w:t>II.4.2. Réflectométrie dans le domaine fréquentiel (FDR)</w:t>
            </w:r>
            <w:r>
              <w:rPr>
                <w:noProof/>
                <w:webHidden/>
              </w:rPr>
              <w:tab/>
            </w:r>
            <w:r>
              <w:rPr>
                <w:noProof/>
                <w:webHidden/>
              </w:rPr>
              <w:fldChar w:fldCharType="begin"/>
            </w:r>
            <w:r>
              <w:rPr>
                <w:noProof/>
                <w:webHidden/>
              </w:rPr>
              <w:instrText xml:space="preserve"> PAGEREF _Toc229131316 \h </w:instrText>
            </w:r>
            <w:r>
              <w:rPr>
                <w:noProof/>
                <w:webHidden/>
              </w:rPr>
            </w:r>
            <w:r>
              <w:rPr>
                <w:noProof/>
                <w:webHidden/>
              </w:rPr>
              <w:fldChar w:fldCharType="separate"/>
            </w:r>
            <w:r>
              <w:rPr>
                <w:noProof/>
                <w:webHidden/>
              </w:rPr>
              <w:t>10</w:t>
            </w:r>
            <w:r>
              <w:rPr>
                <w:noProof/>
                <w:webHidden/>
              </w:rPr>
              <w:fldChar w:fldCharType="end"/>
            </w:r>
          </w:hyperlink>
        </w:p>
        <w:p w14:paraId="3181DB7D" w14:textId="551BC627" w:rsidR="006816FE" w:rsidRDefault="006816FE">
          <w:pPr>
            <w:pStyle w:val="TOC3"/>
            <w:tabs>
              <w:tab w:val="right" w:leader="dot" w:pos="9396"/>
            </w:tabs>
            <w:rPr>
              <w:rFonts w:eastAsiaTheme="minorEastAsia"/>
              <w:noProof/>
              <w:sz w:val="22"/>
              <w:szCs w:val="22"/>
              <w:lang w:val="fr-FR" w:eastAsia="fr-FR"/>
            </w:rPr>
          </w:pPr>
          <w:hyperlink w:anchor="_Toc229131317" w:history="1">
            <w:r w:rsidRPr="006D0CA3">
              <w:rPr>
                <w:rStyle w:val="Hyperlink"/>
                <w:rFonts w:ascii="Times New Roman" w:hAnsi="Times New Roman" w:cs="Times New Roman"/>
                <w:noProof/>
              </w:rPr>
              <w:t>II.4.3. Réflectométrie multi-porteuse (MCTDR)</w:t>
            </w:r>
            <w:r>
              <w:rPr>
                <w:noProof/>
                <w:webHidden/>
              </w:rPr>
              <w:tab/>
            </w:r>
            <w:r>
              <w:rPr>
                <w:noProof/>
                <w:webHidden/>
              </w:rPr>
              <w:fldChar w:fldCharType="begin"/>
            </w:r>
            <w:r>
              <w:rPr>
                <w:noProof/>
                <w:webHidden/>
              </w:rPr>
              <w:instrText xml:space="preserve"> PAGEREF _Toc229131317 \h </w:instrText>
            </w:r>
            <w:r>
              <w:rPr>
                <w:noProof/>
                <w:webHidden/>
              </w:rPr>
            </w:r>
            <w:r>
              <w:rPr>
                <w:noProof/>
                <w:webHidden/>
              </w:rPr>
              <w:fldChar w:fldCharType="separate"/>
            </w:r>
            <w:r>
              <w:rPr>
                <w:noProof/>
                <w:webHidden/>
              </w:rPr>
              <w:t>10</w:t>
            </w:r>
            <w:r>
              <w:rPr>
                <w:noProof/>
                <w:webHidden/>
              </w:rPr>
              <w:fldChar w:fldCharType="end"/>
            </w:r>
          </w:hyperlink>
        </w:p>
        <w:p w14:paraId="5DCE23F3" w14:textId="7D172C80" w:rsidR="006816FE" w:rsidRDefault="006816FE">
          <w:pPr>
            <w:pStyle w:val="TOC2"/>
            <w:tabs>
              <w:tab w:val="right" w:leader="dot" w:pos="9396"/>
            </w:tabs>
            <w:rPr>
              <w:rFonts w:eastAsiaTheme="minorEastAsia"/>
              <w:noProof/>
              <w:sz w:val="22"/>
              <w:szCs w:val="22"/>
              <w:lang w:val="fr-FR" w:eastAsia="fr-FR"/>
            </w:rPr>
          </w:pPr>
          <w:hyperlink w:anchor="_Toc229131318" w:history="1">
            <w:r w:rsidRPr="006D0CA3">
              <w:rPr>
                <w:rStyle w:val="Hyperlink"/>
                <w:noProof/>
              </w:rPr>
              <w:t>II.5. Localisation à source unique : le verrou scientifique</w:t>
            </w:r>
            <w:r>
              <w:rPr>
                <w:noProof/>
                <w:webHidden/>
              </w:rPr>
              <w:tab/>
            </w:r>
            <w:r>
              <w:rPr>
                <w:noProof/>
                <w:webHidden/>
              </w:rPr>
              <w:fldChar w:fldCharType="begin"/>
            </w:r>
            <w:r>
              <w:rPr>
                <w:noProof/>
                <w:webHidden/>
              </w:rPr>
              <w:instrText xml:space="preserve"> PAGEREF _Toc229131318 \h </w:instrText>
            </w:r>
            <w:r>
              <w:rPr>
                <w:noProof/>
                <w:webHidden/>
              </w:rPr>
            </w:r>
            <w:r>
              <w:rPr>
                <w:noProof/>
                <w:webHidden/>
              </w:rPr>
              <w:fldChar w:fldCharType="separate"/>
            </w:r>
            <w:r>
              <w:rPr>
                <w:noProof/>
                <w:webHidden/>
              </w:rPr>
              <w:t>11</w:t>
            </w:r>
            <w:r>
              <w:rPr>
                <w:noProof/>
                <w:webHidden/>
              </w:rPr>
              <w:fldChar w:fldCharType="end"/>
            </w:r>
          </w:hyperlink>
        </w:p>
        <w:p w14:paraId="4845FD70" w14:textId="43E3D35E" w:rsidR="006816FE" w:rsidRDefault="006816FE">
          <w:pPr>
            <w:pStyle w:val="TOC3"/>
            <w:tabs>
              <w:tab w:val="right" w:leader="dot" w:pos="9396"/>
            </w:tabs>
            <w:rPr>
              <w:rFonts w:eastAsiaTheme="minorEastAsia"/>
              <w:noProof/>
              <w:sz w:val="22"/>
              <w:szCs w:val="22"/>
              <w:lang w:val="fr-FR" w:eastAsia="fr-FR"/>
            </w:rPr>
          </w:pPr>
          <w:hyperlink w:anchor="_Toc229131319" w:history="1">
            <w:r w:rsidRPr="006D0CA3">
              <w:rPr>
                <w:rStyle w:val="Hyperlink"/>
                <w:rFonts w:ascii="Times New Roman" w:hAnsi="Times New Roman" w:cs="Times New Roman"/>
                <w:noProof/>
              </w:rPr>
              <w:t>II.5.1. Position du problème</w:t>
            </w:r>
            <w:r>
              <w:rPr>
                <w:noProof/>
                <w:webHidden/>
              </w:rPr>
              <w:tab/>
            </w:r>
            <w:r>
              <w:rPr>
                <w:noProof/>
                <w:webHidden/>
              </w:rPr>
              <w:fldChar w:fldCharType="begin"/>
            </w:r>
            <w:r>
              <w:rPr>
                <w:noProof/>
                <w:webHidden/>
              </w:rPr>
              <w:instrText xml:space="preserve"> PAGEREF _Toc229131319 \h </w:instrText>
            </w:r>
            <w:r>
              <w:rPr>
                <w:noProof/>
                <w:webHidden/>
              </w:rPr>
            </w:r>
            <w:r>
              <w:rPr>
                <w:noProof/>
                <w:webHidden/>
              </w:rPr>
              <w:fldChar w:fldCharType="separate"/>
            </w:r>
            <w:r>
              <w:rPr>
                <w:noProof/>
                <w:webHidden/>
              </w:rPr>
              <w:t>11</w:t>
            </w:r>
            <w:r>
              <w:rPr>
                <w:noProof/>
                <w:webHidden/>
              </w:rPr>
              <w:fldChar w:fldCharType="end"/>
            </w:r>
          </w:hyperlink>
        </w:p>
        <w:p w14:paraId="40189B90" w14:textId="6B536736" w:rsidR="006816FE" w:rsidRDefault="006816FE">
          <w:pPr>
            <w:pStyle w:val="TOC3"/>
            <w:tabs>
              <w:tab w:val="right" w:leader="dot" w:pos="9396"/>
            </w:tabs>
            <w:rPr>
              <w:rFonts w:eastAsiaTheme="minorEastAsia"/>
              <w:noProof/>
              <w:sz w:val="22"/>
              <w:szCs w:val="22"/>
              <w:lang w:val="fr-FR" w:eastAsia="fr-FR"/>
            </w:rPr>
          </w:pPr>
          <w:hyperlink w:anchor="_Toc229131320" w:history="1">
            <w:r w:rsidRPr="006D0CA3">
              <w:rPr>
                <w:rStyle w:val="Hyperlink"/>
                <w:rFonts w:ascii="Times New Roman" w:hAnsi="Times New Roman" w:cs="Times New Roman"/>
                <w:noProof/>
              </w:rPr>
              <w:t>II.5.2. Formulation impédance</w:t>
            </w:r>
            <w:r>
              <w:rPr>
                <w:noProof/>
                <w:webHidden/>
              </w:rPr>
              <w:tab/>
            </w:r>
            <w:r>
              <w:rPr>
                <w:noProof/>
                <w:webHidden/>
              </w:rPr>
              <w:fldChar w:fldCharType="begin"/>
            </w:r>
            <w:r>
              <w:rPr>
                <w:noProof/>
                <w:webHidden/>
              </w:rPr>
              <w:instrText xml:space="preserve"> PAGEREF _Toc229131320 \h </w:instrText>
            </w:r>
            <w:r>
              <w:rPr>
                <w:noProof/>
                <w:webHidden/>
              </w:rPr>
            </w:r>
            <w:r>
              <w:rPr>
                <w:noProof/>
                <w:webHidden/>
              </w:rPr>
              <w:fldChar w:fldCharType="separate"/>
            </w:r>
            <w:r>
              <w:rPr>
                <w:noProof/>
                <w:webHidden/>
              </w:rPr>
              <w:t>11</w:t>
            </w:r>
            <w:r>
              <w:rPr>
                <w:noProof/>
                <w:webHidden/>
              </w:rPr>
              <w:fldChar w:fldCharType="end"/>
            </w:r>
          </w:hyperlink>
        </w:p>
        <w:p w14:paraId="0B14B00B" w14:textId="55209DFD" w:rsidR="006816FE" w:rsidRDefault="006816FE">
          <w:pPr>
            <w:pStyle w:val="TOC3"/>
            <w:tabs>
              <w:tab w:val="right" w:leader="dot" w:pos="9396"/>
            </w:tabs>
            <w:rPr>
              <w:rFonts w:eastAsiaTheme="minorEastAsia"/>
              <w:noProof/>
              <w:sz w:val="22"/>
              <w:szCs w:val="22"/>
              <w:lang w:val="fr-FR" w:eastAsia="fr-FR"/>
            </w:rPr>
          </w:pPr>
          <w:hyperlink w:anchor="_Toc229131321" w:history="1">
            <w:r w:rsidRPr="006D0CA3">
              <w:rPr>
                <w:rStyle w:val="Hyperlink"/>
                <w:rFonts w:ascii="Times New Roman" w:hAnsi="Times New Roman" w:cs="Times New Roman"/>
                <w:noProof/>
              </w:rPr>
              <w:t>I.5.3. Travaux existants</w:t>
            </w:r>
            <w:r>
              <w:rPr>
                <w:noProof/>
                <w:webHidden/>
              </w:rPr>
              <w:tab/>
            </w:r>
            <w:r>
              <w:rPr>
                <w:noProof/>
                <w:webHidden/>
              </w:rPr>
              <w:fldChar w:fldCharType="begin"/>
            </w:r>
            <w:r>
              <w:rPr>
                <w:noProof/>
                <w:webHidden/>
              </w:rPr>
              <w:instrText xml:space="preserve"> PAGEREF _Toc229131321 \h </w:instrText>
            </w:r>
            <w:r>
              <w:rPr>
                <w:noProof/>
                <w:webHidden/>
              </w:rPr>
            </w:r>
            <w:r>
              <w:rPr>
                <w:noProof/>
                <w:webHidden/>
              </w:rPr>
              <w:fldChar w:fldCharType="separate"/>
            </w:r>
            <w:r>
              <w:rPr>
                <w:noProof/>
                <w:webHidden/>
              </w:rPr>
              <w:t>12</w:t>
            </w:r>
            <w:r>
              <w:rPr>
                <w:noProof/>
                <w:webHidden/>
              </w:rPr>
              <w:fldChar w:fldCharType="end"/>
            </w:r>
          </w:hyperlink>
        </w:p>
        <w:p w14:paraId="33B24979" w14:textId="10D74A44" w:rsidR="006816FE" w:rsidRDefault="006816FE">
          <w:pPr>
            <w:pStyle w:val="TOC3"/>
            <w:tabs>
              <w:tab w:val="right" w:leader="dot" w:pos="9396"/>
            </w:tabs>
            <w:rPr>
              <w:rFonts w:eastAsiaTheme="minorEastAsia"/>
              <w:noProof/>
              <w:sz w:val="22"/>
              <w:szCs w:val="22"/>
              <w:lang w:val="fr-FR" w:eastAsia="fr-FR"/>
            </w:rPr>
          </w:pPr>
          <w:hyperlink w:anchor="_Toc229131322" w:history="1">
            <w:r w:rsidRPr="006D0CA3">
              <w:rPr>
                <w:rStyle w:val="Hyperlink"/>
                <w:rFonts w:ascii="Times New Roman" w:hAnsi="Times New Roman" w:cs="Times New Roman"/>
                <w:noProof/>
              </w:rPr>
              <w:t>II.5.4. Tradeoffs</w:t>
            </w:r>
            <w:r>
              <w:rPr>
                <w:noProof/>
                <w:webHidden/>
              </w:rPr>
              <w:tab/>
            </w:r>
            <w:r>
              <w:rPr>
                <w:noProof/>
                <w:webHidden/>
              </w:rPr>
              <w:fldChar w:fldCharType="begin"/>
            </w:r>
            <w:r>
              <w:rPr>
                <w:noProof/>
                <w:webHidden/>
              </w:rPr>
              <w:instrText xml:space="preserve"> PAGEREF _Toc229131322 \h </w:instrText>
            </w:r>
            <w:r>
              <w:rPr>
                <w:noProof/>
                <w:webHidden/>
              </w:rPr>
            </w:r>
            <w:r>
              <w:rPr>
                <w:noProof/>
                <w:webHidden/>
              </w:rPr>
              <w:fldChar w:fldCharType="separate"/>
            </w:r>
            <w:r>
              <w:rPr>
                <w:noProof/>
                <w:webHidden/>
              </w:rPr>
              <w:t>13</w:t>
            </w:r>
            <w:r>
              <w:rPr>
                <w:noProof/>
                <w:webHidden/>
              </w:rPr>
              <w:fldChar w:fldCharType="end"/>
            </w:r>
          </w:hyperlink>
        </w:p>
        <w:p w14:paraId="59B978A1" w14:textId="13B2229C" w:rsidR="006816FE" w:rsidRDefault="006816FE">
          <w:pPr>
            <w:pStyle w:val="TOC2"/>
            <w:tabs>
              <w:tab w:val="right" w:leader="dot" w:pos="9396"/>
            </w:tabs>
            <w:rPr>
              <w:rFonts w:eastAsiaTheme="minorEastAsia"/>
              <w:noProof/>
              <w:sz w:val="22"/>
              <w:szCs w:val="22"/>
              <w:lang w:val="fr-FR" w:eastAsia="fr-FR"/>
            </w:rPr>
          </w:pPr>
          <w:hyperlink w:anchor="_Toc229131323" w:history="1">
            <w:r w:rsidRPr="006D0CA3">
              <w:rPr>
                <w:rStyle w:val="Hyperlink"/>
                <w:noProof/>
              </w:rPr>
              <w:t>II.6. Apprentissage automatique ciblé</w:t>
            </w:r>
            <w:r>
              <w:rPr>
                <w:noProof/>
                <w:webHidden/>
              </w:rPr>
              <w:tab/>
            </w:r>
            <w:r>
              <w:rPr>
                <w:noProof/>
                <w:webHidden/>
              </w:rPr>
              <w:fldChar w:fldCharType="begin"/>
            </w:r>
            <w:r>
              <w:rPr>
                <w:noProof/>
                <w:webHidden/>
              </w:rPr>
              <w:instrText xml:space="preserve"> PAGEREF _Toc229131323 \h </w:instrText>
            </w:r>
            <w:r>
              <w:rPr>
                <w:noProof/>
                <w:webHidden/>
              </w:rPr>
            </w:r>
            <w:r>
              <w:rPr>
                <w:noProof/>
                <w:webHidden/>
              </w:rPr>
              <w:fldChar w:fldCharType="separate"/>
            </w:r>
            <w:r>
              <w:rPr>
                <w:noProof/>
                <w:webHidden/>
              </w:rPr>
              <w:t>14</w:t>
            </w:r>
            <w:r>
              <w:rPr>
                <w:noProof/>
                <w:webHidden/>
              </w:rPr>
              <w:fldChar w:fldCharType="end"/>
            </w:r>
          </w:hyperlink>
        </w:p>
        <w:p w14:paraId="3B5591E1" w14:textId="2717F7E2" w:rsidR="006816FE" w:rsidRDefault="006816FE">
          <w:pPr>
            <w:pStyle w:val="TOC3"/>
            <w:tabs>
              <w:tab w:val="right" w:leader="dot" w:pos="9396"/>
            </w:tabs>
            <w:rPr>
              <w:rFonts w:eastAsiaTheme="minorEastAsia"/>
              <w:noProof/>
              <w:sz w:val="22"/>
              <w:szCs w:val="22"/>
              <w:lang w:val="fr-FR" w:eastAsia="fr-FR"/>
            </w:rPr>
          </w:pPr>
          <w:hyperlink w:anchor="_Toc229131324" w:history="1">
            <w:r w:rsidRPr="006D0CA3">
              <w:rPr>
                <w:rStyle w:val="Hyperlink"/>
                <w:rFonts w:ascii="Times New Roman" w:hAnsi="Times New Roman" w:cs="Times New Roman"/>
                <w:noProof/>
              </w:rPr>
              <w:t>II.6.1. Positionnement</w:t>
            </w:r>
            <w:r>
              <w:rPr>
                <w:noProof/>
                <w:webHidden/>
              </w:rPr>
              <w:tab/>
            </w:r>
            <w:r>
              <w:rPr>
                <w:noProof/>
                <w:webHidden/>
              </w:rPr>
              <w:fldChar w:fldCharType="begin"/>
            </w:r>
            <w:r>
              <w:rPr>
                <w:noProof/>
                <w:webHidden/>
              </w:rPr>
              <w:instrText xml:space="preserve"> PAGEREF _Toc229131324 \h </w:instrText>
            </w:r>
            <w:r>
              <w:rPr>
                <w:noProof/>
                <w:webHidden/>
              </w:rPr>
            </w:r>
            <w:r>
              <w:rPr>
                <w:noProof/>
                <w:webHidden/>
              </w:rPr>
              <w:fldChar w:fldCharType="separate"/>
            </w:r>
            <w:r>
              <w:rPr>
                <w:noProof/>
                <w:webHidden/>
              </w:rPr>
              <w:t>14</w:t>
            </w:r>
            <w:r>
              <w:rPr>
                <w:noProof/>
                <w:webHidden/>
              </w:rPr>
              <w:fldChar w:fldCharType="end"/>
            </w:r>
          </w:hyperlink>
        </w:p>
        <w:p w14:paraId="5CCA32F6" w14:textId="5F4EF3D2" w:rsidR="006816FE" w:rsidRDefault="006816FE">
          <w:pPr>
            <w:pStyle w:val="TOC3"/>
            <w:tabs>
              <w:tab w:val="right" w:leader="dot" w:pos="9396"/>
            </w:tabs>
            <w:rPr>
              <w:rFonts w:eastAsiaTheme="minorEastAsia"/>
              <w:noProof/>
              <w:sz w:val="22"/>
              <w:szCs w:val="22"/>
              <w:lang w:val="fr-FR" w:eastAsia="fr-FR"/>
            </w:rPr>
          </w:pPr>
          <w:hyperlink w:anchor="_Toc229131325" w:history="1">
            <w:r w:rsidRPr="006D0CA3">
              <w:rPr>
                <w:rStyle w:val="Hyperlink"/>
                <w:rFonts w:ascii="Times New Roman" w:hAnsi="Times New Roman" w:cs="Times New Roman"/>
                <w:noProof/>
              </w:rPr>
              <w:t>II.6.2. Forêts aléatoires et SVM sur caractéristiques spectrales</w:t>
            </w:r>
            <w:r>
              <w:rPr>
                <w:noProof/>
                <w:webHidden/>
              </w:rPr>
              <w:tab/>
            </w:r>
            <w:r>
              <w:rPr>
                <w:noProof/>
                <w:webHidden/>
              </w:rPr>
              <w:fldChar w:fldCharType="begin"/>
            </w:r>
            <w:r>
              <w:rPr>
                <w:noProof/>
                <w:webHidden/>
              </w:rPr>
              <w:instrText xml:space="preserve"> PAGEREF _Toc229131325 \h </w:instrText>
            </w:r>
            <w:r>
              <w:rPr>
                <w:noProof/>
                <w:webHidden/>
              </w:rPr>
            </w:r>
            <w:r>
              <w:rPr>
                <w:noProof/>
                <w:webHidden/>
              </w:rPr>
              <w:fldChar w:fldCharType="separate"/>
            </w:r>
            <w:r>
              <w:rPr>
                <w:noProof/>
                <w:webHidden/>
              </w:rPr>
              <w:t>14</w:t>
            </w:r>
            <w:r>
              <w:rPr>
                <w:noProof/>
                <w:webHidden/>
              </w:rPr>
              <w:fldChar w:fldCharType="end"/>
            </w:r>
          </w:hyperlink>
        </w:p>
        <w:p w14:paraId="5411F97B" w14:textId="26F50C7B" w:rsidR="006816FE" w:rsidRDefault="006816FE">
          <w:pPr>
            <w:pStyle w:val="TOC3"/>
            <w:tabs>
              <w:tab w:val="right" w:leader="dot" w:pos="9396"/>
            </w:tabs>
            <w:rPr>
              <w:rFonts w:eastAsiaTheme="minorEastAsia"/>
              <w:noProof/>
              <w:sz w:val="22"/>
              <w:szCs w:val="22"/>
              <w:lang w:val="fr-FR" w:eastAsia="fr-FR"/>
            </w:rPr>
          </w:pPr>
          <w:hyperlink w:anchor="_Toc229131326" w:history="1">
            <w:r w:rsidRPr="006D0CA3">
              <w:rPr>
                <w:rStyle w:val="Hyperlink"/>
                <w:rFonts w:ascii="Times New Roman" w:hAnsi="Times New Roman" w:cs="Times New Roman"/>
                <w:noProof/>
              </w:rPr>
              <w:t>II.6.3. CNN 1D pour extraction automatique de caractéristiques</w:t>
            </w:r>
            <w:r>
              <w:rPr>
                <w:noProof/>
                <w:webHidden/>
              </w:rPr>
              <w:tab/>
            </w:r>
            <w:r>
              <w:rPr>
                <w:noProof/>
                <w:webHidden/>
              </w:rPr>
              <w:fldChar w:fldCharType="begin"/>
            </w:r>
            <w:r>
              <w:rPr>
                <w:noProof/>
                <w:webHidden/>
              </w:rPr>
              <w:instrText xml:space="preserve"> PAGEREF _Toc229131326 \h </w:instrText>
            </w:r>
            <w:r>
              <w:rPr>
                <w:noProof/>
                <w:webHidden/>
              </w:rPr>
            </w:r>
            <w:r>
              <w:rPr>
                <w:noProof/>
                <w:webHidden/>
              </w:rPr>
              <w:fldChar w:fldCharType="separate"/>
            </w:r>
            <w:r>
              <w:rPr>
                <w:noProof/>
                <w:webHidden/>
              </w:rPr>
              <w:t>15</w:t>
            </w:r>
            <w:r>
              <w:rPr>
                <w:noProof/>
                <w:webHidden/>
              </w:rPr>
              <w:fldChar w:fldCharType="end"/>
            </w:r>
          </w:hyperlink>
        </w:p>
        <w:p w14:paraId="509CD606" w14:textId="669554A9" w:rsidR="006816FE" w:rsidRDefault="006816FE">
          <w:pPr>
            <w:pStyle w:val="TOC3"/>
            <w:tabs>
              <w:tab w:val="right" w:leader="dot" w:pos="9396"/>
            </w:tabs>
            <w:rPr>
              <w:rFonts w:eastAsiaTheme="minorEastAsia"/>
              <w:noProof/>
              <w:sz w:val="22"/>
              <w:szCs w:val="22"/>
              <w:lang w:val="fr-FR" w:eastAsia="fr-FR"/>
            </w:rPr>
          </w:pPr>
          <w:hyperlink w:anchor="_Toc229131327" w:history="1">
            <w:r w:rsidRPr="006D0CA3">
              <w:rPr>
                <w:rStyle w:val="Hyperlink"/>
                <w:rFonts w:ascii="Times New Roman" w:hAnsi="Times New Roman" w:cs="Times New Roman"/>
                <w:noProof/>
              </w:rPr>
              <w:t>II.6.4. Détection d’anomalie : One-Class SVM et autoencodeurs</w:t>
            </w:r>
            <w:r>
              <w:rPr>
                <w:noProof/>
                <w:webHidden/>
              </w:rPr>
              <w:tab/>
            </w:r>
            <w:r>
              <w:rPr>
                <w:noProof/>
                <w:webHidden/>
              </w:rPr>
              <w:fldChar w:fldCharType="begin"/>
            </w:r>
            <w:r>
              <w:rPr>
                <w:noProof/>
                <w:webHidden/>
              </w:rPr>
              <w:instrText xml:space="preserve"> PAGEREF _Toc229131327 \h </w:instrText>
            </w:r>
            <w:r>
              <w:rPr>
                <w:noProof/>
                <w:webHidden/>
              </w:rPr>
            </w:r>
            <w:r>
              <w:rPr>
                <w:noProof/>
                <w:webHidden/>
              </w:rPr>
              <w:fldChar w:fldCharType="separate"/>
            </w:r>
            <w:r>
              <w:rPr>
                <w:noProof/>
                <w:webHidden/>
              </w:rPr>
              <w:t>16</w:t>
            </w:r>
            <w:r>
              <w:rPr>
                <w:noProof/>
                <w:webHidden/>
              </w:rPr>
              <w:fldChar w:fldCharType="end"/>
            </w:r>
          </w:hyperlink>
        </w:p>
        <w:p w14:paraId="2BCB8510" w14:textId="70D7CBB0" w:rsidR="006816FE" w:rsidRDefault="006816FE">
          <w:pPr>
            <w:pStyle w:val="TOC2"/>
            <w:tabs>
              <w:tab w:val="right" w:leader="dot" w:pos="9396"/>
            </w:tabs>
            <w:rPr>
              <w:rFonts w:eastAsiaTheme="minorEastAsia"/>
              <w:noProof/>
              <w:sz w:val="22"/>
              <w:szCs w:val="22"/>
              <w:lang w:val="fr-FR" w:eastAsia="fr-FR"/>
            </w:rPr>
          </w:pPr>
          <w:hyperlink w:anchor="_Toc229131328" w:history="1">
            <w:r w:rsidRPr="006D0CA3">
              <w:rPr>
                <w:rStyle w:val="Hyperlink"/>
                <w:noProof/>
              </w:rPr>
              <w:t>II.7. Jumeau numérique et approches hybrides</w:t>
            </w:r>
            <w:r>
              <w:rPr>
                <w:noProof/>
                <w:webHidden/>
              </w:rPr>
              <w:tab/>
            </w:r>
            <w:r>
              <w:rPr>
                <w:noProof/>
                <w:webHidden/>
              </w:rPr>
              <w:fldChar w:fldCharType="begin"/>
            </w:r>
            <w:r>
              <w:rPr>
                <w:noProof/>
                <w:webHidden/>
              </w:rPr>
              <w:instrText xml:space="preserve"> PAGEREF _Toc229131328 \h </w:instrText>
            </w:r>
            <w:r>
              <w:rPr>
                <w:noProof/>
                <w:webHidden/>
              </w:rPr>
            </w:r>
            <w:r>
              <w:rPr>
                <w:noProof/>
                <w:webHidden/>
              </w:rPr>
              <w:fldChar w:fldCharType="separate"/>
            </w:r>
            <w:r>
              <w:rPr>
                <w:noProof/>
                <w:webHidden/>
              </w:rPr>
              <w:t>16</w:t>
            </w:r>
            <w:r>
              <w:rPr>
                <w:noProof/>
                <w:webHidden/>
              </w:rPr>
              <w:fldChar w:fldCharType="end"/>
            </w:r>
          </w:hyperlink>
        </w:p>
        <w:p w14:paraId="39BC8B55" w14:textId="052AC2E2" w:rsidR="006816FE" w:rsidRDefault="006816FE">
          <w:pPr>
            <w:pStyle w:val="TOC3"/>
            <w:tabs>
              <w:tab w:val="right" w:leader="dot" w:pos="9396"/>
            </w:tabs>
            <w:rPr>
              <w:rFonts w:eastAsiaTheme="minorEastAsia"/>
              <w:noProof/>
              <w:sz w:val="22"/>
              <w:szCs w:val="22"/>
              <w:lang w:val="fr-FR" w:eastAsia="fr-FR"/>
            </w:rPr>
          </w:pPr>
          <w:hyperlink w:anchor="_Toc229131329" w:history="1">
            <w:r w:rsidRPr="006D0CA3">
              <w:rPr>
                <w:rStyle w:val="Hyperlink"/>
                <w:rFonts w:ascii="Times New Roman" w:hAnsi="Times New Roman" w:cs="Times New Roman"/>
                <w:noProof/>
              </w:rPr>
              <w:t>II.7.1. Principe</w:t>
            </w:r>
            <w:r>
              <w:rPr>
                <w:noProof/>
                <w:webHidden/>
              </w:rPr>
              <w:tab/>
            </w:r>
            <w:r>
              <w:rPr>
                <w:noProof/>
                <w:webHidden/>
              </w:rPr>
              <w:fldChar w:fldCharType="begin"/>
            </w:r>
            <w:r>
              <w:rPr>
                <w:noProof/>
                <w:webHidden/>
              </w:rPr>
              <w:instrText xml:space="preserve"> PAGEREF _Toc229131329 \h </w:instrText>
            </w:r>
            <w:r>
              <w:rPr>
                <w:noProof/>
                <w:webHidden/>
              </w:rPr>
            </w:r>
            <w:r>
              <w:rPr>
                <w:noProof/>
                <w:webHidden/>
              </w:rPr>
              <w:fldChar w:fldCharType="separate"/>
            </w:r>
            <w:r>
              <w:rPr>
                <w:noProof/>
                <w:webHidden/>
              </w:rPr>
              <w:t>16</w:t>
            </w:r>
            <w:r>
              <w:rPr>
                <w:noProof/>
                <w:webHidden/>
              </w:rPr>
              <w:fldChar w:fldCharType="end"/>
            </w:r>
          </w:hyperlink>
        </w:p>
        <w:p w14:paraId="113A1186" w14:textId="11BFD99D" w:rsidR="006816FE" w:rsidRDefault="006816FE">
          <w:pPr>
            <w:pStyle w:val="TOC3"/>
            <w:tabs>
              <w:tab w:val="right" w:leader="dot" w:pos="9396"/>
            </w:tabs>
            <w:rPr>
              <w:rFonts w:eastAsiaTheme="minorEastAsia"/>
              <w:noProof/>
              <w:sz w:val="22"/>
              <w:szCs w:val="22"/>
              <w:lang w:val="fr-FR" w:eastAsia="fr-FR"/>
            </w:rPr>
          </w:pPr>
          <w:hyperlink w:anchor="_Toc229131330" w:history="1">
            <w:r w:rsidRPr="006D0CA3">
              <w:rPr>
                <w:rStyle w:val="Hyperlink"/>
                <w:rFonts w:ascii="Times New Roman" w:hAnsi="Times New Roman" w:cs="Times New Roman"/>
                <w:noProof/>
              </w:rPr>
              <w:t>II.7.2. Observateur d’état et filtre de Kalman</w:t>
            </w:r>
            <w:r>
              <w:rPr>
                <w:noProof/>
                <w:webHidden/>
              </w:rPr>
              <w:tab/>
            </w:r>
            <w:r>
              <w:rPr>
                <w:noProof/>
                <w:webHidden/>
              </w:rPr>
              <w:fldChar w:fldCharType="begin"/>
            </w:r>
            <w:r>
              <w:rPr>
                <w:noProof/>
                <w:webHidden/>
              </w:rPr>
              <w:instrText xml:space="preserve"> PAGEREF _Toc229131330 \h </w:instrText>
            </w:r>
            <w:r>
              <w:rPr>
                <w:noProof/>
                <w:webHidden/>
              </w:rPr>
            </w:r>
            <w:r>
              <w:rPr>
                <w:noProof/>
                <w:webHidden/>
              </w:rPr>
              <w:fldChar w:fldCharType="separate"/>
            </w:r>
            <w:r>
              <w:rPr>
                <w:noProof/>
                <w:webHidden/>
              </w:rPr>
              <w:t>17</w:t>
            </w:r>
            <w:r>
              <w:rPr>
                <w:noProof/>
                <w:webHidden/>
              </w:rPr>
              <w:fldChar w:fldCharType="end"/>
            </w:r>
          </w:hyperlink>
        </w:p>
        <w:p w14:paraId="7BBF0CC1" w14:textId="71F75C23" w:rsidR="006816FE" w:rsidRDefault="006816FE">
          <w:pPr>
            <w:pStyle w:val="TOC3"/>
            <w:tabs>
              <w:tab w:val="right" w:leader="dot" w:pos="9396"/>
            </w:tabs>
            <w:rPr>
              <w:rFonts w:eastAsiaTheme="minorEastAsia"/>
              <w:noProof/>
              <w:sz w:val="22"/>
              <w:szCs w:val="22"/>
              <w:lang w:val="fr-FR" w:eastAsia="fr-FR"/>
            </w:rPr>
          </w:pPr>
          <w:hyperlink w:anchor="_Toc229131331" w:history="1">
            <w:r w:rsidRPr="006D0CA3">
              <w:rPr>
                <w:rStyle w:val="Hyperlink"/>
                <w:rFonts w:ascii="Times New Roman" w:hAnsi="Times New Roman" w:cs="Times New Roman"/>
                <w:noProof/>
              </w:rPr>
              <w:t>II.7.3. Réseaux de neurones à physique informée (PINN)</w:t>
            </w:r>
            <w:r>
              <w:rPr>
                <w:noProof/>
                <w:webHidden/>
              </w:rPr>
              <w:tab/>
            </w:r>
            <w:r>
              <w:rPr>
                <w:noProof/>
                <w:webHidden/>
              </w:rPr>
              <w:fldChar w:fldCharType="begin"/>
            </w:r>
            <w:r>
              <w:rPr>
                <w:noProof/>
                <w:webHidden/>
              </w:rPr>
              <w:instrText xml:space="preserve"> PAGEREF _Toc229131331 \h </w:instrText>
            </w:r>
            <w:r>
              <w:rPr>
                <w:noProof/>
                <w:webHidden/>
              </w:rPr>
            </w:r>
            <w:r>
              <w:rPr>
                <w:noProof/>
                <w:webHidden/>
              </w:rPr>
              <w:fldChar w:fldCharType="separate"/>
            </w:r>
            <w:r>
              <w:rPr>
                <w:noProof/>
                <w:webHidden/>
              </w:rPr>
              <w:t>18</w:t>
            </w:r>
            <w:r>
              <w:rPr>
                <w:noProof/>
                <w:webHidden/>
              </w:rPr>
              <w:fldChar w:fldCharType="end"/>
            </w:r>
          </w:hyperlink>
        </w:p>
        <w:p w14:paraId="6B594877" w14:textId="350546D8" w:rsidR="006816FE" w:rsidRDefault="006816FE">
          <w:pPr>
            <w:pStyle w:val="TOC3"/>
            <w:tabs>
              <w:tab w:val="right" w:leader="dot" w:pos="9396"/>
            </w:tabs>
            <w:rPr>
              <w:rFonts w:eastAsiaTheme="minorEastAsia"/>
              <w:noProof/>
              <w:sz w:val="22"/>
              <w:szCs w:val="22"/>
              <w:lang w:val="fr-FR" w:eastAsia="fr-FR"/>
            </w:rPr>
          </w:pPr>
          <w:hyperlink w:anchor="_Toc229131332" w:history="1">
            <w:r w:rsidRPr="006D0CA3">
              <w:rPr>
                <w:rStyle w:val="Hyperlink"/>
                <w:rFonts w:ascii="Times New Roman" w:hAnsi="Times New Roman" w:cs="Times New Roman"/>
                <w:noProof/>
              </w:rPr>
              <w:t>II.7.4. Tradeoffs</w:t>
            </w:r>
            <w:r>
              <w:rPr>
                <w:noProof/>
                <w:webHidden/>
              </w:rPr>
              <w:tab/>
            </w:r>
            <w:r>
              <w:rPr>
                <w:noProof/>
                <w:webHidden/>
              </w:rPr>
              <w:fldChar w:fldCharType="begin"/>
            </w:r>
            <w:r>
              <w:rPr>
                <w:noProof/>
                <w:webHidden/>
              </w:rPr>
              <w:instrText xml:space="preserve"> PAGEREF _Toc229131332 \h </w:instrText>
            </w:r>
            <w:r>
              <w:rPr>
                <w:noProof/>
                <w:webHidden/>
              </w:rPr>
            </w:r>
            <w:r>
              <w:rPr>
                <w:noProof/>
                <w:webHidden/>
              </w:rPr>
              <w:fldChar w:fldCharType="separate"/>
            </w:r>
            <w:r>
              <w:rPr>
                <w:noProof/>
                <w:webHidden/>
              </w:rPr>
              <w:t>18</w:t>
            </w:r>
            <w:r>
              <w:rPr>
                <w:noProof/>
                <w:webHidden/>
              </w:rPr>
              <w:fldChar w:fldCharType="end"/>
            </w:r>
          </w:hyperlink>
        </w:p>
        <w:p w14:paraId="5B3DDCEA" w14:textId="5929ADB0" w:rsidR="006816FE" w:rsidRDefault="006816FE">
          <w:pPr>
            <w:pStyle w:val="TOC2"/>
            <w:tabs>
              <w:tab w:val="right" w:leader="dot" w:pos="9396"/>
            </w:tabs>
            <w:rPr>
              <w:rFonts w:eastAsiaTheme="minorEastAsia"/>
              <w:noProof/>
              <w:sz w:val="22"/>
              <w:szCs w:val="22"/>
              <w:lang w:val="fr-FR" w:eastAsia="fr-FR"/>
            </w:rPr>
          </w:pPr>
          <w:hyperlink w:anchor="_Toc229131333" w:history="1">
            <w:r w:rsidRPr="006D0CA3">
              <w:rPr>
                <w:rStyle w:val="Hyperlink"/>
                <w:noProof/>
              </w:rPr>
              <w:t>II.8. Synthèse comparative</w:t>
            </w:r>
            <w:r>
              <w:rPr>
                <w:noProof/>
                <w:webHidden/>
              </w:rPr>
              <w:tab/>
            </w:r>
            <w:r>
              <w:rPr>
                <w:noProof/>
                <w:webHidden/>
              </w:rPr>
              <w:fldChar w:fldCharType="begin"/>
            </w:r>
            <w:r>
              <w:rPr>
                <w:noProof/>
                <w:webHidden/>
              </w:rPr>
              <w:instrText xml:space="preserve"> PAGEREF _Toc229131333 \h </w:instrText>
            </w:r>
            <w:r>
              <w:rPr>
                <w:noProof/>
                <w:webHidden/>
              </w:rPr>
            </w:r>
            <w:r>
              <w:rPr>
                <w:noProof/>
                <w:webHidden/>
              </w:rPr>
              <w:fldChar w:fldCharType="separate"/>
            </w:r>
            <w:r>
              <w:rPr>
                <w:noProof/>
                <w:webHidden/>
              </w:rPr>
              <w:t>18</w:t>
            </w:r>
            <w:r>
              <w:rPr>
                <w:noProof/>
                <w:webHidden/>
              </w:rPr>
              <w:fldChar w:fldCharType="end"/>
            </w:r>
          </w:hyperlink>
        </w:p>
        <w:p w14:paraId="6F50D532" w14:textId="1D6F848B" w:rsidR="006816FE" w:rsidRDefault="006816FE">
          <w:pPr>
            <w:pStyle w:val="TOC2"/>
            <w:tabs>
              <w:tab w:val="right" w:leader="dot" w:pos="9396"/>
            </w:tabs>
            <w:rPr>
              <w:rFonts w:eastAsiaTheme="minorEastAsia"/>
              <w:noProof/>
              <w:sz w:val="22"/>
              <w:szCs w:val="22"/>
              <w:lang w:val="fr-FR" w:eastAsia="fr-FR"/>
            </w:rPr>
          </w:pPr>
          <w:hyperlink w:anchor="_Toc229131334" w:history="1">
            <w:r w:rsidRPr="006D0CA3">
              <w:rPr>
                <w:rStyle w:val="Hyperlink"/>
                <w:noProof/>
              </w:rPr>
              <w:t>II.9. Positionnement de notre travail</w:t>
            </w:r>
            <w:r>
              <w:rPr>
                <w:noProof/>
                <w:webHidden/>
              </w:rPr>
              <w:tab/>
            </w:r>
            <w:r>
              <w:rPr>
                <w:noProof/>
                <w:webHidden/>
              </w:rPr>
              <w:fldChar w:fldCharType="begin"/>
            </w:r>
            <w:r>
              <w:rPr>
                <w:noProof/>
                <w:webHidden/>
              </w:rPr>
              <w:instrText xml:space="preserve"> PAGEREF _Toc229131334 \h </w:instrText>
            </w:r>
            <w:r>
              <w:rPr>
                <w:noProof/>
                <w:webHidden/>
              </w:rPr>
            </w:r>
            <w:r>
              <w:rPr>
                <w:noProof/>
                <w:webHidden/>
              </w:rPr>
              <w:fldChar w:fldCharType="separate"/>
            </w:r>
            <w:r>
              <w:rPr>
                <w:noProof/>
                <w:webHidden/>
              </w:rPr>
              <w:t>21</w:t>
            </w:r>
            <w:r>
              <w:rPr>
                <w:noProof/>
                <w:webHidden/>
              </w:rPr>
              <w:fldChar w:fldCharType="end"/>
            </w:r>
          </w:hyperlink>
        </w:p>
        <w:p w14:paraId="0B0FD75A" w14:textId="7689162F" w:rsidR="006816FE" w:rsidRDefault="006816FE">
          <w:pPr>
            <w:pStyle w:val="TOC2"/>
            <w:tabs>
              <w:tab w:val="right" w:leader="dot" w:pos="9396"/>
            </w:tabs>
            <w:rPr>
              <w:rFonts w:eastAsiaTheme="minorEastAsia"/>
              <w:noProof/>
              <w:sz w:val="22"/>
              <w:szCs w:val="22"/>
              <w:lang w:val="fr-FR" w:eastAsia="fr-FR"/>
            </w:rPr>
          </w:pPr>
          <w:hyperlink w:anchor="_Toc229131335" w:history="1">
            <w:r w:rsidRPr="006D0CA3">
              <w:rPr>
                <w:rStyle w:val="Hyperlink"/>
                <w:noProof/>
                <w:lang w:val="en-US"/>
              </w:rPr>
              <w:t>Références</w:t>
            </w:r>
            <w:r>
              <w:rPr>
                <w:noProof/>
                <w:webHidden/>
              </w:rPr>
              <w:tab/>
            </w:r>
            <w:r>
              <w:rPr>
                <w:noProof/>
                <w:webHidden/>
              </w:rPr>
              <w:fldChar w:fldCharType="begin"/>
            </w:r>
            <w:r>
              <w:rPr>
                <w:noProof/>
                <w:webHidden/>
              </w:rPr>
              <w:instrText xml:space="preserve"> PAGEREF _Toc229131335 \h </w:instrText>
            </w:r>
            <w:r>
              <w:rPr>
                <w:noProof/>
                <w:webHidden/>
              </w:rPr>
            </w:r>
            <w:r>
              <w:rPr>
                <w:noProof/>
                <w:webHidden/>
              </w:rPr>
              <w:fldChar w:fldCharType="separate"/>
            </w:r>
            <w:r>
              <w:rPr>
                <w:noProof/>
                <w:webHidden/>
              </w:rPr>
              <w:t>23</w:t>
            </w:r>
            <w:r>
              <w:rPr>
                <w:noProof/>
                <w:webHidden/>
              </w:rPr>
              <w:fldChar w:fldCharType="end"/>
            </w:r>
          </w:hyperlink>
        </w:p>
        <w:p w14:paraId="79C558A8" w14:textId="5007D78D" w:rsidR="006816FE" w:rsidRDefault="006816FE">
          <w:pPr>
            <w:pStyle w:val="TOC1"/>
            <w:tabs>
              <w:tab w:val="right" w:leader="dot" w:pos="9396"/>
            </w:tabs>
            <w:rPr>
              <w:rFonts w:eastAsiaTheme="minorEastAsia"/>
              <w:noProof/>
              <w:sz w:val="22"/>
              <w:szCs w:val="22"/>
              <w:lang w:val="fr-FR" w:eastAsia="fr-FR"/>
            </w:rPr>
          </w:pPr>
          <w:hyperlink w:anchor="_Toc229131336" w:history="1">
            <w:r w:rsidRPr="006D0CA3">
              <w:rPr>
                <w:rStyle w:val="Hyperlink"/>
                <w:noProof/>
              </w:rPr>
              <w:t>Lexique</w:t>
            </w:r>
            <w:r>
              <w:rPr>
                <w:noProof/>
                <w:webHidden/>
              </w:rPr>
              <w:tab/>
            </w:r>
            <w:r>
              <w:rPr>
                <w:noProof/>
                <w:webHidden/>
              </w:rPr>
              <w:fldChar w:fldCharType="begin"/>
            </w:r>
            <w:r>
              <w:rPr>
                <w:noProof/>
                <w:webHidden/>
              </w:rPr>
              <w:instrText xml:space="preserve"> PAGEREF _Toc229131336 \h </w:instrText>
            </w:r>
            <w:r>
              <w:rPr>
                <w:noProof/>
                <w:webHidden/>
              </w:rPr>
            </w:r>
            <w:r>
              <w:rPr>
                <w:noProof/>
                <w:webHidden/>
              </w:rPr>
              <w:fldChar w:fldCharType="separate"/>
            </w:r>
            <w:r>
              <w:rPr>
                <w:noProof/>
                <w:webHidden/>
              </w:rPr>
              <w:t>27</w:t>
            </w:r>
            <w:r>
              <w:rPr>
                <w:noProof/>
                <w:webHidden/>
              </w:rPr>
              <w:fldChar w:fldCharType="end"/>
            </w:r>
          </w:hyperlink>
        </w:p>
        <w:p w14:paraId="58F2D35A" w14:textId="22E71161" w:rsidR="003A09C3" w:rsidRPr="006816FE" w:rsidRDefault="003F3D5F" w:rsidP="006816FE">
          <w:pPr>
            <w:spacing w:line="360" w:lineRule="auto"/>
            <w:jc w:val="both"/>
            <w:rPr>
              <w:rFonts w:ascii="Times New Roman" w:hAnsi="Times New Roman" w:cs="Times New Roman"/>
            </w:rPr>
          </w:pPr>
          <w:r w:rsidRPr="00524677">
            <w:rPr>
              <w:rFonts w:ascii="Times New Roman" w:hAnsi="Times New Roman" w:cs="Times New Roman"/>
            </w:rPr>
            <w:fldChar w:fldCharType="end"/>
          </w:r>
        </w:p>
      </w:sdtContent>
    </w:sdt>
    <w:bookmarkStart w:id="0" w:name="chapitre-i.-état-de-lart" w:displacedByCustomXml="prev"/>
    <w:p w14:paraId="7D4F4CEE" w14:textId="0D282A7E" w:rsidR="00052612" w:rsidRPr="00524677" w:rsidRDefault="003F3D5F" w:rsidP="006277DE">
      <w:pPr>
        <w:pStyle w:val="Heading1"/>
      </w:pPr>
      <w:bookmarkStart w:id="1" w:name="_Toc229131304"/>
      <w:r w:rsidRPr="00524677">
        <w:t>CHAPITRE I</w:t>
      </w:r>
      <w:r w:rsidR="00013E18">
        <w:t>I</w:t>
      </w:r>
      <w:r w:rsidRPr="00524677">
        <w:t xml:space="preserve">. </w:t>
      </w:r>
      <w:r w:rsidRPr="006277DE">
        <w:t>ÉTAT</w:t>
      </w:r>
      <w:r w:rsidRPr="00524677">
        <w:t xml:space="preserve"> DE L’ART</w:t>
      </w:r>
      <w:bookmarkEnd w:id="0"/>
      <w:bookmarkEnd w:id="1"/>
    </w:p>
    <w:p w14:paraId="66473E0B" w14:textId="7D00E84C" w:rsidR="00052612" w:rsidRPr="00524677" w:rsidRDefault="003F3D5F" w:rsidP="006277DE">
      <w:pPr>
        <w:pStyle w:val="Heading2"/>
      </w:pPr>
      <w:bookmarkStart w:id="2" w:name="i.1.-introduction"/>
      <w:bookmarkStart w:id="3" w:name="_Toc229131305"/>
      <w:r w:rsidRPr="00524677">
        <w:t>I</w:t>
      </w:r>
      <w:r w:rsidR="00013E18">
        <w:t>I</w:t>
      </w:r>
      <w:r w:rsidRPr="00524677">
        <w:t xml:space="preserve">.1. </w:t>
      </w:r>
      <w:r w:rsidRPr="006277DE">
        <w:t>Introduction</w:t>
      </w:r>
      <w:bookmarkEnd w:id="2"/>
      <w:bookmarkEnd w:id="3"/>
    </w:p>
    <w:p w14:paraId="5624284D" w14:textId="26DCAEE3" w:rsidR="00052612" w:rsidRPr="00524677" w:rsidRDefault="003F3D5F" w:rsidP="006277DE">
      <w:pPr>
        <w:pStyle w:val="FirstParagraph"/>
      </w:pPr>
      <w:r w:rsidRPr="00524677">
        <w:t xml:space="preserve">Le </w:t>
      </w:r>
      <w:r w:rsidRPr="00524677">
        <w:rPr>
          <w:b/>
        </w:rPr>
        <w:t>chapitre I</w:t>
      </w:r>
      <w:r w:rsidRPr="00524677">
        <w:t xml:space="preserve"> a établi que le balisage lumineux de piste de l’aéroport international de Douala repose sur onze boucles série indépendantes alimentées en 6,6 A par des régulateurs à courant constant (RCC) de type </w:t>
      </w:r>
      <w:r w:rsidRPr="00524677">
        <w:rPr>
          <w:i/>
        </w:rPr>
        <w:t>DIAM4100</w:t>
      </w:r>
      <w:r w:rsidRPr="00524677">
        <w:t xml:space="preserve"> (Augier / OCEM). La sûreté du service exige, selon l’Annexe 14 de l’Organisation de l’aviation civile internationale (OACI, 2022) et la </w:t>
      </w:r>
      <w:commentRangeStart w:id="4"/>
      <w:r w:rsidRPr="00524677">
        <w:t>CEI 61822</w:t>
      </w:r>
      <w:commentRangeEnd w:id="4"/>
      <w:r w:rsidR="008D3B49">
        <w:rPr>
          <w:rStyle w:val="CommentReference"/>
        </w:rPr>
        <w:commentReference w:id="4"/>
      </w:r>
      <w:r w:rsidRPr="00524677">
        <w:t xml:space="preserve"> (CEI, 2016), que chaque boucle satisfasse à une </w:t>
      </w:r>
      <w:r w:rsidRPr="00524677">
        <w:rPr>
          <w:b/>
        </w:rPr>
        <w:t>résistance d’isolement minimale</w:t>
      </w:r>
      <w:r w:rsidRPr="00524677">
        <w:t xml:space="preserve"> dépendant du nombre de transformateurs d’isolement (TI) et de la longueur de câble. Lorsque cette résistance chute, la disponibilité du balisage est compromise — au risque d’une rupture d’alimentation et, à terme, d’une restriction d’exploitation.</w:t>
      </w:r>
    </w:p>
    <w:p w14:paraId="442AF8ED"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rPr>
        <w:t xml:space="preserve">Trois </w:t>
      </w:r>
      <w:r w:rsidRPr="00524677">
        <w:rPr>
          <w:rFonts w:ascii="Times New Roman" w:hAnsi="Times New Roman" w:cs="Times New Roman"/>
          <w:b/>
        </w:rPr>
        <w:t>sous-problèmes</w:t>
      </w:r>
      <w:r w:rsidRPr="00524677">
        <w:rPr>
          <w:rFonts w:ascii="Times New Roman" w:hAnsi="Times New Roman" w:cs="Times New Roman"/>
        </w:rPr>
        <w:t xml:space="preserve"> distincts, mais couplés, se posent alors au superviseur du balisage :</w:t>
      </w:r>
    </w:p>
    <w:p w14:paraId="3F9C659A" w14:textId="77777777" w:rsidR="00052612" w:rsidRPr="00524677" w:rsidRDefault="003F3D5F" w:rsidP="00F763E2">
      <w:pPr>
        <w:pStyle w:val="Compact"/>
        <w:numPr>
          <w:ilvl w:val="0"/>
          <w:numId w:val="2"/>
        </w:numPr>
        <w:spacing w:line="360" w:lineRule="auto"/>
        <w:jc w:val="both"/>
        <w:rPr>
          <w:rFonts w:ascii="Times New Roman" w:hAnsi="Times New Roman" w:cs="Times New Roman"/>
        </w:rPr>
      </w:pPr>
      <w:r w:rsidRPr="00524677">
        <w:rPr>
          <w:rFonts w:ascii="Times New Roman" w:hAnsi="Times New Roman" w:cs="Times New Roman"/>
          <w:b/>
        </w:rPr>
        <w:t>Détecter précocement</w:t>
      </w:r>
      <w:r w:rsidRPr="00524677">
        <w:rPr>
          <w:rFonts w:ascii="Times New Roman" w:hAnsi="Times New Roman" w:cs="Times New Roman"/>
        </w:rPr>
        <w:t xml:space="preserve"> la dégradation, c’est-à-dire reconnaître un défaut naissant avant l’apparition d’un amorçage franc ;</w:t>
      </w:r>
    </w:p>
    <w:p w14:paraId="6DF2A60D" w14:textId="77777777" w:rsidR="00052612" w:rsidRPr="00524677" w:rsidRDefault="003F3D5F" w:rsidP="00F763E2">
      <w:pPr>
        <w:pStyle w:val="Compact"/>
        <w:numPr>
          <w:ilvl w:val="0"/>
          <w:numId w:val="2"/>
        </w:numPr>
        <w:spacing w:line="360" w:lineRule="auto"/>
        <w:jc w:val="both"/>
        <w:rPr>
          <w:rFonts w:ascii="Times New Roman" w:hAnsi="Times New Roman" w:cs="Times New Roman"/>
        </w:rPr>
      </w:pPr>
      <w:r w:rsidRPr="00524677">
        <w:rPr>
          <w:rFonts w:ascii="Times New Roman" w:hAnsi="Times New Roman" w:cs="Times New Roman"/>
          <w:b/>
        </w:rPr>
        <w:t>Alerter</w:t>
      </w:r>
      <w:r w:rsidRPr="00524677">
        <w:rPr>
          <w:rFonts w:ascii="Times New Roman" w:hAnsi="Times New Roman" w:cs="Times New Roman"/>
        </w:rPr>
        <w:t xml:space="preserve"> l’exploitant de manière hiérarchisée (seuil préventif puis seuil critique) et sans fausse alarme intempestive ;</w:t>
      </w:r>
    </w:p>
    <w:p w14:paraId="10D92A26" w14:textId="77777777" w:rsidR="00052612" w:rsidRPr="00524677" w:rsidRDefault="003F3D5F" w:rsidP="00F763E2">
      <w:pPr>
        <w:pStyle w:val="Compact"/>
        <w:numPr>
          <w:ilvl w:val="0"/>
          <w:numId w:val="2"/>
        </w:numPr>
        <w:spacing w:line="360" w:lineRule="auto"/>
        <w:jc w:val="both"/>
        <w:rPr>
          <w:rFonts w:ascii="Times New Roman" w:hAnsi="Times New Roman" w:cs="Times New Roman"/>
        </w:rPr>
      </w:pPr>
      <w:r w:rsidRPr="00524677">
        <w:rPr>
          <w:rFonts w:ascii="Times New Roman" w:hAnsi="Times New Roman" w:cs="Times New Roman"/>
          <w:b/>
        </w:rPr>
        <w:t>Localiser</w:t>
      </w:r>
      <w:r w:rsidRPr="00524677">
        <w:rPr>
          <w:rFonts w:ascii="Times New Roman" w:hAnsi="Times New Roman" w:cs="Times New Roman"/>
        </w:rPr>
        <w:t xml:space="preserve"> le point de défaut le long d’une boucle pouvant dépasser 9 km — sans interrompre le service et, dans la mesure du possible, à partir d’une instrumentation placée en tête du RCC uniquement.</w:t>
      </w:r>
    </w:p>
    <w:p w14:paraId="7632BD28" w14:textId="0969261C" w:rsidR="00052612" w:rsidRPr="00524677" w:rsidRDefault="003F3D5F" w:rsidP="006277DE">
      <w:pPr>
        <w:pStyle w:val="FirstParagraph"/>
      </w:pPr>
      <w:r w:rsidRPr="00524677">
        <w:t xml:space="preserve">Ce chapitre dresse un état de l’art critique des solutions existantes pour ces trois objectifs. Il évalue, pour chaque famille, ce qui fonctionne, à quel coût et avec quelles limites vis-à-vis de la topologie série 6,6 A du balisage aéronautique. L’analyse suit une progression : on part des dispositifs </w:t>
      </w:r>
      <w:r w:rsidRPr="00524677">
        <w:rPr>
          <w:b/>
        </w:rPr>
        <w:t>industriels historiques</w:t>
      </w:r>
      <w:r w:rsidRPr="00524677">
        <w:t xml:space="preserve"> (§ I</w:t>
      </w:r>
      <w:r w:rsidR="00013E18">
        <w:t>I</w:t>
      </w:r>
      <w:r w:rsidRPr="00524677">
        <w:t xml:space="preserve">.2), on analyse ensuite les grandes familles de </w:t>
      </w:r>
      <w:r w:rsidRPr="00524677">
        <w:rPr>
          <w:b/>
        </w:rPr>
        <w:t>traitement du signal</w:t>
      </w:r>
      <w:r w:rsidRPr="00524677">
        <w:t xml:space="preserve"> (§ I</w:t>
      </w:r>
      <w:r w:rsidR="00013E18">
        <w:t>I</w:t>
      </w:r>
      <w:r w:rsidRPr="00524677">
        <w:t xml:space="preserve">.3) et de </w:t>
      </w:r>
      <w:r w:rsidRPr="00524677">
        <w:rPr>
          <w:b/>
        </w:rPr>
        <w:t>réflectométrie</w:t>
      </w:r>
      <w:r w:rsidRPr="00524677">
        <w:t xml:space="preserve"> (§ I</w:t>
      </w:r>
      <w:r w:rsidR="00013E18">
        <w:t>I</w:t>
      </w:r>
      <w:r w:rsidRPr="00524677">
        <w:t xml:space="preserve">.4) ; on met en évidence le verrou scientifique de la </w:t>
      </w:r>
      <w:r w:rsidRPr="00524677">
        <w:rPr>
          <w:b/>
        </w:rPr>
        <w:t>localisation à source unique</w:t>
      </w:r>
      <w:r w:rsidRPr="00524677">
        <w:t xml:space="preserve"> (§ I</w:t>
      </w:r>
      <w:r w:rsidR="00013E18">
        <w:t>I</w:t>
      </w:r>
      <w:r w:rsidRPr="00524677">
        <w:t xml:space="preserve">.5) ; enfin on examine les approches récentes issues de </w:t>
      </w:r>
      <w:r w:rsidRPr="00524677">
        <w:lastRenderedPageBreak/>
        <w:t>l’</w:t>
      </w:r>
      <w:r w:rsidRPr="00524677">
        <w:rPr>
          <w:b/>
        </w:rPr>
        <w:t>apprentissage automatique</w:t>
      </w:r>
      <w:r w:rsidRPr="00524677">
        <w:t xml:space="preserve"> (§ I</w:t>
      </w:r>
      <w:r w:rsidR="00013E18">
        <w:t>I</w:t>
      </w:r>
      <w:r w:rsidRPr="00524677">
        <w:t xml:space="preserve">.6) et du </w:t>
      </w:r>
      <w:r w:rsidRPr="00524677">
        <w:rPr>
          <w:b/>
        </w:rPr>
        <w:t>jumeau numérique</w:t>
      </w:r>
      <w:r w:rsidRPr="00524677">
        <w:t xml:space="preserve"> (§ </w:t>
      </w:r>
      <w:r w:rsidR="00013E18">
        <w:t>I</w:t>
      </w:r>
      <w:r w:rsidRPr="00524677">
        <w:t>I.7). Une synthèse comparative (§ I</w:t>
      </w:r>
      <w:r w:rsidR="00013E18">
        <w:t>I</w:t>
      </w:r>
      <w:r w:rsidRPr="00524677">
        <w:t>.8) et le positionnement de notre travail (§ I</w:t>
      </w:r>
      <w:r w:rsidR="00013E18">
        <w:t>I</w:t>
      </w:r>
      <w:r w:rsidRPr="00524677">
        <w:t>.9) concluent le chapitre.</w:t>
      </w:r>
    </w:p>
    <w:p w14:paraId="138FA111" w14:textId="21E7B5BF" w:rsidR="00052612" w:rsidRPr="00524677" w:rsidRDefault="003F3D5F" w:rsidP="006277DE">
      <w:pPr>
        <w:pStyle w:val="Heading2"/>
      </w:pPr>
      <w:bookmarkStart w:id="5" w:name="i.2.-solutions-industrielles-historiques"/>
      <w:bookmarkStart w:id="6" w:name="_Toc229131306"/>
      <w:r w:rsidRPr="00524677">
        <w:t>I</w:t>
      </w:r>
      <w:r w:rsidR="00013E18">
        <w:t>I</w:t>
      </w:r>
      <w:r w:rsidRPr="00524677">
        <w:t>.2. Solutions industrielles historiques</w:t>
      </w:r>
      <w:bookmarkEnd w:id="5"/>
      <w:bookmarkEnd w:id="6"/>
    </w:p>
    <w:p w14:paraId="0822D4A2" w14:textId="5134355B" w:rsidR="00052612" w:rsidRPr="00524677" w:rsidRDefault="003F3D5F" w:rsidP="00F763E2">
      <w:pPr>
        <w:pStyle w:val="Heading3"/>
        <w:spacing w:line="360" w:lineRule="auto"/>
        <w:jc w:val="both"/>
        <w:rPr>
          <w:rFonts w:ascii="Times New Roman" w:hAnsi="Times New Roman" w:cs="Times New Roman"/>
          <w:color w:val="auto"/>
        </w:rPr>
      </w:pPr>
      <w:bookmarkStart w:id="7" w:name="X83bf14ad3d73080b596c9c513d950f2c712615f"/>
      <w:bookmarkStart w:id="8" w:name="_Toc229131307"/>
      <w:r w:rsidRPr="00524677">
        <w:rPr>
          <w:rFonts w:ascii="Times New Roman" w:hAnsi="Times New Roman" w:cs="Times New Roman"/>
          <w:color w:val="auto"/>
        </w:rPr>
        <w:t>I</w:t>
      </w:r>
      <w:r w:rsidR="00013E18">
        <w:rPr>
          <w:rFonts w:ascii="Times New Roman" w:hAnsi="Times New Roman" w:cs="Times New Roman"/>
          <w:color w:val="auto"/>
        </w:rPr>
        <w:t>I</w:t>
      </w:r>
      <w:r w:rsidRPr="00524677">
        <w:rPr>
          <w:rFonts w:ascii="Times New Roman" w:hAnsi="Times New Roman" w:cs="Times New Roman"/>
          <w:color w:val="auto"/>
        </w:rPr>
        <w:t>.2.1. Détecteur de défaut de terre (EFD) à injection continue</w:t>
      </w:r>
      <w:bookmarkEnd w:id="7"/>
      <w:bookmarkEnd w:id="8"/>
    </w:p>
    <w:p w14:paraId="3B43FAF5" w14:textId="77777777" w:rsidR="00052612" w:rsidRPr="00524677" w:rsidRDefault="003F3D5F" w:rsidP="006277DE">
      <w:pPr>
        <w:pStyle w:val="FirstParagraph"/>
      </w:pPr>
      <w:r w:rsidRPr="00524677">
        <w:t>Le dispositif de référence dans la filière du balisage est l’</w:t>
      </w:r>
      <w:proofErr w:type="spellStart"/>
      <w:r w:rsidRPr="00524677">
        <w:rPr>
          <w:b/>
        </w:rPr>
        <w:t>Earth</w:t>
      </w:r>
      <w:proofErr w:type="spellEnd"/>
      <w:r w:rsidRPr="00524677">
        <w:rPr>
          <w:b/>
        </w:rPr>
        <w:t xml:space="preserve"> </w:t>
      </w:r>
      <w:proofErr w:type="spellStart"/>
      <w:r w:rsidRPr="00524677">
        <w:rPr>
          <w:b/>
        </w:rPr>
        <w:t>Fault</w:t>
      </w:r>
      <w:proofErr w:type="spellEnd"/>
      <w:r w:rsidRPr="00524677">
        <w:rPr>
          <w:b/>
        </w:rPr>
        <w:t xml:space="preserve"> Detector</w:t>
      </w:r>
      <w:r w:rsidRPr="00524677">
        <w:t xml:space="preserve"> (EFD), désigné dans la littérature anglophone comme </w:t>
      </w:r>
      <w:r w:rsidRPr="00524677">
        <w:rPr>
          <w:i/>
        </w:rPr>
        <w:t>Insulation Resistance Monitoring System</w:t>
      </w:r>
      <w:r w:rsidRPr="00524677">
        <w:t xml:space="preserve"> (IRMS). Son principe, décrit notamment par ADB </w:t>
      </w:r>
      <w:proofErr w:type="spellStart"/>
      <w:r w:rsidRPr="00524677">
        <w:t>Safegate</w:t>
      </w:r>
      <w:proofErr w:type="spellEnd"/>
      <w:r w:rsidRPr="00524677">
        <w:t xml:space="preserve"> (2019) et implémenté dans la DIAM4100 (Augier Energy, 2019), consiste à superposer une tension continue calibrée (généralement 50 V, 500 V ou 1 000 V) sur la boucle série alors que celle-ci peut continuer à fonctionner en courant alternatif 50 Hz. Le courant de fuite </w:t>
      </w:r>
      <m:oMath>
        <m:sSub>
          <m:sSubPr>
            <m:ctrlPr>
              <w:rPr>
                <w:rFonts w:ascii="Cambria Math" w:hAnsi="Cambria Math"/>
              </w:rPr>
            </m:ctrlPr>
          </m:sSubPr>
          <m:e>
            <m:r>
              <w:rPr>
                <w:rFonts w:ascii="Cambria Math" w:hAnsi="Cambria Math"/>
              </w:rPr>
              <m:t>I</m:t>
            </m:r>
          </m:e>
          <m:sub>
            <m:r>
              <w:rPr>
                <w:rFonts w:ascii="Cambria Math" w:hAnsi="Cambria Math"/>
              </w:rPr>
              <m:t>f</m:t>
            </m:r>
          </m:sub>
        </m:sSub>
      </m:oMath>
      <w:r w:rsidRPr="00524677">
        <w:t xml:space="preserve"> qui se reboucle par la terre est mesuré au primaire du transformateur haute tension, et la résistance d’isolement équivalente de la boucle est calculée par :</w:t>
      </w:r>
    </w:p>
    <w:p w14:paraId="39FF5402" w14:textId="5AEFBD26" w:rsidR="00052612" w:rsidRPr="00524677" w:rsidRDefault="004E66EE" w:rsidP="00F763E2">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iso</m:t>
              </m:r>
            </m:sub>
          </m:sSub>
          <m:r>
            <w:rPr>
              <w:rFonts w:ascii="Cambria Math" w:hAnsi="Cambria Math" w:cs="Times New Roman"/>
            </w:rPr>
            <m:t> = 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DC</m:t>
                  </m:r>
                </m:sub>
              </m:sSub>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f</m:t>
                  </m:r>
                </m:sub>
              </m:sSub>
            </m:den>
          </m:f>
          <m:r>
            <w:rPr>
              <w:rFonts w:ascii="Cambria Math" w:hAnsi="Cambria Math" w:cs="Times New Roman"/>
            </w:rPr>
            <m:t>  (</m:t>
          </m:r>
          <m:r>
            <m:rPr>
              <m:sty m:val="p"/>
            </m:rPr>
            <w:rPr>
              <w:rFonts w:ascii="Cambria Math" w:hAnsi="Cambria Math" w:cs="Times New Roman"/>
            </w:rPr>
            <m:t>II.1</m:t>
          </m:r>
          <m:r>
            <w:rPr>
              <w:rFonts w:ascii="Cambria Math" w:hAnsi="Cambria Math" w:cs="Times New Roman"/>
            </w:rPr>
            <m:t>)</m:t>
          </m:r>
        </m:oMath>
      </m:oMathPara>
    </w:p>
    <w:p w14:paraId="1346A3C0" w14:textId="3A383385" w:rsidR="00052612" w:rsidRPr="00524677" w:rsidRDefault="00FB3004" w:rsidP="006277DE">
      <w:pPr>
        <w:pStyle w:val="FirstParagraph"/>
      </w:pPr>
      <w:r w:rsidRPr="00524677">
        <w:t>Où</w:t>
      </w:r>
      <w:r w:rsidR="003F3D5F" w:rsidRPr="00524677">
        <w:t xml:space="preserve"> </w:t>
      </w:r>
      <m:oMath>
        <m:sSub>
          <m:sSubPr>
            <m:ctrlPr>
              <w:rPr>
                <w:rFonts w:ascii="Cambria Math" w:hAnsi="Cambria Math"/>
              </w:rPr>
            </m:ctrlPr>
          </m:sSubPr>
          <m:e>
            <m:r>
              <w:rPr>
                <w:rFonts w:ascii="Cambria Math" w:hAnsi="Cambria Math"/>
              </w:rPr>
              <m:t>V</m:t>
            </m:r>
          </m:e>
          <m:sub>
            <m:r>
              <w:rPr>
                <w:rFonts w:ascii="Cambria Math" w:hAnsi="Cambria Math"/>
              </w:rPr>
              <m:t>DC</m:t>
            </m:r>
          </m:sub>
        </m:sSub>
      </m:oMath>
      <w:r w:rsidR="003F3D5F" w:rsidRPr="00524677">
        <w:t xml:space="preserve"> est la tension continue injectée et </w:t>
      </w:r>
      <m:oMath>
        <m:sSub>
          <m:sSubPr>
            <m:ctrlPr>
              <w:rPr>
                <w:rFonts w:ascii="Cambria Math" w:hAnsi="Cambria Math"/>
              </w:rPr>
            </m:ctrlPr>
          </m:sSubPr>
          <m:e>
            <m:r>
              <w:rPr>
                <w:rFonts w:ascii="Cambria Math" w:hAnsi="Cambria Math"/>
              </w:rPr>
              <m:t>I</m:t>
            </m:r>
          </m:e>
          <m:sub>
            <m:r>
              <w:rPr>
                <w:rFonts w:ascii="Cambria Math" w:hAnsi="Cambria Math"/>
              </w:rPr>
              <m:t>f</m:t>
            </m:r>
          </m:sub>
        </m:sSub>
      </m:oMath>
      <w:r w:rsidR="003F3D5F" w:rsidRPr="00524677">
        <w:t xml:space="preserve"> le courant continu de fuite, mesuré après filtrage passe-bas pour éliminer la composante 50 Hz. Le principe est illustré sur la </w:t>
      </w:r>
      <w:r w:rsidR="003F3D5F" w:rsidRPr="00524677">
        <w:rPr>
          <w:b/>
        </w:rPr>
        <w:t>Figure I</w:t>
      </w:r>
      <w:r w:rsidR="00013E18">
        <w:rPr>
          <w:b/>
        </w:rPr>
        <w:t>I</w:t>
      </w:r>
      <w:r w:rsidR="003F3D5F" w:rsidRPr="00524677">
        <w:rPr>
          <w:b/>
        </w:rPr>
        <w:t>-1</w:t>
      </w:r>
      <w:r w:rsidR="003F3D5F" w:rsidRPr="00524677">
        <w:t>.</w:t>
      </w:r>
    </w:p>
    <w:p w14:paraId="1804BA1E" w14:textId="77777777" w:rsidR="00052612" w:rsidRPr="00524677" w:rsidRDefault="003F3D5F" w:rsidP="00F763E2">
      <w:pPr>
        <w:pStyle w:val="CaptionedFigure"/>
        <w:spacing w:line="360" w:lineRule="auto"/>
        <w:jc w:val="both"/>
        <w:rPr>
          <w:rFonts w:ascii="Times New Roman" w:hAnsi="Times New Roman" w:cs="Times New Roman"/>
        </w:rPr>
      </w:pPr>
      <w:r w:rsidRPr="00524677">
        <w:rPr>
          <w:rFonts w:ascii="Times New Roman" w:hAnsi="Times New Roman" w:cs="Times New Roman"/>
          <w:noProof/>
        </w:rPr>
        <w:drawing>
          <wp:inline distT="0" distB="0" distL="0" distR="0" wp14:anchorId="00EE9033" wp14:editId="5B1E92F3">
            <wp:extent cx="5334000" cy="2724463"/>
            <wp:effectExtent l="0" t="0" r="0" b="0"/>
            <wp:docPr id="1" name="Picture" descr="Figure I-1. Principe de mesure d’isolement par injection DC superposée (EFD / IRMS)"/>
            <wp:cNvGraphicFramePr/>
            <a:graphic xmlns:a="http://schemas.openxmlformats.org/drawingml/2006/main">
              <a:graphicData uri="http://schemas.openxmlformats.org/drawingml/2006/picture">
                <pic:pic xmlns:pic="http://schemas.openxmlformats.org/drawingml/2006/picture">
                  <pic:nvPicPr>
                    <pic:cNvPr id="0" name="Picture" descr="assets_c1/fig1_1_efd_principle.png"/>
                    <pic:cNvPicPr>
                      <a:picLocks noChangeAspect="1" noChangeArrowheads="1"/>
                    </pic:cNvPicPr>
                  </pic:nvPicPr>
                  <pic:blipFill>
                    <a:blip r:embed="rId11"/>
                    <a:stretch>
                      <a:fillRect/>
                    </a:stretch>
                  </pic:blipFill>
                  <pic:spPr bwMode="auto">
                    <a:xfrm>
                      <a:off x="0" y="0"/>
                      <a:ext cx="5334000" cy="2724463"/>
                    </a:xfrm>
                    <a:prstGeom prst="rect">
                      <a:avLst/>
                    </a:prstGeom>
                    <a:noFill/>
                    <a:ln w="9525">
                      <a:noFill/>
                      <a:headEnd/>
                      <a:tailEnd/>
                    </a:ln>
                  </pic:spPr>
                </pic:pic>
              </a:graphicData>
            </a:graphic>
          </wp:inline>
        </w:drawing>
      </w:r>
    </w:p>
    <w:p w14:paraId="0864E1AD" w14:textId="191D518E" w:rsidR="00052612" w:rsidRPr="00524677" w:rsidRDefault="003F3D5F" w:rsidP="00F763E2">
      <w:pPr>
        <w:pStyle w:val="ImageCaption"/>
        <w:spacing w:line="360" w:lineRule="auto"/>
        <w:jc w:val="both"/>
        <w:rPr>
          <w:rFonts w:ascii="Times New Roman" w:hAnsi="Times New Roman" w:cs="Times New Roman"/>
        </w:rPr>
      </w:pPr>
      <w:r w:rsidRPr="00524677">
        <w:rPr>
          <w:rFonts w:ascii="Times New Roman" w:hAnsi="Times New Roman" w:cs="Times New Roman"/>
        </w:rPr>
        <w:t>Figure I</w:t>
      </w:r>
      <w:r w:rsidR="00013E18">
        <w:rPr>
          <w:rFonts w:ascii="Times New Roman" w:hAnsi="Times New Roman" w:cs="Times New Roman"/>
        </w:rPr>
        <w:t>I</w:t>
      </w:r>
      <w:r w:rsidRPr="00524677">
        <w:rPr>
          <w:rFonts w:ascii="Times New Roman" w:hAnsi="Times New Roman" w:cs="Times New Roman"/>
        </w:rPr>
        <w:t>-1. Principe de mesure d’isolement par injection DC superposée (EFD / IRMS)</w:t>
      </w:r>
    </w:p>
    <w:p w14:paraId="280ED572" w14:textId="77777777" w:rsidR="00FB3004"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t>Avantages</w:t>
      </w:r>
      <w:r w:rsidRPr="00524677">
        <w:rPr>
          <w:rFonts w:ascii="Times New Roman" w:hAnsi="Times New Roman" w:cs="Times New Roman"/>
        </w:rPr>
        <w:t xml:space="preserve"> </w:t>
      </w:r>
    </w:p>
    <w:p w14:paraId="213255FC" w14:textId="37D2AB9F"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rPr>
        <w:lastRenderedPageBreak/>
        <w:t xml:space="preserve">L’EFD est mature, standardisé, et son intégration dans le RCC est transparente pour l’exploitant : la mesure peut s’effectuer boucle </w:t>
      </w:r>
      <w:r w:rsidRPr="00524677">
        <w:rPr>
          <w:rFonts w:ascii="Times New Roman" w:hAnsi="Times New Roman" w:cs="Times New Roman"/>
          <w:b/>
        </w:rPr>
        <w:t>sous tension</w:t>
      </w:r>
      <w:r w:rsidRPr="00524677">
        <w:rPr>
          <w:rFonts w:ascii="Times New Roman" w:hAnsi="Times New Roman" w:cs="Times New Roman"/>
        </w:rPr>
        <w:t xml:space="preserve">, donc sans interruption de service. </w:t>
      </w:r>
      <w:r w:rsidR="0087088E">
        <w:rPr>
          <w:rFonts w:ascii="Times New Roman" w:hAnsi="Times New Roman" w:cs="Times New Roman"/>
        </w:rPr>
        <w:t>A l’ASECNA</w:t>
      </w:r>
      <w:r w:rsidRPr="00524677">
        <w:rPr>
          <w:rFonts w:ascii="Times New Roman" w:hAnsi="Times New Roman" w:cs="Times New Roman"/>
        </w:rPr>
        <w:t xml:space="preserve">, chaque DIAM4100 dispose d’un EFD embarqué dont les seuils d’alarme sont reportés à la station centrale via le bus </w:t>
      </w:r>
      <w:r w:rsidRPr="00524677">
        <w:rPr>
          <w:rFonts w:ascii="Times New Roman" w:hAnsi="Times New Roman" w:cs="Times New Roman"/>
          <w:i/>
        </w:rPr>
        <w:t>MODBUS</w:t>
      </w:r>
      <w:r w:rsidRPr="00524677">
        <w:rPr>
          <w:rFonts w:ascii="Times New Roman" w:hAnsi="Times New Roman" w:cs="Times New Roman"/>
        </w:rPr>
        <w:t xml:space="preserve"> (ASECNA, s.d.). Une mesure est effectuée en continu toutes les quelques secondes.</w:t>
      </w:r>
    </w:p>
    <w:p w14:paraId="33DBB2E3" w14:textId="271E93F8" w:rsidR="00FB3004"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t>Limites</w:t>
      </w:r>
    </w:p>
    <w:p w14:paraId="23195780" w14:textId="5C1F325B"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rPr>
        <w:t xml:space="preserve">L’EFD souffre de trois limitations structurelles, bien documentées (ADB </w:t>
      </w:r>
      <w:proofErr w:type="spellStart"/>
      <w:r w:rsidRPr="00524677">
        <w:rPr>
          <w:rFonts w:ascii="Times New Roman" w:hAnsi="Times New Roman" w:cs="Times New Roman"/>
        </w:rPr>
        <w:t>Safegate</w:t>
      </w:r>
      <w:proofErr w:type="spellEnd"/>
      <w:r w:rsidRPr="00524677">
        <w:rPr>
          <w:rFonts w:ascii="Times New Roman" w:hAnsi="Times New Roman" w:cs="Times New Roman"/>
        </w:rPr>
        <w:t>, 2019 ; FAA, 2014) :</w:t>
      </w:r>
    </w:p>
    <w:p w14:paraId="1E3E90C2" w14:textId="4B82CEA9" w:rsidR="00052612" w:rsidRPr="00524677" w:rsidRDefault="003F3D5F" w:rsidP="00F763E2">
      <w:pPr>
        <w:pStyle w:val="Compact"/>
        <w:numPr>
          <w:ilvl w:val="0"/>
          <w:numId w:val="3"/>
        </w:numPr>
        <w:spacing w:line="360" w:lineRule="auto"/>
        <w:jc w:val="both"/>
        <w:rPr>
          <w:rFonts w:ascii="Times New Roman" w:hAnsi="Times New Roman" w:cs="Times New Roman"/>
        </w:rPr>
      </w:pPr>
      <w:r w:rsidRPr="00524677">
        <w:rPr>
          <w:rFonts w:ascii="Times New Roman" w:hAnsi="Times New Roman" w:cs="Times New Roman"/>
          <w:b/>
        </w:rPr>
        <w:t>Il ne localise pas.</w:t>
      </w:r>
      <w:r w:rsidRPr="00524677">
        <w:rPr>
          <w:rFonts w:ascii="Times New Roman" w:hAnsi="Times New Roman" w:cs="Times New Roman"/>
        </w:rPr>
        <w:t xml:space="preserve"> La mesure est globale à la boucle : un défaut à 500 m ou à 8 km du RCC produit la même alarme. Or les onze boucles A–L à </w:t>
      </w:r>
      <w:r w:rsidR="0087088E">
        <w:rPr>
          <w:rFonts w:ascii="Times New Roman" w:hAnsi="Times New Roman" w:cs="Times New Roman"/>
        </w:rPr>
        <w:t>l’ASECNA</w:t>
      </w:r>
      <w:r w:rsidRPr="00524677">
        <w:rPr>
          <w:rFonts w:ascii="Times New Roman" w:hAnsi="Times New Roman" w:cs="Times New Roman"/>
        </w:rPr>
        <w:t xml:space="preserve"> totalisent plus de 80 km de câble.</w:t>
      </w:r>
    </w:p>
    <w:p w14:paraId="61443259" w14:textId="77777777" w:rsidR="00052612" w:rsidRPr="00524677" w:rsidRDefault="003F3D5F" w:rsidP="00F763E2">
      <w:pPr>
        <w:pStyle w:val="Compact"/>
        <w:numPr>
          <w:ilvl w:val="0"/>
          <w:numId w:val="3"/>
        </w:numPr>
        <w:spacing w:line="360" w:lineRule="auto"/>
        <w:jc w:val="both"/>
        <w:rPr>
          <w:rFonts w:ascii="Times New Roman" w:hAnsi="Times New Roman" w:cs="Times New Roman"/>
        </w:rPr>
      </w:pPr>
      <w:r w:rsidRPr="00524677">
        <w:rPr>
          <w:rFonts w:ascii="Times New Roman" w:hAnsi="Times New Roman" w:cs="Times New Roman"/>
          <w:b/>
        </w:rPr>
        <w:t>Il est aveugle aux défauts réactifs précoces.</w:t>
      </w:r>
      <w:r w:rsidRPr="00524677">
        <w:rPr>
          <w:rFonts w:ascii="Times New Roman" w:hAnsi="Times New Roman" w:cs="Times New Roman"/>
        </w:rPr>
        <w:t xml:space="preserve"> L’EFD mesure une résistance continue. Les dégradations purement </w:t>
      </w:r>
      <w:r w:rsidRPr="00524677">
        <w:rPr>
          <w:rFonts w:ascii="Times New Roman" w:hAnsi="Times New Roman" w:cs="Times New Roman"/>
          <w:b/>
        </w:rPr>
        <w:t>capacitives</w:t>
      </w:r>
      <w:r w:rsidRPr="00524677">
        <w:rPr>
          <w:rFonts w:ascii="Times New Roman" w:hAnsi="Times New Roman" w:cs="Times New Roman"/>
        </w:rPr>
        <w:t xml:space="preserve"> ou </w:t>
      </w:r>
      <w:r w:rsidRPr="00524677">
        <w:rPr>
          <w:rFonts w:ascii="Times New Roman" w:hAnsi="Times New Roman" w:cs="Times New Roman"/>
          <w:b/>
        </w:rPr>
        <w:t>inductives</w:t>
      </w:r>
      <w:r w:rsidRPr="00524677">
        <w:rPr>
          <w:rFonts w:ascii="Times New Roman" w:hAnsi="Times New Roman" w:cs="Times New Roman"/>
        </w:rPr>
        <w:t xml:space="preserve"> (arborescences d’eau en développement, perte de diélectrique superficiel) ne se traduisent que tardivement par une chute de résistance DC.</w:t>
      </w:r>
    </w:p>
    <w:p w14:paraId="104C724D" w14:textId="638F1247" w:rsidR="00052612" w:rsidRPr="00524677" w:rsidRDefault="003F3D5F" w:rsidP="00F763E2">
      <w:pPr>
        <w:pStyle w:val="Compact"/>
        <w:numPr>
          <w:ilvl w:val="0"/>
          <w:numId w:val="3"/>
        </w:numPr>
        <w:spacing w:line="360" w:lineRule="auto"/>
        <w:jc w:val="both"/>
        <w:rPr>
          <w:rFonts w:ascii="Times New Roman" w:hAnsi="Times New Roman" w:cs="Times New Roman"/>
        </w:rPr>
      </w:pPr>
      <w:r w:rsidRPr="00524677">
        <w:rPr>
          <w:rFonts w:ascii="Times New Roman" w:hAnsi="Times New Roman" w:cs="Times New Roman"/>
          <w:b/>
        </w:rPr>
        <w:t>Il est sensible à l’environnement.</w:t>
      </w:r>
      <w:r w:rsidRPr="00524677">
        <w:rPr>
          <w:rFonts w:ascii="Times New Roman" w:hAnsi="Times New Roman" w:cs="Times New Roman"/>
        </w:rPr>
        <w:t xml:space="preserve"> L’humidité saisonnière — marquée à Douala — provoque des variations réversibles </w:t>
      </w:r>
      <w:r w:rsidR="0087088E">
        <w:rPr>
          <w:rFonts w:ascii="Times New Roman" w:hAnsi="Times New Roman" w:cs="Times New Roman"/>
        </w:rPr>
        <w:t>significatives</w:t>
      </w:r>
      <w:r w:rsidRPr="00524677">
        <w:rPr>
          <w:rFonts w:ascii="Times New Roman" w:hAnsi="Times New Roman" w:cs="Times New Roman"/>
        </w:rPr>
        <w:t xml:space="preserve"> de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iso</m:t>
            </m:r>
          </m:sub>
        </m:sSub>
      </m:oMath>
      <w:r w:rsidRPr="00524677">
        <w:rPr>
          <w:rFonts w:ascii="Times New Roman" w:hAnsi="Times New Roman" w:cs="Times New Roman"/>
        </w:rPr>
        <w:t>, rendant difficile la distinction entre dégradation réelle et effet climatique</w:t>
      </w:r>
      <w:r w:rsidR="0003749C">
        <w:rPr>
          <w:rFonts w:ascii="Times New Roman" w:hAnsi="Times New Roman" w:cs="Times New Roman"/>
        </w:rPr>
        <w:t xml:space="preserve"> </w:t>
      </w:r>
      <w:r w:rsidR="0003749C">
        <w:t>(Hampton et al., 2016)</w:t>
      </w:r>
      <w:r w:rsidRPr="00524677">
        <w:rPr>
          <w:rFonts w:ascii="Times New Roman" w:hAnsi="Times New Roman" w:cs="Times New Roman"/>
        </w:rPr>
        <w:t>.</w:t>
      </w:r>
    </w:p>
    <w:p w14:paraId="5FC9B203" w14:textId="14CE7F11" w:rsidR="00052612" w:rsidRPr="00524677" w:rsidRDefault="003F3D5F" w:rsidP="00F763E2">
      <w:pPr>
        <w:pStyle w:val="Heading3"/>
        <w:spacing w:line="360" w:lineRule="auto"/>
        <w:jc w:val="both"/>
        <w:rPr>
          <w:rFonts w:ascii="Times New Roman" w:hAnsi="Times New Roman" w:cs="Times New Roman"/>
          <w:color w:val="auto"/>
        </w:rPr>
      </w:pPr>
      <w:bookmarkStart w:id="9" w:name="X655783fee956356b818e4e27c3dee8a691c09d9"/>
      <w:bookmarkStart w:id="10" w:name="_Toc229131308"/>
      <w:r w:rsidRPr="00524677">
        <w:rPr>
          <w:rFonts w:ascii="Times New Roman" w:hAnsi="Times New Roman" w:cs="Times New Roman"/>
          <w:color w:val="auto"/>
        </w:rPr>
        <w:t>I</w:t>
      </w:r>
      <w:r w:rsidR="00013E18">
        <w:rPr>
          <w:rFonts w:ascii="Times New Roman" w:hAnsi="Times New Roman" w:cs="Times New Roman"/>
          <w:color w:val="auto"/>
        </w:rPr>
        <w:t>I</w:t>
      </w:r>
      <w:r w:rsidRPr="00524677">
        <w:rPr>
          <w:rFonts w:ascii="Times New Roman" w:hAnsi="Times New Roman" w:cs="Times New Roman"/>
          <w:color w:val="auto"/>
        </w:rPr>
        <w:t>.2.2. Détecteur de lampe défaillante (LFD)</w:t>
      </w:r>
      <w:bookmarkEnd w:id="9"/>
      <w:bookmarkEnd w:id="10"/>
    </w:p>
    <w:p w14:paraId="57BF0637" w14:textId="77777777" w:rsidR="00052612" w:rsidRPr="00524677" w:rsidRDefault="003F3D5F" w:rsidP="006277DE">
      <w:pPr>
        <w:pStyle w:val="FirstParagraph"/>
      </w:pPr>
      <w:r w:rsidRPr="00524677">
        <w:t xml:space="preserve">En complément de l’EFD, les RCC modernes embarquent un </w:t>
      </w:r>
      <w:proofErr w:type="spellStart"/>
      <w:r w:rsidRPr="00524677">
        <w:rPr>
          <w:b/>
        </w:rPr>
        <w:t>Lamp</w:t>
      </w:r>
      <w:proofErr w:type="spellEnd"/>
      <w:r w:rsidRPr="00524677">
        <w:rPr>
          <w:b/>
        </w:rPr>
        <w:t xml:space="preserve"> </w:t>
      </w:r>
      <w:proofErr w:type="spellStart"/>
      <w:r w:rsidRPr="00524677">
        <w:rPr>
          <w:b/>
        </w:rPr>
        <w:t>Fault</w:t>
      </w:r>
      <w:proofErr w:type="spellEnd"/>
      <w:r w:rsidRPr="00524677">
        <w:rPr>
          <w:b/>
        </w:rPr>
        <w:t xml:space="preserve"> Detector</w:t>
      </w:r>
      <w:r w:rsidRPr="00524677">
        <w:t xml:space="preserve"> (LFD). Celui-ci mesure le déphasage </w:t>
      </w:r>
      <m:oMath>
        <m:r>
          <w:rPr>
            <w:rFonts w:ascii="Cambria Math" w:hAnsi="Cambria Math"/>
          </w:rPr>
          <m:t>φ</m:t>
        </m:r>
      </m:oMath>
      <w:r w:rsidRPr="00524677">
        <w:t xml:space="preserve"> entre la tension aux bornes du secondaire du transformateur HT et le courant de boucle, et le compare à une référence dépendant du nombre de lampes en service. </w:t>
      </w:r>
      <w:commentRangeStart w:id="11"/>
      <w:r w:rsidRPr="00524677">
        <w:t xml:space="preserve">Un TI saturé par une lampe grillée est détecté par un saut brusque de </w:t>
      </w:r>
      <m:oMath>
        <m:r>
          <w:rPr>
            <w:rFonts w:ascii="Cambria Math" w:hAnsi="Cambria Math"/>
          </w:rPr>
          <m:t>φ</m:t>
        </m:r>
      </m:oMath>
      <w:r w:rsidRPr="00524677">
        <w:t xml:space="preserve"> </w:t>
      </w:r>
      <w:commentRangeEnd w:id="11"/>
      <w:r w:rsidR="00EF7F6A">
        <w:rPr>
          <w:rStyle w:val="CommentReference"/>
        </w:rPr>
        <w:commentReference w:id="11"/>
      </w:r>
      <w:r w:rsidRPr="00524677">
        <w:t xml:space="preserve">(Augier Energy, 2019). Le LFD répond au sous-problème </w:t>
      </w:r>
      <w:r w:rsidRPr="00524677">
        <w:rPr>
          <w:i/>
        </w:rPr>
        <w:t>détection</w:t>
      </w:r>
      <w:r w:rsidRPr="00524677">
        <w:t xml:space="preserve"> mais reste, comme l’EFD, </w:t>
      </w:r>
      <w:r w:rsidRPr="00524677">
        <w:rPr>
          <w:b/>
        </w:rPr>
        <w:t>non localisant</w:t>
      </w:r>
      <w:r w:rsidRPr="00524677">
        <w:t xml:space="preserve">. Il est par ailleurs insensible aux défauts côté câble : il détecte une défaillance </w:t>
      </w:r>
      <w:r w:rsidRPr="00524677">
        <w:rPr>
          <w:i/>
        </w:rPr>
        <w:t>lampe</w:t>
      </w:r>
      <w:r w:rsidRPr="00524677">
        <w:t xml:space="preserve"> et non </w:t>
      </w:r>
      <w:r w:rsidRPr="00524677">
        <w:rPr>
          <w:i/>
        </w:rPr>
        <w:t>isolement</w:t>
      </w:r>
      <w:r w:rsidRPr="00524677">
        <w:t>.</w:t>
      </w:r>
    </w:p>
    <w:p w14:paraId="1B635C76" w14:textId="50ED77C8" w:rsidR="00FB3004" w:rsidRPr="00FB3004" w:rsidRDefault="00013E18" w:rsidP="00FB3004">
      <w:pPr>
        <w:pStyle w:val="Heading3"/>
        <w:spacing w:line="360" w:lineRule="auto"/>
        <w:jc w:val="both"/>
        <w:rPr>
          <w:rFonts w:ascii="Times New Roman" w:hAnsi="Times New Roman" w:cs="Times New Roman"/>
          <w:color w:val="auto"/>
          <w:lang w:val="fr-FR"/>
        </w:rPr>
      </w:pPr>
      <w:bookmarkStart w:id="12" w:name="i.2.3.-synthèse-industrielle"/>
      <w:bookmarkStart w:id="13" w:name="_Toc229131309"/>
      <w:r>
        <w:rPr>
          <w:rFonts w:ascii="Times New Roman" w:hAnsi="Times New Roman" w:cs="Times New Roman"/>
          <w:color w:val="auto"/>
          <w:lang w:val="fr-FR"/>
        </w:rPr>
        <w:t>I</w:t>
      </w:r>
      <w:r w:rsidR="00FB3004" w:rsidRPr="00FB3004">
        <w:rPr>
          <w:rFonts w:ascii="Times New Roman" w:hAnsi="Times New Roman" w:cs="Times New Roman"/>
          <w:color w:val="auto"/>
          <w:lang w:val="fr-FR"/>
        </w:rPr>
        <w:t>I.2.3. Contrôle et surveillance individuelle à la lampe (ILCMS)</w:t>
      </w:r>
      <w:bookmarkEnd w:id="13"/>
    </w:p>
    <w:p w14:paraId="48845CD7" w14:textId="77777777" w:rsidR="00FB3004" w:rsidRPr="006277DE" w:rsidRDefault="00FB3004" w:rsidP="006277DE">
      <w:pPr>
        <w:pStyle w:val="FirstParagraph"/>
        <w:rPr>
          <w:b/>
          <w:bCs/>
        </w:rPr>
      </w:pPr>
      <w:r w:rsidRPr="006277DE">
        <w:t xml:space="preserve">Sur les aérodromes de Catégorie III — ou plus généralement sur ceux dont le plan de maintenance prévoit une traçabilité à la lampe — le dispositif de supervision global par </w:t>
      </w:r>
      <w:r w:rsidRPr="006277DE">
        <w:lastRenderedPageBreak/>
        <w:t xml:space="preserve">EFD/LFD est complété par un système de contrôle et de surveillance individuelle désigné </w:t>
      </w:r>
      <w:proofErr w:type="spellStart"/>
      <w:r w:rsidRPr="006277DE">
        <w:rPr>
          <w:i/>
          <w:iCs/>
        </w:rPr>
        <w:t>Individual</w:t>
      </w:r>
      <w:proofErr w:type="spellEnd"/>
      <w:r w:rsidRPr="006277DE">
        <w:rPr>
          <w:i/>
          <w:iCs/>
        </w:rPr>
        <w:t xml:space="preserve"> </w:t>
      </w:r>
      <w:proofErr w:type="spellStart"/>
      <w:r w:rsidRPr="006277DE">
        <w:rPr>
          <w:i/>
          <w:iCs/>
        </w:rPr>
        <w:t>Lamp</w:t>
      </w:r>
      <w:proofErr w:type="spellEnd"/>
      <w:r w:rsidRPr="006277DE">
        <w:rPr>
          <w:i/>
          <w:iCs/>
        </w:rPr>
        <w:t xml:space="preserve"> Control and Monitoring System</w:t>
      </w:r>
      <w:r w:rsidRPr="006277DE">
        <w:t xml:space="preserve"> (ILCMS), également commercialisé sous les acronymes </w:t>
      </w:r>
      <w:r w:rsidRPr="006277DE">
        <w:rPr>
          <w:i/>
          <w:iCs/>
        </w:rPr>
        <w:t>SLCMS</w:t>
      </w:r>
      <w:r w:rsidRPr="006277DE">
        <w:t xml:space="preserve"> chez OCEM ou </w:t>
      </w:r>
      <w:r w:rsidRPr="006277DE">
        <w:rPr>
          <w:i/>
          <w:iCs/>
        </w:rPr>
        <w:t>L-INC360</w:t>
      </w:r>
      <w:r w:rsidRPr="006277DE">
        <w:t xml:space="preserve"> chez ADB </w:t>
      </w:r>
      <w:proofErr w:type="spellStart"/>
      <w:r w:rsidRPr="006277DE">
        <w:t>Safegate</w:t>
      </w:r>
      <w:proofErr w:type="spellEnd"/>
      <w:r w:rsidRPr="006277DE">
        <w:t xml:space="preserve"> (ADB </w:t>
      </w:r>
      <w:proofErr w:type="spellStart"/>
      <w:r w:rsidRPr="006277DE">
        <w:t>Safegate</w:t>
      </w:r>
      <w:proofErr w:type="spellEnd"/>
      <w:r w:rsidRPr="006277DE">
        <w:t xml:space="preserve">, 2023 ; OCEM </w:t>
      </w:r>
      <w:proofErr w:type="spellStart"/>
      <w:r w:rsidRPr="006277DE">
        <w:t>Airfield</w:t>
      </w:r>
      <w:proofErr w:type="spellEnd"/>
      <w:r w:rsidRPr="006277DE">
        <w:t xml:space="preserve"> </w:t>
      </w:r>
      <w:proofErr w:type="spellStart"/>
      <w:r w:rsidRPr="006277DE">
        <w:t>Technology</w:t>
      </w:r>
      <w:proofErr w:type="spellEnd"/>
      <w:r w:rsidRPr="006277DE">
        <w:t>, s.d.).</w:t>
      </w:r>
    </w:p>
    <w:p w14:paraId="51AF3132" w14:textId="77777777" w:rsidR="00BF14EE" w:rsidRPr="006277DE" w:rsidRDefault="00BF14EE" w:rsidP="006277DE">
      <w:pPr>
        <w:pStyle w:val="FirstParagraph"/>
      </w:pPr>
      <w:r w:rsidRPr="006277DE">
        <w:t xml:space="preserve">Le principe repose sur l'installation, au primaire ou au secondaire de chaque transformateur d'isolement, d'un module électronique adressable. La communication avec la station centrale exploite la </w:t>
      </w:r>
      <w:r w:rsidRPr="006277DE">
        <w:rPr>
          <w:b/>
          <w:bCs/>
        </w:rPr>
        <w:t>technologie des courants porteurs en ligne</w:t>
      </w:r>
      <w:r w:rsidRPr="006277DE">
        <w:t xml:space="preserve"> (CPL, </w:t>
      </w:r>
      <w:r w:rsidRPr="006277DE">
        <w:rPr>
          <w:i/>
          <w:iCs/>
        </w:rPr>
        <w:t>Power Line Communication</w:t>
      </w:r>
      <w:r w:rsidRPr="006277DE">
        <w:t xml:space="preserve">) : un signal modulé haute fréquence est superposé au courant de service 6,6 A, et chaque module répond à son adresse individuelle (ATG </w:t>
      </w:r>
      <w:proofErr w:type="spellStart"/>
      <w:r w:rsidRPr="006277DE">
        <w:t>Airports</w:t>
      </w:r>
      <w:proofErr w:type="spellEnd"/>
      <w:r w:rsidRPr="006277DE">
        <w:t xml:space="preserve">, s.d.). Conçu à l'origine pour le </w:t>
      </w:r>
      <w:r w:rsidRPr="006277DE">
        <w:rPr>
          <w:b/>
          <w:bCs/>
        </w:rPr>
        <w:t>guidage sélectif</w:t>
      </w:r>
      <w:r w:rsidRPr="006277DE">
        <w:t xml:space="preserve"> des aéronefs (allumage et extinction à la balise près au profit du </w:t>
      </w:r>
      <w:proofErr w:type="spellStart"/>
      <w:r w:rsidRPr="006277DE">
        <w:rPr>
          <w:i/>
          <w:iCs/>
        </w:rPr>
        <w:t>routing</w:t>
      </w:r>
      <w:proofErr w:type="spellEnd"/>
      <w:r w:rsidRPr="006277DE">
        <w:t xml:space="preserve"> en visibilité réduite), l'ILCMS fournit par dérivation une </w:t>
      </w:r>
      <w:r w:rsidRPr="006277DE">
        <w:rPr>
          <w:b/>
          <w:bCs/>
        </w:rPr>
        <w:t>fonction de localisation topologique</w:t>
      </w:r>
      <w:r w:rsidRPr="006277DE">
        <w:t xml:space="preserve"> des défauts francs : lorsqu'un défaut d'isolement sévère ou une rupture survient sur la boucle, la communication CPL est atténuée ou bloquée, et la station centrale perd alors la réponse de tous les modules situés en aval du point de défaut. L'exploitant peut ainsi </w:t>
      </w:r>
      <w:r w:rsidRPr="006277DE">
        <w:rPr>
          <w:b/>
          <w:bCs/>
        </w:rPr>
        <w:t>isoler la panne entre deux balises successives</w:t>
      </w:r>
      <w:r w:rsidRPr="006277DE">
        <w:t xml:space="preserve"> sans inspection visuelle sur piste (ADB </w:t>
      </w:r>
      <w:proofErr w:type="spellStart"/>
      <w:r w:rsidRPr="006277DE">
        <w:t>Safegate</w:t>
      </w:r>
      <w:proofErr w:type="spellEnd"/>
      <w:r w:rsidRPr="006277DE">
        <w:t>, 2023).</w:t>
      </w:r>
    </w:p>
    <w:p w14:paraId="648697BA" w14:textId="4BA34587" w:rsidR="00FB3004" w:rsidRPr="006277DE" w:rsidRDefault="00FB3004" w:rsidP="006277DE">
      <w:pPr>
        <w:pStyle w:val="FirstParagraph"/>
        <w:rPr>
          <w:lang w:val="fr-FR"/>
        </w:rPr>
      </w:pPr>
      <w:r w:rsidRPr="006277DE">
        <w:rPr>
          <w:lang w:val="fr-FR"/>
        </w:rPr>
        <w:t>Avantages</w:t>
      </w:r>
    </w:p>
    <w:p w14:paraId="35E60A37" w14:textId="77777777" w:rsidR="00BF14EE" w:rsidRPr="006277DE" w:rsidRDefault="00BF14EE" w:rsidP="006277DE">
      <w:pPr>
        <w:pStyle w:val="FirstParagraph"/>
      </w:pPr>
      <w:r w:rsidRPr="006277DE">
        <w:t xml:space="preserve">L'ILCMS offre une </w:t>
      </w:r>
      <w:r w:rsidRPr="006277DE">
        <w:rPr>
          <w:b/>
          <w:bCs/>
        </w:rPr>
        <w:t>résolution spatiale à la balise</w:t>
      </w:r>
      <w:r w:rsidRPr="006277DE">
        <w:t xml:space="preserve"> sur les défauts francs (coupure, amorçage masqué par court-circuit), ainsi qu'un gain opérationnel immédiat : réduction du temps d'intervention, planification préventive des remplacements de lampes sur la base de compteurs d'heures individuels, et fourniture d'une image à jour du parc en temps réel (OCEM </w:t>
      </w:r>
      <w:proofErr w:type="spellStart"/>
      <w:r w:rsidRPr="006277DE">
        <w:t>Airfield</w:t>
      </w:r>
      <w:proofErr w:type="spellEnd"/>
      <w:r w:rsidRPr="006277DE">
        <w:t xml:space="preserve"> </w:t>
      </w:r>
      <w:proofErr w:type="spellStart"/>
      <w:r w:rsidRPr="006277DE">
        <w:t>Technology</w:t>
      </w:r>
      <w:proofErr w:type="spellEnd"/>
      <w:r w:rsidRPr="006277DE">
        <w:t>, s.d.).</w:t>
      </w:r>
    </w:p>
    <w:p w14:paraId="2B18D827" w14:textId="2C398668" w:rsidR="00FB3004" w:rsidRPr="006277DE" w:rsidRDefault="00FB3004" w:rsidP="006277DE">
      <w:pPr>
        <w:pStyle w:val="FirstParagraph"/>
      </w:pPr>
      <w:r w:rsidRPr="006277DE">
        <w:t>Inconvénients</w:t>
      </w:r>
    </w:p>
    <w:p w14:paraId="563A88D7" w14:textId="77777777" w:rsidR="00BF14EE" w:rsidRPr="006277DE" w:rsidRDefault="00BF14EE" w:rsidP="006277DE">
      <w:pPr>
        <w:pStyle w:val="FirstParagraph"/>
        <w:rPr>
          <w:lang w:val="fr-FR"/>
        </w:rPr>
      </w:pPr>
      <w:r w:rsidRPr="006277DE">
        <w:rPr>
          <w:lang w:val="fr-FR"/>
        </w:rPr>
        <w:t>Trois limites structurelles expliquent toutefois que l'ILCMS ne résolve pas à lui seul le problème d'isolement :</w:t>
      </w:r>
    </w:p>
    <w:p w14:paraId="1EA08077" w14:textId="77777777" w:rsidR="00BF14EE" w:rsidRPr="006277DE" w:rsidRDefault="00BF14EE" w:rsidP="006277DE">
      <w:pPr>
        <w:pStyle w:val="FirstParagraph"/>
        <w:numPr>
          <w:ilvl w:val="0"/>
          <w:numId w:val="16"/>
        </w:numPr>
        <w:rPr>
          <w:lang w:val="fr-FR"/>
        </w:rPr>
      </w:pPr>
      <w:r w:rsidRPr="006277DE">
        <w:rPr>
          <w:b/>
          <w:bCs/>
          <w:lang w:val="fr-FR"/>
        </w:rPr>
        <w:t>Incapacité à anticiper une dégradation progressive</w:t>
      </w:r>
      <w:r w:rsidRPr="006277DE">
        <w:rPr>
          <w:lang w:val="fr-FR"/>
        </w:rPr>
        <w:t xml:space="preserve">. Tant que la résistance d'isolement reste supérieure à quelques dizaines de </w:t>
      </w:r>
      <w:proofErr w:type="spellStart"/>
      <w:r w:rsidRPr="006277DE">
        <w:rPr>
          <w:lang w:val="fr-FR"/>
        </w:rPr>
        <w:t>kΩ</w:t>
      </w:r>
      <w:proofErr w:type="spellEnd"/>
      <w:r w:rsidRPr="006277DE">
        <w:rPr>
          <w:lang w:val="fr-FR"/>
        </w:rPr>
        <w:t xml:space="preserve">, le canal CPL transmet correctement : l'ILCMS ne détecte le défaut qu'au moment où celui-ci devient critique, après que l'EFD </w:t>
      </w:r>
      <w:proofErr w:type="gramStart"/>
      <w:r w:rsidRPr="006277DE">
        <w:rPr>
          <w:lang w:val="fr-FR"/>
        </w:rPr>
        <w:t>l'ait</w:t>
      </w:r>
      <w:proofErr w:type="gramEnd"/>
      <w:r w:rsidRPr="006277DE">
        <w:rPr>
          <w:lang w:val="fr-FR"/>
        </w:rPr>
        <w:t xml:space="preserve"> déjà signalé.</w:t>
      </w:r>
    </w:p>
    <w:p w14:paraId="0E6D1F57" w14:textId="77777777" w:rsidR="00BF14EE" w:rsidRPr="006277DE" w:rsidRDefault="00BF14EE" w:rsidP="006277DE">
      <w:pPr>
        <w:pStyle w:val="FirstParagraph"/>
        <w:numPr>
          <w:ilvl w:val="0"/>
          <w:numId w:val="16"/>
        </w:numPr>
        <w:rPr>
          <w:lang w:val="fr-FR"/>
        </w:rPr>
      </w:pPr>
      <w:r w:rsidRPr="006277DE">
        <w:rPr>
          <w:b/>
          <w:bCs/>
          <w:lang w:val="fr-FR"/>
        </w:rPr>
        <w:lastRenderedPageBreak/>
        <w:t>Vulnérabilité des modules</w:t>
      </w:r>
      <w:r w:rsidRPr="006277DE">
        <w:rPr>
          <w:lang w:val="fr-FR"/>
        </w:rPr>
        <w:t>. L'électronique embarquée, installée dans des regards soumis à l'immersion temporaire et aux variations thermiques, constitue un point de défaillance supplémentaire, ce qui accroît le volume de maintenance (FAA, 2014).</w:t>
      </w:r>
    </w:p>
    <w:p w14:paraId="0B57F25F" w14:textId="77777777" w:rsidR="00BF14EE" w:rsidRPr="006277DE" w:rsidRDefault="00BF14EE" w:rsidP="006277DE">
      <w:pPr>
        <w:pStyle w:val="FirstParagraph"/>
        <w:numPr>
          <w:ilvl w:val="0"/>
          <w:numId w:val="16"/>
        </w:numPr>
        <w:rPr>
          <w:lang w:val="fr-FR"/>
        </w:rPr>
      </w:pPr>
      <w:r w:rsidRPr="006277DE">
        <w:rPr>
          <w:b/>
          <w:bCs/>
          <w:lang w:val="fr-FR"/>
        </w:rPr>
        <w:t>Coût d'équipement</w:t>
      </w:r>
      <w:r w:rsidRPr="006277DE">
        <w:rPr>
          <w:lang w:val="fr-FR"/>
        </w:rPr>
        <w:t xml:space="preserve">. L'ILCMS exige un module par transformateur d'isolement — soit plusieurs centaines d'unités par aérodrome — et un </w:t>
      </w:r>
      <w:proofErr w:type="spellStart"/>
      <w:r w:rsidRPr="006277DE">
        <w:rPr>
          <w:i/>
          <w:iCs/>
          <w:lang w:val="fr-FR"/>
        </w:rPr>
        <w:t>retrofit</w:t>
      </w:r>
      <w:proofErr w:type="spellEnd"/>
      <w:r w:rsidRPr="006277DE">
        <w:rPr>
          <w:lang w:val="fr-FR"/>
        </w:rPr>
        <w:t xml:space="preserve"> sur un parc existant représente un investissement majeur, rarement compatible avec l'enveloppe d'une installation ASECNA hors Catégorie III.</w:t>
      </w:r>
    </w:p>
    <w:p w14:paraId="565E3FC0" w14:textId="0737EAD4" w:rsidR="00052612" w:rsidRPr="00524677" w:rsidRDefault="003F3D5F" w:rsidP="00F763E2">
      <w:pPr>
        <w:pStyle w:val="Heading3"/>
        <w:spacing w:line="360" w:lineRule="auto"/>
        <w:jc w:val="both"/>
        <w:rPr>
          <w:rFonts w:ascii="Times New Roman" w:hAnsi="Times New Roman" w:cs="Times New Roman"/>
          <w:color w:val="auto"/>
        </w:rPr>
      </w:pPr>
      <w:bookmarkStart w:id="14" w:name="_Toc229131310"/>
      <w:r w:rsidRPr="00524677">
        <w:rPr>
          <w:rFonts w:ascii="Times New Roman" w:hAnsi="Times New Roman" w:cs="Times New Roman"/>
          <w:color w:val="auto"/>
        </w:rPr>
        <w:t>I</w:t>
      </w:r>
      <w:r w:rsidR="00BF3954">
        <w:rPr>
          <w:rFonts w:ascii="Times New Roman" w:hAnsi="Times New Roman" w:cs="Times New Roman"/>
          <w:color w:val="auto"/>
        </w:rPr>
        <w:t>I</w:t>
      </w:r>
      <w:r w:rsidRPr="00524677">
        <w:rPr>
          <w:rFonts w:ascii="Times New Roman" w:hAnsi="Times New Roman" w:cs="Times New Roman"/>
          <w:color w:val="auto"/>
        </w:rPr>
        <w:t>.2.3. Synthèse industrielle</w:t>
      </w:r>
      <w:bookmarkEnd w:id="12"/>
      <w:bookmarkEnd w:id="14"/>
    </w:p>
    <w:p w14:paraId="78C0856F" w14:textId="043A4CBA" w:rsidR="00052612" w:rsidRPr="00524677" w:rsidRDefault="003F3D5F" w:rsidP="006277DE">
      <w:pPr>
        <w:pStyle w:val="FirstParagraph"/>
      </w:pPr>
      <w:r w:rsidRPr="00524677">
        <w:t xml:space="preserve">L’offre industrielle couvre donc le besoin minimum — savoir qu’une boucle est en défaut — mais laisse ouvertes deux questions : </w:t>
      </w:r>
      <w:r w:rsidRPr="00524677">
        <w:rPr>
          <w:b/>
        </w:rPr>
        <w:t>où ?</w:t>
      </w:r>
      <w:r w:rsidRPr="00524677">
        <w:t xml:space="preserve"> et </w:t>
      </w:r>
      <w:r w:rsidRPr="00524677">
        <w:rPr>
          <w:b/>
        </w:rPr>
        <w:t xml:space="preserve">avec quelle </w:t>
      </w:r>
      <w:r w:rsidR="00150129" w:rsidRPr="00524677">
        <w:rPr>
          <w:b/>
        </w:rPr>
        <w:t>anticipation ?</w:t>
      </w:r>
      <w:r w:rsidRPr="00524677">
        <w:t xml:space="preserve"> Les campagnes récentes de mesure sur circuits série (Cui et al., 2023) confirment qu’un EFD seul ne détecte typiquement un défaut </w:t>
      </w:r>
      <w:proofErr w:type="spellStart"/>
      <w:r w:rsidRPr="00524677">
        <w:t>incipient</w:t>
      </w:r>
      <w:proofErr w:type="spellEnd"/>
      <w:r w:rsidRPr="00524677">
        <w:t xml:space="preserve"> que 24 à 72 heures avant l’amorçage, délai insuffisant pour planifier une intervention maintenant les séquences de décollage. La suite du chapitre explore les approches qui tentent de combler ces deux lacunes.</w:t>
      </w:r>
    </w:p>
    <w:p w14:paraId="0CCBE79E" w14:textId="0738892E" w:rsidR="00052612" w:rsidRPr="00524677" w:rsidRDefault="00BF3954" w:rsidP="006277DE">
      <w:pPr>
        <w:pStyle w:val="Heading2"/>
      </w:pPr>
      <w:bookmarkStart w:id="15" w:name="X6613058c32905d6118e298e0b5fafeb1085ab93"/>
      <w:bookmarkStart w:id="16" w:name="_Toc229131311"/>
      <w:r>
        <w:t>I</w:t>
      </w:r>
      <w:r w:rsidR="003F3D5F" w:rsidRPr="00524677">
        <w:t>I.3. Analyse spectrale et traitement du signal</w:t>
      </w:r>
      <w:bookmarkEnd w:id="15"/>
      <w:bookmarkEnd w:id="16"/>
    </w:p>
    <w:p w14:paraId="05814848" w14:textId="1EF36C1A" w:rsidR="00052612" w:rsidRPr="00524677" w:rsidRDefault="003F3D5F" w:rsidP="00F763E2">
      <w:pPr>
        <w:pStyle w:val="Heading3"/>
        <w:spacing w:line="360" w:lineRule="auto"/>
        <w:jc w:val="both"/>
        <w:rPr>
          <w:rFonts w:ascii="Times New Roman" w:hAnsi="Times New Roman" w:cs="Times New Roman"/>
          <w:color w:val="auto"/>
        </w:rPr>
      </w:pPr>
      <w:bookmarkStart w:id="17" w:name="Xa0aed94a7b72941b819d499a73dfe2fc514e5a7"/>
      <w:bookmarkStart w:id="18" w:name="_Toc229131312"/>
      <w:r w:rsidRPr="00524677">
        <w:rPr>
          <w:rFonts w:ascii="Times New Roman" w:hAnsi="Times New Roman" w:cs="Times New Roman"/>
          <w:color w:val="auto"/>
        </w:rPr>
        <w:t>I</w:t>
      </w:r>
      <w:r w:rsidR="00BF3954">
        <w:rPr>
          <w:rFonts w:ascii="Times New Roman" w:hAnsi="Times New Roman" w:cs="Times New Roman"/>
          <w:color w:val="auto"/>
        </w:rPr>
        <w:t>I</w:t>
      </w:r>
      <w:r w:rsidRPr="00524677">
        <w:rPr>
          <w:rFonts w:ascii="Times New Roman" w:hAnsi="Times New Roman" w:cs="Times New Roman"/>
          <w:color w:val="auto"/>
        </w:rPr>
        <w:t>.3.1. Transformée de Fourier et signature harmonique</w:t>
      </w:r>
      <w:bookmarkEnd w:id="17"/>
      <w:bookmarkEnd w:id="18"/>
    </w:p>
    <w:p w14:paraId="4BBEA841" w14:textId="77777777" w:rsidR="00052612" w:rsidRPr="00524677" w:rsidRDefault="003F3D5F" w:rsidP="006277DE">
      <w:pPr>
        <w:pStyle w:val="FirstParagraph"/>
      </w:pPr>
      <w:r w:rsidRPr="00524677">
        <w:t>La première famille de méthodes visant à enrichir le diagnostic au-delà de la résistance DC repose sur l’</w:t>
      </w:r>
      <w:r w:rsidRPr="00524677">
        <w:rPr>
          <w:b/>
        </w:rPr>
        <w:t>analyse spectrale</w:t>
      </w:r>
      <w:r w:rsidRPr="00524677">
        <w:t xml:space="preserve"> du courant et/ou de la tension de boucle. L’idée est que l’état d’isolement d’un câble ne se traduit pas seulement dans sa résistance, mais aussi dans la </w:t>
      </w:r>
      <w:r w:rsidRPr="00524677">
        <w:rPr>
          <w:b/>
        </w:rPr>
        <w:t>distorsion harmonique</w:t>
      </w:r>
      <w:r w:rsidRPr="00524677">
        <w:t xml:space="preserve"> qu’il impose au signal. La transformée de Fourier discrète (TFD), évaluée sur une fenêtre de </w:t>
      </w:r>
      <m:oMath>
        <m:r>
          <w:rPr>
            <w:rFonts w:ascii="Cambria Math" w:hAnsi="Cambria Math"/>
          </w:rPr>
          <m:t>N</m:t>
        </m:r>
      </m:oMath>
      <w:r w:rsidRPr="00524677">
        <w:t xml:space="preserve"> échantillons, s’écrit :</w:t>
      </w:r>
    </w:p>
    <w:p w14:paraId="6C49A4FF" w14:textId="7B86D25F" w:rsidR="00052612" w:rsidRPr="00524677" w:rsidRDefault="003F3D5F" w:rsidP="00F763E2">
      <w:pPr>
        <w:pStyle w:val="BodyText"/>
        <w:spacing w:line="360" w:lineRule="auto"/>
        <w:jc w:val="both"/>
        <w:rPr>
          <w:rFonts w:ascii="Times New Roman" w:hAnsi="Times New Roman" w:cs="Times New Roman"/>
        </w:rPr>
      </w:pPr>
      <m:oMathPara>
        <m:oMathParaPr>
          <m:jc m:val="center"/>
        </m:oMathParaPr>
        <m:oMath>
          <m:r>
            <w:rPr>
              <w:rFonts w:ascii="Cambria Math" w:hAnsi="Cambria Math" w:cs="Times New Roman"/>
            </w:rPr>
            <m:t>X[k] = </m:t>
          </m:r>
          <m:nary>
            <m:naryPr>
              <m:chr m:val="∑"/>
              <m:limLoc m:val="undOvr"/>
              <m:ctrlPr>
                <w:rPr>
                  <w:rFonts w:ascii="Cambria Math" w:hAnsi="Cambria Math" w:cs="Times New Roman"/>
                </w:rPr>
              </m:ctrlPr>
            </m:naryPr>
            <m:sub>
              <m:r>
                <w:rPr>
                  <w:rFonts w:ascii="Cambria Math" w:hAnsi="Cambria Math" w:cs="Times New Roman"/>
                </w:rPr>
                <m:t>n=0</m:t>
              </m:r>
            </m:sub>
            <m:sup>
              <m:r>
                <w:rPr>
                  <w:rFonts w:ascii="Cambria Math" w:hAnsi="Cambria Math" w:cs="Times New Roman"/>
                </w:rPr>
                <m:t>N-1</m:t>
              </m:r>
            </m:sup>
            <m:e>
              <m:r>
                <w:rPr>
                  <w:rFonts w:ascii="Cambria Math" w:hAnsi="Cambria Math" w:cs="Times New Roman"/>
                </w:rPr>
                <m:t>x</m:t>
              </m:r>
            </m:e>
          </m:nary>
          <m:r>
            <w:rPr>
              <w:rFonts w:ascii="Cambria Math" w:hAnsi="Cambria Math" w:cs="Times New Roman"/>
            </w:rPr>
            <m:t>[n] </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-j2πkn/N</m:t>
              </m:r>
            </m:sup>
          </m:sSup>
          <m:r>
            <w:rPr>
              <w:rFonts w:ascii="Cambria Math" w:hAnsi="Cambria Math" w:cs="Times New Roman"/>
            </w:rPr>
            <m:t>,  k=0,…,N-1.  (I</m:t>
          </m:r>
          <m:r>
            <m:rPr>
              <m:sty m:val="p"/>
            </m:rPr>
            <w:rPr>
              <w:rFonts w:ascii="Cambria Math" w:hAnsi="Cambria Math" w:cs="Times New Roman"/>
            </w:rPr>
            <m:t>I.2</m:t>
          </m:r>
          <m:r>
            <w:rPr>
              <w:rFonts w:ascii="Cambria Math" w:hAnsi="Cambria Math" w:cs="Times New Roman"/>
            </w:rPr>
            <m:t>)</m:t>
          </m:r>
        </m:oMath>
      </m:oMathPara>
    </w:p>
    <w:p w14:paraId="604BAD3E" w14:textId="77777777" w:rsidR="00052612" w:rsidRPr="00524677" w:rsidRDefault="003F3D5F" w:rsidP="006277DE">
      <w:pPr>
        <w:pStyle w:val="FirstParagraph"/>
      </w:pPr>
      <w:r w:rsidRPr="00524677">
        <w:t xml:space="preserve">Les indicateurs extraits du spectre </w:t>
      </w:r>
      <m:oMath>
        <m:r>
          <w:rPr>
            <w:rFonts w:ascii="Cambria Math" w:hAnsi="Cambria Math"/>
          </w:rPr>
          <m:t>|X[k]</m:t>
        </m:r>
        <m:sSup>
          <m:sSupPr>
            <m:ctrlPr>
              <w:rPr>
                <w:rFonts w:ascii="Cambria Math" w:hAnsi="Cambria Math"/>
              </w:rPr>
            </m:ctrlPr>
          </m:sSupPr>
          <m:e>
            <m:r>
              <w:rPr>
                <w:rFonts w:ascii="Cambria Math" w:hAnsi="Cambria Math"/>
              </w:rPr>
              <m:t>|</m:t>
            </m:r>
          </m:e>
          <m:sup>
            <m:r>
              <w:rPr>
                <w:rFonts w:ascii="Cambria Math" w:hAnsi="Cambria Math"/>
              </w:rPr>
              <m:t>2</m:t>
            </m:r>
          </m:sup>
        </m:sSup>
      </m:oMath>
      <w:r w:rsidRPr="00524677">
        <w:t xml:space="preserve"> incluent classiquement le </w:t>
      </w:r>
      <w:r w:rsidRPr="00524677">
        <w:rPr>
          <w:b/>
        </w:rPr>
        <w:t>taux de distorsion harmonique totale</w:t>
      </w:r>
      <w:r w:rsidRPr="00524677">
        <w:t xml:space="preserve"> (THD, en %) :</w:t>
      </w:r>
    </w:p>
    <w:p w14:paraId="5241FEDC" w14:textId="7E4177CD" w:rsidR="00052612" w:rsidRPr="00524677" w:rsidRDefault="003F3D5F" w:rsidP="00F763E2">
      <w:pPr>
        <w:pStyle w:val="BodyText"/>
        <w:spacing w:line="360" w:lineRule="auto"/>
        <w:jc w:val="both"/>
        <w:rPr>
          <w:rFonts w:ascii="Times New Roman" w:hAnsi="Times New Roman" w:cs="Times New Roman"/>
        </w:rPr>
      </w:pPr>
      <m:oMathPara>
        <m:oMathParaPr>
          <m:jc m:val="center"/>
        </m:oMathParaPr>
        <m:oMath>
          <m:r>
            <m:rPr>
              <m:sty m:val="p"/>
            </m:rPr>
            <w:rPr>
              <w:rFonts w:ascii="Cambria Math" w:hAnsi="Cambria Math" w:cs="Times New Roman"/>
            </w:rPr>
            <m:t>THD</m:t>
          </m:r>
          <m:r>
            <w:rPr>
              <w:rFonts w:ascii="Cambria Math" w:hAnsi="Cambria Math" w:cs="Times New Roman"/>
            </w:rPr>
            <m:t> = </m:t>
          </m:r>
          <m:f>
            <m:fPr>
              <m:ctrlPr>
                <w:rPr>
                  <w:rFonts w:ascii="Cambria Math" w:hAnsi="Cambria Math" w:cs="Times New Roman"/>
                </w:rPr>
              </m:ctrlPr>
            </m:fPr>
            <m:num>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h=2</m:t>
                      </m:r>
                    </m:sub>
                    <m:sup>
                      <m:r>
                        <w:rPr>
                          <w:rFonts w:ascii="Cambria Math" w:hAnsi="Cambria Math" w:cs="Times New Roman"/>
                        </w:rPr>
                        <m:t>H</m:t>
                      </m:r>
                    </m:sup>
                    <m:e>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2</m:t>
                          </m:r>
                        </m:sup>
                      </m:sSubSup>
                    </m:e>
                  </m:nary>
                </m:e>
              </m:rad>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den>
          </m:f>
          <m:r>
            <w:rPr>
              <w:rFonts w:ascii="Cambria Math" w:hAnsi="Cambria Math" w:cs="Times New Roman"/>
            </w:rPr>
            <m:t>×100%  (</m:t>
          </m:r>
          <m:r>
            <m:rPr>
              <m:sty m:val="p"/>
            </m:rPr>
            <w:rPr>
              <w:rFonts w:ascii="Cambria Math" w:hAnsi="Cambria Math" w:cs="Times New Roman"/>
            </w:rPr>
            <m:t>II.3</m:t>
          </m:r>
          <m:r>
            <w:rPr>
              <w:rFonts w:ascii="Cambria Math" w:hAnsi="Cambria Math" w:cs="Times New Roman"/>
            </w:rPr>
            <m:t>)</m:t>
          </m:r>
        </m:oMath>
      </m:oMathPara>
    </w:p>
    <w:p w14:paraId="48DB27DF" w14:textId="309DE5E4" w:rsidR="00052612" w:rsidRPr="00524677" w:rsidRDefault="003F3D5F" w:rsidP="006277DE">
      <w:pPr>
        <w:pStyle w:val="FirstParagraph"/>
      </w:pPr>
      <w:proofErr w:type="gramStart"/>
      <w:r w:rsidRPr="00524677">
        <w:lastRenderedPageBreak/>
        <w:t>où</w:t>
      </w:r>
      <w:proofErr w:type="gramEnd"/>
      <w:r w:rsidRPr="00524677">
        <w:t xml:space="preserv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524677">
        <w:t xml:space="preserve"> désigne l’amplitude de la </w:t>
      </w:r>
      <m:oMath>
        <m:r>
          <w:rPr>
            <w:rFonts w:ascii="Cambria Math" w:hAnsi="Cambria Math"/>
          </w:rPr>
          <m:t>h</m:t>
        </m:r>
      </m:oMath>
      <w:r w:rsidRPr="00524677">
        <w:t xml:space="preserve">-ième harmonique et </w:t>
      </w: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524677">
        <w:t xml:space="preserve"> celle de la fondamentale 50 Hz. Pour une boucle 6,6 A alimentée par gradateur à thyristors, la signature spectrale dépend à la fois de l’angle de conduction et de la charge ; </w:t>
      </w:r>
      <w:commentRangeStart w:id="19"/>
      <w:r w:rsidRPr="00524677">
        <w:t>la dériv</w:t>
      </w:r>
      <w:proofErr w:type="spellStart"/>
      <w:r w:rsidR="005A21EA">
        <w:t>ée</w:t>
      </w:r>
      <w:proofErr w:type="spellEnd"/>
      <w:r w:rsidRPr="00524677">
        <w:t xml:space="preserve"> de THD à angle constant est un </w:t>
      </w:r>
      <w:r w:rsidRPr="00524677">
        <w:rPr>
          <w:b/>
        </w:rPr>
        <w:t>indicateur sensible de dégradation</w:t>
      </w:r>
      <w:commentRangeEnd w:id="19"/>
      <w:r w:rsidR="005A21EA">
        <w:rPr>
          <w:rStyle w:val="CommentReference"/>
        </w:rPr>
        <w:commentReference w:id="19"/>
      </w:r>
      <w:r w:rsidRPr="00524677">
        <w:t xml:space="preserve"> (Sian et al., 2023). La </w:t>
      </w:r>
      <w:r w:rsidRPr="00524677">
        <w:rPr>
          <w:b/>
        </w:rPr>
        <w:t xml:space="preserve">Figure </w:t>
      </w:r>
      <w:r w:rsidR="00BF3954">
        <w:rPr>
          <w:b/>
        </w:rPr>
        <w:t>I</w:t>
      </w:r>
      <w:r w:rsidRPr="00524677">
        <w:rPr>
          <w:b/>
        </w:rPr>
        <w:t>I-2</w:t>
      </w:r>
      <w:r w:rsidRPr="00524677">
        <w:t xml:space="preserve"> illustre le type de signature attendue entre une boucle saine et une boucle dégradée.</w:t>
      </w:r>
    </w:p>
    <w:p w14:paraId="1A9569B6" w14:textId="77777777" w:rsidR="00052612" w:rsidRPr="00524677" w:rsidRDefault="003F3D5F" w:rsidP="00F763E2">
      <w:pPr>
        <w:pStyle w:val="CaptionedFigure"/>
        <w:spacing w:line="360" w:lineRule="auto"/>
        <w:jc w:val="both"/>
        <w:rPr>
          <w:rFonts w:ascii="Times New Roman" w:hAnsi="Times New Roman" w:cs="Times New Roman"/>
        </w:rPr>
      </w:pPr>
      <w:r w:rsidRPr="00524677">
        <w:rPr>
          <w:rFonts w:ascii="Times New Roman" w:hAnsi="Times New Roman" w:cs="Times New Roman"/>
          <w:noProof/>
        </w:rPr>
        <w:drawing>
          <wp:inline distT="0" distB="0" distL="0" distR="0" wp14:anchorId="3EF85B60" wp14:editId="58D63635">
            <wp:extent cx="5334000" cy="2446113"/>
            <wp:effectExtent l="0" t="0" r="0" b="0"/>
            <wp:docPr id="2" name="Picture" descr="Figure I-2. Comparaison qualitative des empreintes fréquentielles d’une boucle saine et d’une boucle en cours de dégradation"/>
            <wp:cNvGraphicFramePr/>
            <a:graphic xmlns:a="http://schemas.openxmlformats.org/drawingml/2006/main">
              <a:graphicData uri="http://schemas.openxmlformats.org/drawingml/2006/picture">
                <pic:pic xmlns:pic="http://schemas.openxmlformats.org/drawingml/2006/picture">
                  <pic:nvPicPr>
                    <pic:cNvPr id="0" name="Picture" descr="assets_c1/fig1_3_fft_signature.png"/>
                    <pic:cNvPicPr>
                      <a:picLocks noChangeAspect="1" noChangeArrowheads="1"/>
                    </pic:cNvPicPr>
                  </pic:nvPicPr>
                  <pic:blipFill>
                    <a:blip r:embed="rId12"/>
                    <a:stretch>
                      <a:fillRect/>
                    </a:stretch>
                  </pic:blipFill>
                  <pic:spPr bwMode="auto">
                    <a:xfrm>
                      <a:off x="0" y="0"/>
                      <a:ext cx="5334000" cy="2446113"/>
                    </a:xfrm>
                    <a:prstGeom prst="rect">
                      <a:avLst/>
                    </a:prstGeom>
                    <a:noFill/>
                    <a:ln w="9525">
                      <a:noFill/>
                      <a:headEnd/>
                      <a:tailEnd/>
                    </a:ln>
                  </pic:spPr>
                </pic:pic>
              </a:graphicData>
            </a:graphic>
          </wp:inline>
        </w:drawing>
      </w:r>
    </w:p>
    <w:p w14:paraId="71051A78" w14:textId="34891D64" w:rsidR="00052612" w:rsidRPr="00524677" w:rsidRDefault="003F3D5F" w:rsidP="00F763E2">
      <w:pPr>
        <w:pStyle w:val="ImageCaption"/>
        <w:spacing w:line="360" w:lineRule="auto"/>
        <w:jc w:val="both"/>
        <w:rPr>
          <w:rFonts w:ascii="Times New Roman" w:hAnsi="Times New Roman" w:cs="Times New Roman"/>
        </w:rPr>
      </w:pPr>
      <w:r w:rsidRPr="00524677">
        <w:rPr>
          <w:rFonts w:ascii="Times New Roman" w:hAnsi="Times New Roman" w:cs="Times New Roman"/>
        </w:rPr>
        <w:t xml:space="preserve">Figure </w:t>
      </w:r>
      <w:r w:rsidR="00BF3954">
        <w:rPr>
          <w:rFonts w:ascii="Times New Roman" w:hAnsi="Times New Roman" w:cs="Times New Roman"/>
        </w:rPr>
        <w:t>I</w:t>
      </w:r>
      <w:r w:rsidRPr="00524677">
        <w:rPr>
          <w:rFonts w:ascii="Times New Roman" w:hAnsi="Times New Roman" w:cs="Times New Roman"/>
        </w:rPr>
        <w:t>I-2. Comparaison qualitative des empreintes fréquentielles d’une boucle saine et d’une boucle en cours de dégradation</w:t>
      </w:r>
    </w:p>
    <w:p w14:paraId="6BD56600"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t>Avantages.</w:t>
      </w:r>
      <w:r w:rsidRPr="00524677">
        <w:rPr>
          <w:rFonts w:ascii="Times New Roman" w:hAnsi="Times New Roman" w:cs="Times New Roman"/>
        </w:rPr>
        <w:t xml:space="preserve"> La TFD est peu coûteuse à implémenter (quelques microcontrôleurs DSP standards suffisent), elle s’applique sans coupure et, couplée à des indicateurs statistiques (moyenne mobile, écart-type), elle permet une </w:t>
      </w:r>
      <w:r w:rsidRPr="00524677">
        <w:rPr>
          <w:rFonts w:ascii="Times New Roman" w:hAnsi="Times New Roman" w:cs="Times New Roman"/>
          <w:b/>
        </w:rPr>
        <w:t>détection précoce</w:t>
      </w:r>
      <w:r w:rsidRPr="00524677">
        <w:rPr>
          <w:rFonts w:ascii="Times New Roman" w:hAnsi="Times New Roman" w:cs="Times New Roman"/>
        </w:rPr>
        <w:t xml:space="preserve"> là où l’EFD reste muet. Plusieurs travaux (</w:t>
      </w:r>
      <w:proofErr w:type="spellStart"/>
      <w:r w:rsidRPr="00524677">
        <w:rPr>
          <w:rFonts w:ascii="Times New Roman" w:hAnsi="Times New Roman" w:cs="Times New Roman"/>
        </w:rPr>
        <w:t>Koley</w:t>
      </w:r>
      <w:proofErr w:type="spellEnd"/>
      <w:r w:rsidRPr="00524677">
        <w:rPr>
          <w:rFonts w:ascii="Times New Roman" w:hAnsi="Times New Roman" w:cs="Times New Roman"/>
        </w:rPr>
        <w:t xml:space="preserve"> et al., 2020 ; Sian et al., 2023) rapportent des </w:t>
      </w:r>
      <w:r w:rsidRPr="00524677">
        <w:rPr>
          <w:rFonts w:ascii="Times New Roman" w:hAnsi="Times New Roman" w:cs="Times New Roman"/>
          <w:b/>
        </w:rPr>
        <w:t>sensibilités supérieures à 95 %</w:t>
      </w:r>
      <w:r w:rsidRPr="00524677">
        <w:rPr>
          <w:rFonts w:ascii="Times New Roman" w:hAnsi="Times New Roman" w:cs="Times New Roman"/>
        </w:rPr>
        <w:t xml:space="preserve"> sur des </w:t>
      </w:r>
      <w:commentRangeStart w:id="20"/>
      <w:r w:rsidRPr="00524677">
        <w:rPr>
          <w:rFonts w:ascii="Times New Roman" w:hAnsi="Times New Roman" w:cs="Times New Roman"/>
        </w:rPr>
        <w:t>bancs d’essai XLPE</w:t>
      </w:r>
      <w:commentRangeEnd w:id="20"/>
      <w:r w:rsidR="005A21EA">
        <w:rPr>
          <w:rStyle w:val="CommentReference"/>
        </w:rPr>
        <w:commentReference w:id="20"/>
      </w:r>
      <w:r w:rsidRPr="00524677">
        <w:rPr>
          <w:rFonts w:ascii="Times New Roman" w:hAnsi="Times New Roman" w:cs="Times New Roman"/>
        </w:rPr>
        <w:t>.</w:t>
      </w:r>
    </w:p>
    <w:p w14:paraId="74B70A4E"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t>Limites.</w:t>
      </w:r>
      <w:r w:rsidRPr="00524677">
        <w:rPr>
          <w:rFonts w:ascii="Times New Roman" w:hAnsi="Times New Roman" w:cs="Times New Roman"/>
        </w:rPr>
        <w:t xml:space="preserve"> La TFD suppose un régime </w:t>
      </w:r>
      <w:r w:rsidRPr="00524677">
        <w:rPr>
          <w:rFonts w:ascii="Times New Roman" w:hAnsi="Times New Roman" w:cs="Times New Roman"/>
          <w:b/>
        </w:rPr>
        <w:t>stationnaire</w:t>
      </w:r>
      <w:r w:rsidRPr="00524677">
        <w:rPr>
          <w:rFonts w:ascii="Times New Roman" w:hAnsi="Times New Roman" w:cs="Times New Roman"/>
        </w:rPr>
        <w:t xml:space="preserve">, hypothèse rarement vérifiée en exploitation aéronautique (cycles de gradation, commutations de pas d’intensité). Elle </w:t>
      </w:r>
      <w:r w:rsidRPr="00524677">
        <w:rPr>
          <w:rFonts w:ascii="Times New Roman" w:hAnsi="Times New Roman" w:cs="Times New Roman"/>
          <w:b/>
        </w:rPr>
        <w:t>perd toute information temporelle</w:t>
      </w:r>
      <w:r w:rsidRPr="00524677">
        <w:rPr>
          <w:rFonts w:ascii="Times New Roman" w:hAnsi="Times New Roman" w:cs="Times New Roman"/>
        </w:rPr>
        <w:t xml:space="preserve"> : un transitoire bref suivi d’une période saine produit le même spectre qu’un défaut continu discret. Surtout, la TFD seule ne localise pas : elle identifie </w:t>
      </w:r>
      <w:r w:rsidRPr="00524677">
        <w:rPr>
          <w:rFonts w:ascii="Times New Roman" w:hAnsi="Times New Roman" w:cs="Times New Roman"/>
          <w:i/>
        </w:rPr>
        <w:t>qu’il se passe quelque chose</w:t>
      </w:r>
      <w:r w:rsidRPr="00524677">
        <w:rPr>
          <w:rFonts w:ascii="Times New Roman" w:hAnsi="Times New Roman" w:cs="Times New Roman"/>
        </w:rPr>
        <w:t xml:space="preserve">, pas </w:t>
      </w:r>
      <w:r w:rsidRPr="00524677">
        <w:rPr>
          <w:rFonts w:ascii="Times New Roman" w:hAnsi="Times New Roman" w:cs="Times New Roman"/>
          <w:i/>
        </w:rPr>
        <w:t>où</w:t>
      </w:r>
      <w:r w:rsidRPr="00524677">
        <w:rPr>
          <w:rFonts w:ascii="Times New Roman" w:hAnsi="Times New Roman" w:cs="Times New Roman"/>
        </w:rPr>
        <w:t>.</w:t>
      </w:r>
    </w:p>
    <w:p w14:paraId="2D13395D" w14:textId="0B395CB3" w:rsidR="00052612" w:rsidRPr="00524677" w:rsidRDefault="003F3D5F" w:rsidP="00F763E2">
      <w:pPr>
        <w:pStyle w:val="Heading3"/>
        <w:spacing w:line="360" w:lineRule="auto"/>
        <w:jc w:val="both"/>
        <w:rPr>
          <w:rFonts w:ascii="Times New Roman" w:hAnsi="Times New Roman" w:cs="Times New Roman"/>
          <w:color w:val="auto"/>
        </w:rPr>
      </w:pPr>
      <w:bookmarkStart w:id="21" w:name="X8728f0a725ac7a94d6bb81857fd1d96be2b90de"/>
      <w:bookmarkStart w:id="22" w:name="_Toc229131313"/>
      <w:r w:rsidRPr="00524677">
        <w:rPr>
          <w:rFonts w:ascii="Times New Roman" w:hAnsi="Times New Roman" w:cs="Times New Roman"/>
          <w:color w:val="auto"/>
        </w:rPr>
        <w:lastRenderedPageBreak/>
        <w:t>I</w:t>
      </w:r>
      <w:r w:rsidR="00BF3954">
        <w:rPr>
          <w:rFonts w:ascii="Times New Roman" w:hAnsi="Times New Roman" w:cs="Times New Roman"/>
          <w:color w:val="auto"/>
        </w:rPr>
        <w:t>I</w:t>
      </w:r>
      <w:r w:rsidRPr="00524677">
        <w:rPr>
          <w:rFonts w:ascii="Times New Roman" w:hAnsi="Times New Roman" w:cs="Times New Roman"/>
          <w:color w:val="auto"/>
        </w:rPr>
        <w:t>.3.2. Transformées temps-fréquence et ondelettes</w:t>
      </w:r>
      <w:bookmarkEnd w:id="21"/>
      <w:bookmarkEnd w:id="22"/>
    </w:p>
    <w:p w14:paraId="558C7555" w14:textId="77777777" w:rsidR="00052612" w:rsidRPr="00524677" w:rsidRDefault="003F3D5F" w:rsidP="006277DE">
      <w:pPr>
        <w:pStyle w:val="FirstParagraph"/>
      </w:pPr>
      <w:r w:rsidRPr="00524677">
        <w:t xml:space="preserve">Pour pallier le caractère non stationnaire des signaux, on recourt à des représentations </w:t>
      </w:r>
      <w:r w:rsidRPr="00524677">
        <w:rPr>
          <w:b/>
        </w:rPr>
        <w:t>temps-fréquence</w:t>
      </w:r>
      <w:r w:rsidRPr="00524677">
        <w:t>. La transformée de Fourier à court terme (STFT) fenêtre le signal :</w:t>
      </w:r>
    </w:p>
    <w:p w14:paraId="087E21D6" w14:textId="32A5EA90" w:rsidR="00052612" w:rsidRPr="00524677" w:rsidRDefault="003F3D5F" w:rsidP="00F763E2">
      <w:pPr>
        <w:pStyle w:val="BodyText"/>
        <w:spacing w:line="360" w:lineRule="auto"/>
        <w:jc w:val="both"/>
        <w:rPr>
          <w:rFonts w:ascii="Times New Roman" w:hAnsi="Times New Roman" w:cs="Times New Roman"/>
        </w:rPr>
      </w:pPr>
      <m:oMathPara>
        <m:oMathParaPr>
          <m:jc m:val="center"/>
        </m:oMathParaPr>
        <m:oMath>
          <m:r>
            <w:rPr>
              <w:rFonts w:ascii="Cambria Math" w:hAnsi="Cambria Math" w:cs="Times New Roman"/>
            </w:rPr>
            <m:t>X(t,f) = </m:t>
          </m:r>
          <m:nary>
            <m:naryPr>
              <m:limLoc m:val="subSup"/>
              <m:ctrlPr>
                <w:rPr>
                  <w:rFonts w:ascii="Cambria Math" w:hAnsi="Cambria Math" w:cs="Times New Roman"/>
                </w:rPr>
              </m:ctrlPr>
            </m:naryPr>
            <m:sub>
              <m:r>
                <w:rPr>
                  <w:rFonts w:ascii="Cambria Math" w:hAnsi="Cambria Math" w:cs="Times New Roman"/>
                </w:rPr>
                <m:t>-∞</m:t>
              </m:r>
            </m:sub>
            <m:sup>
              <m:r>
                <w:rPr>
                  <w:rFonts w:ascii="Cambria Math" w:hAnsi="Cambria Math" w:cs="Times New Roman"/>
                </w:rPr>
                <m:t>+∞</m:t>
              </m:r>
            </m:sup>
            <m:e>
              <m:r>
                <w:rPr>
                  <w:rFonts w:ascii="Cambria Math" w:hAnsi="Cambria Math" w:cs="Times New Roman"/>
                </w:rPr>
                <m:t>x</m:t>
              </m:r>
            </m:e>
          </m:nary>
          <m:r>
            <w:rPr>
              <w:rFonts w:ascii="Cambria Math" w:hAnsi="Cambria Math" w:cs="Times New Roman"/>
            </w:rPr>
            <m:t>(τ) w(τ-t) </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-j2πfτ</m:t>
              </m:r>
            </m:sup>
          </m:sSup>
          <m:r>
            <w:rPr>
              <w:rFonts w:ascii="Cambria Math" w:hAnsi="Cambria Math" w:cs="Times New Roman"/>
            </w:rPr>
            <m:t> dτ,  (I</m:t>
          </m:r>
          <m:r>
            <m:rPr>
              <m:sty m:val="p"/>
            </m:rPr>
            <w:rPr>
              <w:rFonts w:ascii="Cambria Math" w:hAnsi="Cambria Math" w:cs="Times New Roman"/>
            </w:rPr>
            <m:t>I.4</m:t>
          </m:r>
          <m:r>
            <w:rPr>
              <w:rFonts w:ascii="Cambria Math" w:hAnsi="Cambria Math" w:cs="Times New Roman"/>
            </w:rPr>
            <m:t>)</m:t>
          </m:r>
        </m:oMath>
      </m:oMathPara>
    </w:p>
    <w:p w14:paraId="69E4CE0E" w14:textId="77777777" w:rsidR="00052612" w:rsidRPr="00524677" w:rsidRDefault="003F3D5F" w:rsidP="006277DE">
      <w:pPr>
        <w:pStyle w:val="FirstParagraph"/>
      </w:pPr>
      <w:proofErr w:type="gramStart"/>
      <w:r w:rsidRPr="00524677">
        <w:t>avec</w:t>
      </w:r>
      <w:proofErr w:type="gramEnd"/>
      <w:r w:rsidRPr="00524677">
        <w:t xml:space="preserve"> </w:t>
      </w:r>
      <m:oMath>
        <m:r>
          <w:rPr>
            <w:rFonts w:ascii="Cambria Math" w:hAnsi="Cambria Math"/>
          </w:rPr>
          <m:t>w(⋅)</m:t>
        </m:r>
      </m:oMath>
      <w:r w:rsidRPr="00524677">
        <w:t xml:space="preserve"> une fenêtre glissante (Hann, Hamming). La résolution est limitée par le principe d’incertitude de Gabor : fenêtre longue </w:t>
      </w:r>
      <m:oMath>
        <m:r>
          <w:rPr>
            <w:rFonts w:ascii="Cambria Math" w:hAnsi="Cambria Math"/>
          </w:rPr>
          <m:t>⇒</m:t>
        </m:r>
      </m:oMath>
      <w:r w:rsidRPr="00524677">
        <w:t xml:space="preserve"> bonne résolution fréquentielle mais mauvaise résolution temporelle, et inversement.</w:t>
      </w:r>
    </w:p>
    <w:p w14:paraId="09C1DB96"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rPr>
        <w:t xml:space="preserve">La </w:t>
      </w:r>
      <w:r w:rsidRPr="00524677">
        <w:rPr>
          <w:rFonts w:ascii="Times New Roman" w:hAnsi="Times New Roman" w:cs="Times New Roman"/>
          <w:b/>
        </w:rPr>
        <w:t>transformée en ondelettes discrète</w:t>
      </w:r>
      <w:r w:rsidRPr="00524677">
        <w:rPr>
          <w:rFonts w:ascii="Times New Roman" w:hAnsi="Times New Roman" w:cs="Times New Roman"/>
        </w:rPr>
        <w:t xml:space="preserve"> (DWT) contourne ce compromis par une décomposition </w:t>
      </w:r>
      <w:proofErr w:type="spellStart"/>
      <w:r w:rsidRPr="00524677">
        <w:rPr>
          <w:rFonts w:ascii="Times New Roman" w:hAnsi="Times New Roman" w:cs="Times New Roman"/>
        </w:rPr>
        <w:t>multirésolution</w:t>
      </w:r>
      <w:proofErr w:type="spellEnd"/>
      <w:r w:rsidRPr="00524677">
        <w:rPr>
          <w:rFonts w:ascii="Times New Roman" w:hAnsi="Times New Roman" w:cs="Times New Roman"/>
        </w:rPr>
        <w:t xml:space="preserve"> :</w:t>
      </w:r>
    </w:p>
    <w:p w14:paraId="6D11BD91" w14:textId="22245E3F" w:rsidR="00052612" w:rsidRPr="00524677" w:rsidRDefault="004E66EE" w:rsidP="00F763E2">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ψ</m:t>
              </m:r>
            </m:sub>
          </m:sSub>
          <m:r>
            <w:rPr>
              <w:rFonts w:ascii="Cambria Math" w:hAnsi="Cambria Math" w:cs="Times New Roman"/>
            </w:rPr>
            <m:t>[j,k] = </m:t>
          </m:r>
          <m:nary>
            <m:naryPr>
              <m:chr m:val="∑"/>
              <m:limLoc m:val="undOvr"/>
              <m:supHide m:val="1"/>
              <m:ctrlPr>
                <w:rPr>
                  <w:rFonts w:ascii="Cambria Math" w:hAnsi="Cambria Math" w:cs="Times New Roman"/>
                </w:rPr>
              </m:ctrlPr>
            </m:naryPr>
            <m:sub>
              <m:r>
                <w:rPr>
                  <w:rFonts w:ascii="Cambria Math" w:hAnsi="Cambria Math" w:cs="Times New Roman"/>
                </w:rPr>
                <m:t>n</m:t>
              </m:r>
            </m:sub>
            <m:sup>
              <m:r>
                <w:rPr>
                  <w:rFonts w:ascii="Cambria Math" w:hAnsi="Cambria Math" w:cs="Times New Roman"/>
                </w:rPr>
                <m:t>​</m:t>
              </m:r>
            </m:sup>
            <m:e>
              <m:r>
                <w:rPr>
                  <w:rFonts w:ascii="Cambria Math" w:hAnsi="Cambria Math" w:cs="Times New Roman"/>
                </w:rPr>
                <m:t>x</m:t>
              </m:r>
            </m:e>
          </m:nary>
          <m:r>
            <w:rPr>
              <w:rFonts w:ascii="Cambria Math" w:hAnsi="Cambria Math" w:cs="Times New Roman"/>
            </w:rPr>
            <m:t>[n] </m:t>
          </m:r>
          <m:sSubSup>
            <m:sSubSupPr>
              <m:ctrlPr>
                <w:rPr>
                  <w:rFonts w:ascii="Cambria Math" w:hAnsi="Cambria Math" w:cs="Times New Roman"/>
                </w:rPr>
              </m:ctrlPr>
            </m:sSubSupPr>
            <m:e>
              <m:r>
                <w:rPr>
                  <w:rFonts w:ascii="Cambria Math" w:hAnsi="Cambria Math" w:cs="Times New Roman"/>
                </w:rPr>
                <m:t>ψ</m:t>
              </m:r>
            </m:e>
            <m:sub>
              <m:r>
                <w:rPr>
                  <w:rFonts w:ascii="Cambria Math" w:hAnsi="Cambria Math" w:cs="Times New Roman"/>
                </w:rPr>
                <m:t>j,k</m:t>
              </m:r>
            </m:sub>
            <m:sup>
              <m:r>
                <w:rPr>
                  <w:rFonts w:ascii="Cambria Math" w:hAnsi="Cambria Math" w:cs="Times New Roman"/>
                </w:rPr>
                <m:t>*</m:t>
              </m:r>
            </m:sup>
          </m:sSubSup>
          <m:r>
            <w:rPr>
              <w:rFonts w:ascii="Cambria Math" w:hAnsi="Cambria Math" w:cs="Times New Roman"/>
            </w:rPr>
            <m:t>[n], </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j,k</m:t>
              </m:r>
            </m:sub>
          </m:sSub>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-j/2</m:t>
              </m:r>
            </m:sup>
          </m:sSup>
          <m:r>
            <w:rPr>
              <w:rFonts w:ascii="Cambria Math" w:hAnsi="Cambria Math" w:cs="Times New Roman"/>
            </w:rPr>
            <m:t>ψ(</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-j</m:t>
              </m:r>
            </m:sup>
          </m:sSup>
          <m:r>
            <w:rPr>
              <w:rFonts w:ascii="Cambria Math" w:hAnsi="Cambria Math" w:cs="Times New Roman"/>
            </w:rPr>
            <m:t>n-k)  (</m:t>
          </m:r>
          <m:r>
            <m:rPr>
              <m:sty m:val="p"/>
            </m:rPr>
            <w:rPr>
              <w:rFonts w:ascii="Cambria Math" w:hAnsi="Cambria Math" w:cs="Times New Roman"/>
            </w:rPr>
            <m:t>II.5</m:t>
          </m:r>
          <m:r>
            <w:rPr>
              <w:rFonts w:ascii="Cambria Math" w:hAnsi="Cambria Math" w:cs="Times New Roman"/>
            </w:rPr>
            <m:t>)</m:t>
          </m:r>
        </m:oMath>
      </m:oMathPara>
    </w:p>
    <w:p w14:paraId="5CA246BB" w14:textId="77777777" w:rsidR="00052612" w:rsidRPr="00524677" w:rsidRDefault="003F3D5F" w:rsidP="006277DE">
      <w:pPr>
        <w:pStyle w:val="FirstParagraph"/>
      </w:pPr>
      <w:proofErr w:type="gramStart"/>
      <w:r w:rsidRPr="00524677">
        <w:t>où</w:t>
      </w:r>
      <w:proofErr w:type="gramEnd"/>
      <w:r w:rsidRPr="00524677">
        <w:t xml:space="preserve"> </w:t>
      </w:r>
      <m:oMath>
        <m:r>
          <w:rPr>
            <w:rFonts w:ascii="Cambria Math" w:hAnsi="Cambria Math"/>
          </w:rPr>
          <m:t>ψ</m:t>
        </m:r>
      </m:oMath>
      <w:r w:rsidRPr="00524677">
        <w:t xml:space="preserve"> est l’ondelette mère (Daubechies, Symlet) et </w:t>
      </w:r>
      <m:oMath>
        <m:r>
          <w:rPr>
            <w:rFonts w:ascii="Cambria Math" w:hAnsi="Cambria Math"/>
          </w:rPr>
          <m:t>(j,k)</m:t>
        </m:r>
      </m:oMath>
      <w:r w:rsidRPr="00524677">
        <w:t xml:space="preserve"> les paramètres d’échelle et de translation. La DWT produit une </w:t>
      </w:r>
      <w:r w:rsidRPr="00524677">
        <w:rPr>
          <w:b/>
        </w:rPr>
        <w:t>pyramide de coefficients</w:t>
      </w:r>
      <w:r w:rsidRPr="00524677">
        <w:t xml:space="preserve"> dont l’énergie par sous-bande constitue un vecteur d’attributs particulièrement discriminant pour les défauts transitoires (</w:t>
      </w:r>
      <w:proofErr w:type="spellStart"/>
      <w:r w:rsidRPr="00524677">
        <w:t>Pinpart</w:t>
      </w:r>
      <w:proofErr w:type="spellEnd"/>
      <w:r w:rsidRPr="00524677">
        <w:t xml:space="preserve"> &amp; </w:t>
      </w:r>
      <w:proofErr w:type="spellStart"/>
      <w:r w:rsidRPr="00524677">
        <w:t>Judd</w:t>
      </w:r>
      <w:proofErr w:type="spellEnd"/>
      <w:r w:rsidRPr="00524677">
        <w:t>, 2012 ; Sian et al., 2023).</w:t>
      </w:r>
    </w:p>
    <w:p w14:paraId="588052DE"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t>Avantages.</w:t>
      </w:r>
      <w:r w:rsidRPr="00524677">
        <w:rPr>
          <w:rFonts w:ascii="Times New Roman" w:hAnsi="Times New Roman" w:cs="Times New Roman"/>
        </w:rPr>
        <w:t xml:space="preserve"> Les ondelettes capturent les événements courts (amorçages partiels, rebonds de gradation), et leur représentation éparse facilite l’apprentissage automatique ultérieur. L’étude de Sian et al. (2023) rapporte un taux de reconnaissance moyen de </w:t>
      </w:r>
      <w:r w:rsidRPr="00524677">
        <w:rPr>
          <w:rFonts w:ascii="Times New Roman" w:hAnsi="Times New Roman" w:cs="Times New Roman"/>
          <w:b/>
        </w:rPr>
        <w:t>96,52 %</w:t>
      </w:r>
      <w:r w:rsidRPr="00524677">
        <w:rPr>
          <w:rFonts w:ascii="Times New Roman" w:hAnsi="Times New Roman" w:cs="Times New Roman"/>
        </w:rPr>
        <w:t xml:space="preserve"> sur quatre types de défauts XLPE en combinant DWT + motif ponctuel symétrisé + réseau probabiliste convolutif.</w:t>
      </w:r>
    </w:p>
    <w:p w14:paraId="4DF7EDCF"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t>Limites.</w:t>
      </w:r>
      <w:r w:rsidRPr="00524677">
        <w:rPr>
          <w:rFonts w:ascii="Times New Roman" w:hAnsi="Times New Roman" w:cs="Times New Roman"/>
        </w:rPr>
        <w:t xml:space="preserve"> Le choix de l’ondelette mère et du niveau de décomposition reste empirique et </w:t>
      </w:r>
      <w:r w:rsidRPr="00524677">
        <w:rPr>
          <w:rFonts w:ascii="Times New Roman" w:hAnsi="Times New Roman" w:cs="Times New Roman"/>
          <w:b/>
        </w:rPr>
        <w:t>spécifique au corpus</w:t>
      </w:r>
      <w:r w:rsidRPr="00524677">
        <w:rPr>
          <w:rFonts w:ascii="Times New Roman" w:hAnsi="Times New Roman" w:cs="Times New Roman"/>
        </w:rPr>
        <w:t xml:space="preserve">. Comme pour la TFD, la méthode localise mal : elle fournit un diagnostic à l’échelle </w:t>
      </w:r>
      <w:r w:rsidRPr="00524677">
        <w:rPr>
          <w:rFonts w:ascii="Times New Roman" w:hAnsi="Times New Roman" w:cs="Times New Roman"/>
          <w:i/>
        </w:rPr>
        <w:t>de la boucle</w:t>
      </w:r>
      <w:r w:rsidRPr="00524677">
        <w:rPr>
          <w:rFonts w:ascii="Times New Roman" w:hAnsi="Times New Roman" w:cs="Times New Roman"/>
        </w:rPr>
        <w:t xml:space="preserve">, pas </w:t>
      </w:r>
      <w:r w:rsidRPr="00524677">
        <w:rPr>
          <w:rFonts w:ascii="Times New Roman" w:hAnsi="Times New Roman" w:cs="Times New Roman"/>
          <w:i/>
        </w:rPr>
        <w:t>du point de défaut</w:t>
      </w:r>
      <w:r w:rsidRPr="00524677">
        <w:rPr>
          <w:rFonts w:ascii="Times New Roman" w:hAnsi="Times New Roman" w:cs="Times New Roman"/>
        </w:rPr>
        <w:t>. Enfin, la profondeur de décomposition requise (5 à 8 niveaux) demande une fréquence d’échantillonnage de l’ordre de 10 kHz, supérieure à ce qu’offrent nativement les cartes d’acquisition des EFD industriels.</w:t>
      </w:r>
    </w:p>
    <w:p w14:paraId="3B6AEBE7" w14:textId="684058BF" w:rsidR="00052612" w:rsidRPr="00524677" w:rsidRDefault="00BF3954" w:rsidP="006277DE">
      <w:pPr>
        <w:pStyle w:val="Heading2"/>
      </w:pPr>
      <w:bookmarkStart w:id="23" w:name="i.4.-méthodes-de-réflectométrie"/>
      <w:bookmarkStart w:id="24" w:name="_Toc229131314"/>
      <w:r>
        <w:lastRenderedPageBreak/>
        <w:t>I</w:t>
      </w:r>
      <w:r w:rsidR="003F3D5F" w:rsidRPr="00524677">
        <w:t>I.4. Méthodes de réflectométrie</w:t>
      </w:r>
      <w:bookmarkEnd w:id="23"/>
      <w:bookmarkEnd w:id="24"/>
    </w:p>
    <w:p w14:paraId="0FE8BE42" w14:textId="07998AA1" w:rsidR="00052612" w:rsidRPr="00524677" w:rsidRDefault="003F3D5F" w:rsidP="00F763E2">
      <w:pPr>
        <w:pStyle w:val="Heading3"/>
        <w:spacing w:line="360" w:lineRule="auto"/>
        <w:jc w:val="both"/>
        <w:rPr>
          <w:rFonts w:ascii="Times New Roman" w:hAnsi="Times New Roman" w:cs="Times New Roman"/>
          <w:color w:val="auto"/>
        </w:rPr>
      </w:pPr>
      <w:bookmarkStart w:id="25" w:name="Xe726c92c30b1b561c61c146b6fc0ef0dce36ec8"/>
      <w:bookmarkStart w:id="26" w:name="_Toc229131315"/>
      <w:r w:rsidRPr="00524677">
        <w:rPr>
          <w:rFonts w:ascii="Times New Roman" w:hAnsi="Times New Roman" w:cs="Times New Roman"/>
          <w:color w:val="auto"/>
        </w:rPr>
        <w:t>I</w:t>
      </w:r>
      <w:r w:rsidR="00BF3954">
        <w:rPr>
          <w:rFonts w:ascii="Times New Roman" w:hAnsi="Times New Roman" w:cs="Times New Roman"/>
          <w:color w:val="auto"/>
        </w:rPr>
        <w:t>I</w:t>
      </w:r>
      <w:r w:rsidRPr="00524677">
        <w:rPr>
          <w:rFonts w:ascii="Times New Roman" w:hAnsi="Times New Roman" w:cs="Times New Roman"/>
          <w:color w:val="auto"/>
        </w:rPr>
        <w:t>.4.1. Réflectométrie dans le domaine temporel (TDR)</w:t>
      </w:r>
      <w:bookmarkEnd w:id="25"/>
      <w:bookmarkEnd w:id="26"/>
    </w:p>
    <w:p w14:paraId="6ED7AC6F" w14:textId="286803E7" w:rsidR="00052612" w:rsidRPr="00524677" w:rsidRDefault="003F3D5F" w:rsidP="006277DE">
      <w:pPr>
        <w:pStyle w:val="FirstParagraph"/>
      </w:pPr>
      <w:r w:rsidRPr="00524677">
        <w:t xml:space="preserve">La </w:t>
      </w:r>
      <w:r w:rsidRPr="00524677">
        <w:rPr>
          <w:b/>
        </w:rPr>
        <w:t>réflectométrie temporelle</w:t>
      </w:r>
      <w:r w:rsidRPr="00524677">
        <w:t xml:space="preserve"> (TDR) est, de toutes les techniques de localisation sur câble, celle dont la maturité industrielle est la plus ancienne (</w:t>
      </w:r>
      <w:proofErr w:type="spellStart"/>
      <w:r w:rsidRPr="00524677">
        <w:t>Furse</w:t>
      </w:r>
      <w:proofErr w:type="spellEnd"/>
      <w:r w:rsidRPr="00524677">
        <w:t xml:space="preserve"> et al., 2021 ; Saha et al., 2010). Son principe, rappelé sur la </w:t>
      </w:r>
      <w:r w:rsidRPr="00524677">
        <w:rPr>
          <w:b/>
        </w:rPr>
        <w:t>Figure I</w:t>
      </w:r>
      <w:r w:rsidR="00BF3954">
        <w:rPr>
          <w:b/>
        </w:rPr>
        <w:t>I</w:t>
      </w:r>
      <w:r w:rsidRPr="00524677">
        <w:rPr>
          <w:b/>
        </w:rPr>
        <w:t>-3</w:t>
      </w:r>
      <w:r w:rsidRPr="00524677">
        <w:t xml:space="preserve">, consiste à injecter une impulsion de tension calibrée </w:t>
      </w:r>
      <m:oMath>
        <m:r>
          <w:rPr>
            <w:rFonts w:ascii="Cambria Math" w:hAnsi="Cambria Math"/>
          </w:rPr>
          <m:t>v(t)</m:t>
        </m:r>
      </m:oMath>
      <w:r w:rsidRPr="00524677">
        <w:t xml:space="preserve"> en tête de câble et à observer les signaux réfléchis en ce même point. Une discontinuité d’impédance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524677">
        <w:t xml:space="preserve"> à la distance </w:t>
      </w:r>
      <m:oMath>
        <m:r>
          <w:rPr>
            <w:rFonts w:ascii="Cambria Math" w:hAnsi="Cambria Math"/>
          </w:rPr>
          <m:t>d</m:t>
        </m:r>
      </m:oMath>
      <w:r w:rsidRPr="00524677">
        <w:t xml:space="preserve"> renvoie un écho </w:t>
      </w:r>
      <m:oMath>
        <m:r>
          <w:rPr>
            <w:rFonts w:ascii="Cambria Math" w:hAnsi="Cambria Math"/>
          </w:rPr>
          <m:t>ρ v(t-2τ)</m:t>
        </m:r>
      </m:oMath>
      <w:r w:rsidRPr="00524677">
        <w:t xml:space="preserve"> où :</w:t>
      </w:r>
    </w:p>
    <w:p w14:paraId="62FF22F2" w14:textId="396A7E59" w:rsidR="00052612" w:rsidRPr="00524677" w:rsidRDefault="003F3D5F" w:rsidP="00F763E2">
      <w:pPr>
        <w:pStyle w:val="BodyText"/>
        <w:spacing w:line="360" w:lineRule="auto"/>
        <w:jc w:val="both"/>
        <w:rPr>
          <w:rFonts w:ascii="Times New Roman" w:hAnsi="Times New Roman" w:cs="Times New Roman"/>
        </w:rPr>
      </w:pPr>
      <m:oMathPara>
        <m:oMathParaPr>
          <m:jc m:val="center"/>
        </m:oMathParaPr>
        <m:oMath>
          <m:r>
            <w:rPr>
              <w:rFonts w:ascii="Cambria Math" w:hAnsi="Cambria Math" w:cs="Times New Roman"/>
            </w:rPr>
            <m:t>d = </m:t>
          </m:r>
          <m:f>
            <m:fPr>
              <m:ctrlPr>
                <w:rPr>
                  <w:rFonts w:ascii="Cambria Math" w:hAnsi="Cambria Math" w:cs="Times New Roman"/>
                </w:rPr>
              </m:ctrlPr>
            </m:fPr>
            <m:num>
              <m:r>
                <w:rPr>
                  <w:rFonts w:ascii="Cambria Math" w:hAnsi="Cambria Math" w:cs="Times New Roman"/>
                </w:rPr>
                <m:t>c τ</m:t>
              </m:r>
            </m:num>
            <m:den>
              <m:r>
                <w:rPr>
                  <w:rFonts w:ascii="Cambria Math" w:hAnsi="Cambria Math" w:cs="Times New Roman"/>
                </w:rPr>
                <m:t>2</m:t>
              </m:r>
            </m:den>
          </m:f>
          <m:r>
            <w:rPr>
              <w:rFonts w:ascii="Cambria Math" w:hAnsi="Cambria Math" w:cs="Times New Roman"/>
            </w:rPr>
            <m:t>,  ρ = 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c</m:t>
                  </m:r>
                </m:sub>
              </m:sSub>
            </m:num>
            <m:den>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c</m:t>
                  </m:r>
                </m:sub>
              </m:sSub>
            </m:den>
          </m:f>
          <m:r>
            <w:rPr>
              <w:rFonts w:ascii="Cambria Math" w:hAnsi="Cambria Math" w:cs="Times New Roman"/>
            </w:rPr>
            <m:t>  (</m:t>
          </m:r>
          <m:r>
            <m:rPr>
              <m:sty m:val="p"/>
            </m:rPr>
            <w:rPr>
              <w:rFonts w:ascii="Cambria Math" w:hAnsi="Cambria Math" w:cs="Times New Roman"/>
            </w:rPr>
            <m:t>II.6</m:t>
          </m:r>
          <m:r>
            <w:rPr>
              <w:rFonts w:ascii="Cambria Math" w:hAnsi="Cambria Math" w:cs="Times New Roman"/>
            </w:rPr>
            <m:t>)</m:t>
          </m:r>
        </m:oMath>
      </m:oMathPara>
    </w:p>
    <w:p w14:paraId="70EC8B3B" w14:textId="77777777" w:rsidR="00052612" w:rsidRPr="00524677" w:rsidRDefault="003F3D5F" w:rsidP="006277DE">
      <w:pPr>
        <w:pStyle w:val="FirstParagraph"/>
      </w:pPr>
      <w:proofErr w:type="gramStart"/>
      <w:r w:rsidRPr="00524677">
        <w:t>avec</w:t>
      </w:r>
      <w:proofErr w:type="gramEnd"/>
      <w:r w:rsidRPr="00524677">
        <w:t xml:space="preserve"> </w:t>
      </w:r>
      <m:oMath>
        <m:r>
          <w:rPr>
            <w:rFonts w:ascii="Cambria Math" w:hAnsi="Cambria Math"/>
          </w:rPr>
          <m:t>c</m:t>
        </m:r>
      </m:oMath>
      <w:r w:rsidRPr="00524677">
        <w:t xml:space="preserve"> la vitesse de propagation dans le câble (typiquement 1,5 à 2 × 10⁸ m/s dans un câble XLPE) et </w:t>
      </w:r>
      <m:oMath>
        <m:sSub>
          <m:sSubPr>
            <m:ctrlPr>
              <w:rPr>
                <w:rFonts w:ascii="Cambria Math" w:hAnsi="Cambria Math"/>
              </w:rPr>
            </m:ctrlPr>
          </m:sSubPr>
          <m:e>
            <m:r>
              <w:rPr>
                <w:rFonts w:ascii="Cambria Math" w:hAnsi="Cambria Math"/>
              </w:rPr>
              <m:t>Z</m:t>
            </m:r>
          </m:e>
          <m:sub>
            <m:r>
              <w:rPr>
                <w:rFonts w:ascii="Cambria Math" w:hAnsi="Cambria Math"/>
              </w:rPr>
              <m:t>c</m:t>
            </m:r>
          </m:sub>
        </m:sSub>
      </m:oMath>
      <w:r w:rsidRPr="00524677">
        <w:t xml:space="preserve"> l’impédance caractéristique. Le </w:t>
      </w:r>
      <w:r w:rsidRPr="00524677">
        <w:rPr>
          <w:b/>
        </w:rPr>
        <w:t>signe</w:t>
      </w:r>
      <w:r w:rsidRPr="00524677">
        <w:t xml:space="preserve"> du coefficient de réflexion </w:t>
      </w:r>
      <m:oMath>
        <m:r>
          <w:rPr>
            <w:rFonts w:ascii="Cambria Math" w:hAnsi="Cambria Math"/>
          </w:rPr>
          <m:t>ρ</m:t>
        </m:r>
      </m:oMath>
      <w:r w:rsidRPr="00524677">
        <w:t xml:space="preserve"> distingue un court-circuit (</w:t>
      </w:r>
      <m:oMath>
        <m:r>
          <w:rPr>
            <w:rFonts w:ascii="Cambria Math" w:hAnsi="Cambria Math"/>
          </w:rPr>
          <m:t>ρ&lt;0</m:t>
        </m:r>
      </m:oMath>
      <w:r w:rsidRPr="00524677">
        <w:t>) d’une coupure (</w:t>
      </w:r>
      <m:oMath>
        <m:r>
          <w:rPr>
            <w:rFonts w:ascii="Cambria Math" w:hAnsi="Cambria Math"/>
          </w:rPr>
          <m:t>ρ&gt;0</m:t>
        </m:r>
      </m:oMath>
      <w:r w:rsidRPr="00524677">
        <w:t>).</w:t>
      </w:r>
    </w:p>
    <w:p w14:paraId="3DA65729" w14:textId="77777777" w:rsidR="00052612" w:rsidRPr="00524677" w:rsidRDefault="003F3D5F" w:rsidP="00F763E2">
      <w:pPr>
        <w:pStyle w:val="CaptionedFigure"/>
        <w:spacing w:line="360" w:lineRule="auto"/>
        <w:jc w:val="both"/>
        <w:rPr>
          <w:rFonts w:ascii="Times New Roman" w:hAnsi="Times New Roman" w:cs="Times New Roman"/>
        </w:rPr>
      </w:pPr>
      <w:r w:rsidRPr="00524677">
        <w:rPr>
          <w:rFonts w:ascii="Times New Roman" w:hAnsi="Times New Roman" w:cs="Times New Roman"/>
          <w:noProof/>
        </w:rPr>
        <w:drawing>
          <wp:inline distT="0" distB="0" distL="0" distR="0" wp14:anchorId="2CEA8245" wp14:editId="3B9463F0">
            <wp:extent cx="5334000" cy="3048779"/>
            <wp:effectExtent l="0" t="0" r="0" b="0"/>
            <wp:docPr id="3" name="Picture" descr="Figure I-3. Principe de la réflectométrie temporelle : impulsion incidente, écho de défaut et réflectogramme résultant"/>
            <wp:cNvGraphicFramePr/>
            <a:graphic xmlns:a="http://schemas.openxmlformats.org/drawingml/2006/main">
              <a:graphicData uri="http://schemas.openxmlformats.org/drawingml/2006/picture">
                <pic:pic xmlns:pic="http://schemas.openxmlformats.org/drawingml/2006/picture">
                  <pic:nvPicPr>
                    <pic:cNvPr id="0" name="Picture" descr="assets_c1/fig1_2_tdr_principle.png"/>
                    <pic:cNvPicPr>
                      <a:picLocks noChangeAspect="1" noChangeArrowheads="1"/>
                    </pic:cNvPicPr>
                  </pic:nvPicPr>
                  <pic:blipFill>
                    <a:blip r:embed="rId13"/>
                    <a:stretch>
                      <a:fillRect/>
                    </a:stretch>
                  </pic:blipFill>
                  <pic:spPr bwMode="auto">
                    <a:xfrm>
                      <a:off x="0" y="0"/>
                      <a:ext cx="5334000" cy="3048779"/>
                    </a:xfrm>
                    <a:prstGeom prst="rect">
                      <a:avLst/>
                    </a:prstGeom>
                    <a:noFill/>
                    <a:ln w="9525">
                      <a:noFill/>
                      <a:headEnd/>
                      <a:tailEnd/>
                    </a:ln>
                  </pic:spPr>
                </pic:pic>
              </a:graphicData>
            </a:graphic>
          </wp:inline>
        </w:drawing>
      </w:r>
    </w:p>
    <w:p w14:paraId="316A9C22" w14:textId="457DF679" w:rsidR="00052612" w:rsidRPr="00524677" w:rsidRDefault="003F3D5F" w:rsidP="00F763E2">
      <w:pPr>
        <w:pStyle w:val="ImageCaption"/>
        <w:spacing w:line="360" w:lineRule="auto"/>
        <w:jc w:val="both"/>
        <w:rPr>
          <w:rFonts w:ascii="Times New Roman" w:hAnsi="Times New Roman" w:cs="Times New Roman"/>
        </w:rPr>
      </w:pPr>
      <w:r w:rsidRPr="00524677">
        <w:rPr>
          <w:rFonts w:ascii="Times New Roman" w:hAnsi="Times New Roman" w:cs="Times New Roman"/>
        </w:rPr>
        <w:t xml:space="preserve">Figure </w:t>
      </w:r>
      <w:r w:rsidR="00BF3954">
        <w:rPr>
          <w:rFonts w:ascii="Times New Roman" w:hAnsi="Times New Roman" w:cs="Times New Roman"/>
        </w:rPr>
        <w:t>I</w:t>
      </w:r>
      <w:r w:rsidRPr="00524677">
        <w:rPr>
          <w:rFonts w:ascii="Times New Roman" w:hAnsi="Times New Roman" w:cs="Times New Roman"/>
        </w:rPr>
        <w:t xml:space="preserve">I-3. Principe de la réflectométrie temporelle : impulsion incidente, écho de défaut et </w:t>
      </w:r>
      <w:proofErr w:type="spellStart"/>
      <w:r w:rsidRPr="00524677">
        <w:rPr>
          <w:rFonts w:ascii="Times New Roman" w:hAnsi="Times New Roman" w:cs="Times New Roman"/>
        </w:rPr>
        <w:t>réflectogramme</w:t>
      </w:r>
      <w:proofErr w:type="spellEnd"/>
      <w:r w:rsidRPr="00524677">
        <w:rPr>
          <w:rFonts w:ascii="Times New Roman" w:hAnsi="Times New Roman" w:cs="Times New Roman"/>
        </w:rPr>
        <w:t xml:space="preserve"> résultant</w:t>
      </w:r>
    </w:p>
    <w:p w14:paraId="61F48ED4"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lastRenderedPageBreak/>
        <w:t>Avantages.</w:t>
      </w:r>
      <w:r w:rsidRPr="00524677">
        <w:rPr>
          <w:rFonts w:ascii="Times New Roman" w:hAnsi="Times New Roman" w:cs="Times New Roman"/>
        </w:rPr>
        <w:t xml:space="preserve"> Quand elle fonctionne, la TDR </w:t>
      </w:r>
      <w:r w:rsidRPr="00524677">
        <w:rPr>
          <w:rFonts w:ascii="Times New Roman" w:hAnsi="Times New Roman" w:cs="Times New Roman"/>
          <w:b/>
        </w:rPr>
        <w:t>localise</w:t>
      </w:r>
      <w:r w:rsidRPr="00524677">
        <w:rPr>
          <w:rFonts w:ascii="Times New Roman" w:hAnsi="Times New Roman" w:cs="Times New Roman"/>
        </w:rPr>
        <w:t xml:space="preserve"> avec une résolution spatiale typique de 1 à 5 m pour une largeur d’impulsion de 10 à 50 ns. Elle est largement utilisée pour le diagnostic hors service des câbles MT.</w:t>
      </w:r>
    </w:p>
    <w:p w14:paraId="7E1849FB"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t>Limites — critiques pour le balisage.</w:t>
      </w:r>
      <w:r w:rsidRPr="00524677">
        <w:rPr>
          <w:rFonts w:ascii="Times New Roman" w:hAnsi="Times New Roman" w:cs="Times New Roman"/>
        </w:rPr>
        <w:t xml:space="preserve"> Sur une boucle série aéronautique, la TDR classique se heurte à plusieurs obstacles :</w:t>
      </w:r>
    </w:p>
    <w:p w14:paraId="04DB22C4" w14:textId="77777777" w:rsidR="00052612" w:rsidRPr="00524677" w:rsidRDefault="003F3D5F" w:rsidP="00F763E2">
      <w:pPr>
        <w:pStyle w:val="Compact"/>
        <w:numPr>
          <w:ilvl w:val="0"/>
          <w:numId w:val="4"/>
        </w:numPr>
        <w:spacing w:line="360" w:lineRule="auto"/>
        <w:jc w:val="both"/>
        <w:rPr>
          <w:rFonts w:ascii="Times New Roman" w:hAnsi="Times New Roman" w:cs="Times New Roman"/>
        </w:rPr>
      </w:pPr>
      <w:r w:rsidRPr="00524677">
        <w:rPr>
          <w:rFonts w:ascii="Times New Roman" w:hAnsi="Times New Roman" w:cs="Times New Roman"/>
          <w:b/>
        </w:rPr>
        <w:t>Désadaptation massive d’impédance aux TI.</w:t>
      </w:r>
      <w:r w:rsidRPr="00524677">
        <w:rPr>
          <w:rFonts w:ascii="Times New Roman" w:hAnsi="Times New Roman" w:cs="Times New Roman"/>
        </w:rPr>
        <w:t xml:space="preserve"> Chaque transformateur d’isolement (jusqu’à 96 sur la boucle K) constitue une discontinuité franche : les échos des TI saturent le </w:t>
      </w:r>
      <w:proofErr w:type="spellStart"/>
      <w:r w:rsidRPr="00524677">
        <w:rPr>
          <w:rFonts w:ascii="Times New Roman" w:hAnsi="Times New Roman" w:cs="Times New Roman"/>
        </w:rPr>
        <w:t>réflectogramme</w:t>
      </w:r>
      <w:proofErr w:type="spellEnd"/>
      <w:r w:rsidRPr="00524677">
        <w:rPr>
          <w:rFonts w:ascii="Times New Roman" w:hAnsi="Times New Roman" w:cs="Times New Roman"/>
        </w:rPr>
        <w:t xml:space="preserve"> et masquent l’écho du défaut.</w:t>
      </w:r>
    </w:p>
    <w:p w14:paraId="65D160FD" w14:textId="77777777" w:rsidR="00052612" w:rsidRPr="00524677" w:rsidRDefault="003F3D5F" w:rsidP="00F763E2">
      <w:pPr>
        <w:pStyle w:val="Compact"/>
        <w:numPr>
          <w:ilvl w:val="0"/>
          <w:numId w:val="4"/>
        </w:numPr>
        <w:spacing w:line="360" w:lineRule="auto"/>
        <w:jc w:val="both"/>
        <w:rPr>
          <w:rFonts w:ascii="Times New Roman" w:hAnsi="Times New Roman" w:cs="Times New Roman"/>
        </w:rPr>
      </w:pPr>
      <w:r w:rsidRPr="00524677">
        <w:rPr>
          <w:rFonts w:ascii="Times New Roman" w:hAnsi="Times New Roman" w:cs="Times New Roman"/>
          <w:b/>
        </w:rPr>
        <w:t>Nécessité d’une injection HF dédiée.</w:t>
      </w:r>
      <w:r w:rsidRPr="00524677">
        <w:rPr>
          <w:rFonts w:ascii="Times New Roman" w:hAnsi="Times New Roman" w:cs="Times New Roman"/>
        </w:rPr>
        <w:t xml:space="preserve"> Le gradateur SCR du RCC ne peut pas produire les fronts montants requis ; il faut un générateur d’impulsions distinct.</w:t>
      </w:r>
    </w:p>
    <w:p w14:paraId="2C82B50F" w14:textId="77777777" w:rsidR="00052612" w:rsidRPr="00524677" w:rsidRDefault="003F3D5F" w:rsidP="00F763E2">
      <w:pPr>
        <w:pStyle w:val="Compact"/>
        <w:numPr>
          <w:ilvl w:val="0"/>
          <w:numId w:val="4"/>
        </w:numPr>
        <w:spacing w:line="360" w:lineRule="auto"/>
        <w:jc w:val="both"/>
        <w:rPr>
          <w:rFonts w:ascii="Times New Roman" w:hAnsi="Times New Roman" w:cs="Times New Roman"/>
        </w:rPr>
      </w:pPr>
      <w:r w:rsidRPr="00524677">
        <w:rPr>
          <w:rFonts w:ascii="Times New Roman" w:hAnsi="Times New Roman" w:cs="Times New Roman"/>
          <w:b/>
        </w:rPr>
        <w:t>Coupure de service.</w:t>
      </w:r>
      <w:r w:rsidRPr="00524677">
        <w:rPr>
          <w:rFonts w:ascii="Times New Roman" w:hAnsi="Times New Roman" w:cs="Times New Roman"/>
        </w:rPr>
        <w:t xml:space="preserve"> La plupart des TDR commerciaux nécessitent la mise </w:t>
      </w:r>
      <w:r w:rsidRPr="00524677">
        <w:rPr>
          <w:rFonts w:ascii="Times New Roman" w:hAnsi="Times New Roman" w:cs="Times New Roman"/>
          <w:b/>
        </w:rPr>
        <w:t>hors tension</w:t>
      </w:r>
      <w:r w:rsidRPr="00524677">
        <w:rPr>
          <w:rFonts w:ascii="Times New Roman" w:hAnsi="Times New Roman" w:cs="Times New Roman"/>
        </w:rPr>
        <w:t xml:space="preserve"> de la boucle, incompatible avec un diagnostic en ligne.</w:t>
      </w:r>
    </w:p>
    <w:p w14:paraId="2D68D08D" w14:textId="77777777" w:rsidR="00052612" w:rsidRPr="00524677" w:rsidRDefault="003F3D5F" w:rsidP="006277DE">
      <w:pPr>
        <w:pStyle w:val="FirstParagraph"/>
      </w:pPr>
      <w:r w:rsidRPr="00524677">
        <w:t>Ces limites expliquent que la TDR soit, en pratique, réservée aux diagnostics après incident et non à la surveillance continue.</w:t>
      </w:r>
    </w:p>
    <w:p w14:paraId="29156B5E" w14:textId="0C654724" w:rsidR="00052612" w:rsidRPr="00524677" w:rsidRDefault="00BF3954" w:rsidP="00F763E2">
      <w:pPr>
        <w:pStyle w:val="Heading3"/>
        <w:spacing w:line="360" w:lineRule="auto"/>
        <w:jc w:val="both"/>
        <w:rPr>
          <w:rFonts w:ascii="Times New Roman" w:hAnsi="Times New Roman" w:cs="Times New Roman"/>
          <w:color w:val="auto"/>
        </w:rPr>
      </w:pPr>
      <w:bookmarkStart w:id="27" w:name="X3343debdf6155d97a95d29acb1308aa8e3ae4f0"/>
      <w:bookmarkStart w:id="28" w:name="_Toc229131316"/>
      <w:r>
        <w:rPr>
          <w:rFonts w:ascii="Times New Roman" w:hAnsi="Times New Roman" w:cs="Times New Roman"/>
          <w:color w:val="auto"/>
        </w:rPr>
        <w:t>I</w:t>
      </w:r>
      <w:r w:rsidR="003F3D5F" w:rsidRPr="00524677">
        <w:rPr>
          <w:rFonts w:ascii="Times New Roman" w:hAnsi="Times New Roman" w:cs="Times New Roman"/>
          <w:color w:val="auto"/>
        </w:rPr>
        <w:t>I.4.2. Réflectométrie dans le domaine fréquentiel (FDR)</w:t>
      </w:r>
      <w:bookmarkEnd w:id="27"/>
      <w:bookmarkEnd w:id="28"/>
    </w:p>
    <w:p w14:paraId="35C4CD31" w14:textId="77777777" w:rsidR="00052612" w:rsidRPr="00524677" w:rsidRDefault="003F3D5F" w:rsidP="006277DE">
      <w:pPr>
        <w:pStyle w:val="FirstParagraph"/>
      </w:pPr>
      <w:r w:rsidRPr="00524677">
        <w:t xml:space="preserve">La </w:t>
      </w:r>
      <w:r w:rsidRPr="00524677">
        <w:rPr>
          <w:b/>
        </w:rPr>
        <w:t>FDR</w:t>
      </w:r>
      <w:r w:rsidRPr="00524677">
        <w:t xml:space="preserve"> balaie une plage de fréquences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oMath>
      <w:r w:rsidRPr="00524677">
        <w:t xml:space="preserve"> avec un signal sinusoïdal et mesure le coefficient de réflexion </w:t>
      </w:r>
      <m:oMath>
        <m:sSub>
          <m:sSubPr>
            <m:ctrlPr>
              <w:rPr>
                <w:rFonts w:ascii="Cambria Math" w:hAnsi="Cambria Math"/>
              </w:rPr>
            </m:ctrlPr>
          </m:sSubPr>
          <m:e>
            <m:r>
              <w:rPr>
                <w:rFonts w:ascii="Cambria Math" w:hAnsi="Cambria Math"/>
              </w:rPr>
              <m:t>S</m:t>
            </m:r>
          </m:e>
          <m:sub>
            <m:r>
              <w:rPr>
                <w:rFonts w:ascii="Cambria Math" w:hAnsi="Cambria Math"/>
              </w:rPr>
              <m:t>11</m:t>
            </m:r>
          </m:sub>
        </m:sSub>
        <m:r>
          <w:rPr>
            <w:rFonts w:ascii="Cambria Math" w:hAnsi="Cambria Math"/>
          </w:rPr>
          <m:t>(f)</m:t>
        </m:r>
      </m:oMath>
      <w:r w:rsidRPr="00524677">
        <w:t>. Une TFD inverse reconstitue alors un réflectogramme tem</w:t>
      </w:r>
      <w:proofErr w:type="spellStart"/>
      <w:r w:rsidRPr="00524677">
        <w:t>porel</w:t>
      </w:r>
      <w:proofErr w:type="spellEnd"/>
      <w:r w:rsidRPr="00524677">
        <w:t xml:space="preserve"> équivalent. La FDR est souvent plus robuste que la TDR en milieu bruité et permet d’utiliser des niveaux de puissance plus faibles, compatibles avec une injection sur câble en service (</w:t>
      </w:r>
      <w:proofErr w:type="spellStart"/>
      <w:r w:rsidRPr="00524677">
        <w:t>Auzanneau</w:t>
      </w:r>
      <w:proofErr w:type="spellEnd"/>
      <w:r w:rsidRPr="00524677">
        <w:t xml:space="preserve">, 2013). Elle reste néanmoins exposée au même problème de </w:t>
      </w:r>
      <w:r w:rsidRPr="00524677">
        <w:rPr>
          <w:b/>
        </w:rPr>
        <w:t>désadaptation répétée</w:t>
      </w:r>
      <w:r w:rsidRPr="00524677">
        <w:t xml:space="preserve"> par les TI.</w:t>
      </w:r>
    </w:p>
    <w:p w14:paraId="5A0094AF" w14:textId="2466F8FC" w:rsidR="00052612" w:rsidRPr="00524677" w:rsidRDefault="00BF3954" w:rsidP="00F763E2">
      <w:pPr>
        <w:pStyle w:val="Heading3"/>
        <w:spacing w:line="360" w:lineRule="auto"/>
        <w:jc w:val="both"/>
        <w:rPr>
          <w:rFonts w:ascii="Times New Roman" w:hAnsi="Times New Roman" w:cs="Times New Roman"/>
          <w:color w:val="auto"/>
        </w:rPr>
      </w:pPr>
      <w:bookmarkStart w:id="29" w:name="X00195206c121b8da193a3d682e7665b5d507607"/>
      <w:bookmarkStart w:id="30" w:name="_Toc229131317"/>
      <w:r>
        <w:rPr>
          <w:rFonts w:ascii="Times New Roman" w:hAnsi="Times New Roman" w:cs="Times New Roman"/>
          <w:color w:val="auto"/>
        </w:rPr>
        <w:t>I</w:t>
      </w:r>
      <w:r w:rsidR="003F3D5F" w:rsidRPr="00524677">
        <w:rPr>
          <w:rFonts w:ascii="Times New Roman" w:hAnsi="Times New Roman" w:cs="Times New Roman"/>
          <w:color w:val="auto"/>
        </w:rPr>
        <w:t>I.4.3. Réflectométrie multi-porteuse (MCTDR)</w:t>
      </w:r>
      <w:bookmarkEnd w:id="29"/>
      <w:bookmarkEnd w:id="30"/>
    </w:p>
    <w:p w14:paraId="6354ED24" w14:textId="77777777" w:rsidR="00052612" w:rsidRPr="00524677" w:rsidRDefault="003F3D5F" w:rsidP="006277DE">
      <w:pPr>
        <w:pStyle w:val="FirstParagraph"/>
      </w:pPr>
      <w:r w:rsidRPr="00524677">
        <w:t xml:space="preserve">La </w:t>
      </w:r>
      <w:r w:rsidRPr="00524677">
        <w:rPr>
          <w:b/>
        </w:rPr>
        <w:t>réflectométrie multi-porteuse</w:t>
      </w:r>
      <w:r w:rsidRPr="00524677">
        <w:t xml:space="preserve"> (Multi-Carrier Time-Domain </w:t>
      </w:r>
      <w:proofErr w:type="spellStart"/>
      <w:r w:rsidRPr="00524677">
        <w:t>Reflectometry</w:t>
      </w:r>
      <w:proofErr w:type="spellEnd"/>
      <w:r w:rsidRPr="00524677">
        <w:t xml:space="preserve">, MCTDR), développée au CEA LIST (Lelong &amp; </w:t>
      </w:r>
      <w:proofErr w:type="spellStart"/>
      <w:r w:rsidRPr="00524677">
        <w:t>Carrion</w:t>
      </w:r>
      <w:proofErr w:type="spellEnd"/>
      <w:r w:rsidRPr="00524677">
        <w:t xml:space="preserve">, 2009 ; </w:t>
      </w:r>
      <w:proofErr w:type="spellStart"/>
      <w:r w:rsidRPr="00524677">
        <w:t>Auzanneau</w:t>
      </w:r>
      <w:proofErr w:type="spellEnd"/>
      <w:r w:rsidRPr="00524677">
        <w:t xml:space="preserve">, 2013), injecte un signal sculpté </w:t>
      </w:r>
      <w:r w:rsidRPr="00524677">
        <w:rPr>
          <w:b/>
        </w:rPr>
        <w:t>hors de la bande du signal utile</w:t>
      </w:r>
      <w:r w:rsidRPr="00524677">
        <w:t xml:space="preserve"> — typiquement dans une fenêtre de quelques centaines de kHz à quelques MHz. Cette séparation spectrale autorise une mesure </w:t>
      </w:r>
      <w:r w:rsidRPr="00524677">
        <w:rPr>
          <w:b/>
        </w:rPr>
        <w:t>en service</w:t>
      </w:r>
      <w:r w:rsidRPr="00524677">
        <w:t xml:space="preserve"> (</w:t>
      </w:r>
      <w:r w:rsidRPr="00524677">
        <w:rPr>
          <w:i/>
        </w:rPr>
        <w:t>on-line</w:t>
      </w:r>
      <w:r w:rsidRPr="00524677">
        <w:t>), et les progrès en corrélation adaptée permettent de limiter le niveau d’injection à quelques volts.</w:t>
      </w:r>
    </w:p>
    <w:p w14:paraId="4C1A69AD"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lastRenderedPageBreak/>
        <w:t>Avantages.</w:t>
      </w:r>
      <w:r w:rsidRPr="00524677">
        <w:rPr>
          <w:rFonts w:ascii="Times New Roman" w:hAnsi="Times New Roman" w:cs="Times New Roman"/>
        </w:rPr>
        <w:t xml:space="preserve"> La MCTDR est, à ce jour, la </w:t>
      </w:r>
      <w:r w:rsidRPr="00524677">
        <w:rPr>
          <w:rFonts w:ascii="Times New Roman" w:hAnsi="Times New Roman" w:cs="Times New Roman"/>
          <w:b/>
        </w:rPr>
        <w:t>seule</w:t>
      </w:r>
      <w:r w:rsidRPr="00524677">
        <w:rPr>
          <w:rFonts w:ascii="Times New Roman" w:hAnsi="Times New Roman" w:cs="Times New Roman"/>
        </w:rPr>
        <w:t xml:space="preserve"> méthode de réflectométrie démontrée compatible avec un fonctionnement permanent sur câblages aéronautiques embarqués (</w:t>
      </w:r>
      <w:proofErr w:type="spellStart"/>
      <w:r w:rsidRPr="00524677">
        <w:rPr>
          <w:rFonts w:ascii="Times New Roman" w:hAnsi="Times New Roman" w:cs="Times New Roman"/>
        </w:rPr>
        <w:t>Auzanneau</w:t>
      </w:r>
      <w:proofErr w:type="spellEnd"/>
      <w:r w:rsidRPr="00524677">
        <w:rPr>
          <w:rFonts w:ascii="Times New Roman" w:hAnsi="Times New Roman" w:cs="Times New Roman"/>
        </w:rPr>
        <w:t>, 2013). Elle fournit, en combinaison avec des algorithmes de déconvolution, une localisation métrique.</w:t>
      </w:r>
    </w:p>
    <w:p w14:paraId="2C54E565" w14:textId="2C202150"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t>Limites.</w:t>
      </w:r>
      <w:r w:rsidRPr="00524677">
        <w:rPr>
          <w:rFonts w:ascii="Times New Roman" w:hAnsi="Times New Roman" w:cs="Times New Roman"/>
        </w:rPr>
        <w:t xml:space="preserve"> L’application publiée concerne l’EWIS</w:t>
      </w:r>
      <w:r w:rsidR="0092510E">
        <w:rPr>
          <w:rFonts w:ascii="Times New Roman" w:hAnsi="Times New Roman" w:cs="Times New Roman"/>
        </w:rPr>
        <w:t xml:space="preserve"> (</w:t>
      </w:r>
      <w:proofErr w:type="spellStart"/>
      <w:r w:rsidR="0092510E" w:rsidRPr="0092510E">
        <w:rPr>
          <w:rFonts w:ascii="Times New Roman" w:hAnsi="Times New Roman" w:cs="Times New Roman"/>
          <w:i/>
          <w:iCs/>
        </w:rPr>
        <w:t>Electrical</w:t>
      </w:r>
      <w:proofErr w:type="spellEnd"/>
      <w:r w:rsidR="0092510E" w:rsidRPr="0092510E">
        <w:rPr>
          <w:rFonts w:ascii="Times New Roman" w:hAnsi="Times New Roman" w:cs="Times New Roman"/>
          <w:i/>
          <w:iCs/>
        </w:rPr>
        <w:t xml:space="preserve"> </w:t>
      </w:r>
      <w:proofErr w:type="spellStart"/>
      <w:r w:rsidR="0092510E" w:rsidRPr="0092510E">
        <w:rPr>
          <w:rFonts w:ascii="Times New Roman" w:hAnsi="Times New Roman" w:cs="Times New Roman"/>
          <w:i/>
          <w:iCs/>
        </w:rPr>
        <w:t>Wiring</w:t>
      </w:r>
      <w:proofErr w:type="spellEnd"/>
      <w:r w:rsidR="0092510E" w:rsidRPr="0092510E">
        <w:rPr>
          <w:rFonts w:ascii="Times New Roman" w:hAnsi="Times New Roman" w:cs="Times New Roman"/>
          <w:i/>
          <w:iCs/>
        </w:rPr>
        <w:t xml:space="preserve"> </w:t>
      </w:r>
      <w:proofErr w:type="spellStart"/>
      <w:r w:rsidR="0092510E" w:rsidRPr="0092510E">
        <w:rPr>
          <w:rFonts w:ascii="Times New Roman" w:hAnsi="Times New Roman" w:cs="Times New Roman"/>
          <w:i/>
          <w:iCs/>
        </w:rPr>
        <w:t>Interconnection</w:t>
      </w:r>
      <w:proofErr w:type="spellEnd"/>
      <w:r w:rsidR="0092510E" w:rsidRPr="0092510E">
        <w:rPr>
          <w:rFonts w:ascii="Times New Roman" w:hAnsi="Times New Roman" w:cs="Times New Roman"/>
          <w:i/>
          <w:iCs/>
        </w:rPr>
        <w:t xml:space="preserve"> System</w:t>
      </w:r>
      <w:r w:rsidR="0092510E" w:rsidRPr="0092510E">
        <w:rPr>
          <w:rFonts w:ascii="Times New Roman" w:hAnsi="Times New Roman" w:cs="Times New Roman"/>
        </w:rPr>
        <w:t>)</w:t>
      </w:r>
      <w:r w:rsidRPr="00524677">
        <w:rPr>
          <w:rFonts w:ascii="Times New Roman" w:hAnsi="Times New Roman" w:cs="Times New Roman"/>
        </w:rPr>
        <w:t xml:space="preserve"> avion et non les circuits de balisage ; la transposition à une boucle série 6,6 A avec plusieurs dizaines de TI reste un sujet ouvert. De plus, l’équipement est </w:t>
      </w:r>
      <w:r w:rsidRPr="00524677">
        <w:rPr>
          <w:rFonts w:ascii="Times New Roman" w:hAnsi="Times New Roman" w:cs="Times New Roman"/>
          <w:b/>
        </w:rPr>
        <w:t>non standardisé</w:t>
      </w:r>
      <w:r w:rsidRPr="00524677">
        <w:rPr>
          <w:rFonts w:ascii="Times New Roman" w:hAnsi="Times New Roman" w:cs="Times New Roman"/>
        </w:rPr>
        <w:t xml:space="preserve"> et son coût par boucle dépasse largement celui d’un EFD. Enfin, comme toutes les réflectométries, la MCTDR demande un </w:t>
      </w:r>
      <w:r w:rsidRPr="00524677">
        <w:rPr>
          <w:rFonts w:ascii="Times New Roman" w:hAnsi="Times New Roman" w:cs="Times New Roman"/>
          <w:b/>
        </w:rPr>
        <w:t>couplage HF</w:t>
      </w:r>
      <w:r w:rsidRPr="00524677">
        <w:rPr>
          <w:rFonts w:ascii="Times New Roman" w:hAnsi="Times New Roman" w:cs="Times New Roman"/>
        </w:rPr>
        <w:t xml:space="preserve"> parfaitement maîtrisé : la moindre asymétrie dans l’injection crée des modes communs qui masquent les défauts d’impédance modérée.</w:t>
      </w:r>
    </w:p>
    <w:p w14:paraId="4FF11B79" w14:textId="1D6AAB46" w:rsidR="00052612" w:rsidRPr="00524677" w:rsidRDefault="00BF3954" w:rsidP="006277DE">
      <w:pPr>
        <w:pStyle w:val="Heading2"/>
      </w:pPr>
      <w:bookmarkStart w:id="31" w:name="X9a6d8a952c218b5cccc14555daeb9dcc86dd50b"/>
      <w:bookmarkStart w:id="32" w:name="_Toc229131318"/>
      <w:r>
        <w:t>I</w:t>
      </w:r>
      <w:r w:rsidR="003F3D5F" w:rsidRPr="00524677">
        <w:t>I.5. Localisation à source unique : le verrou scientifique</w:t>
      </w:r>
      <w:bookmarkEnd w:id="31"/>
      <w:bookmarkEnd w:id="32"/>
    </w:p>
    <w:p w14:paraId="6FB7CB3E" w14:textId="5342375D" w:rsidR="00052612" w:rsidRPr="00524677" w:rsidRDefault="003F3D5F" w:rsidP="006277DE">
      <w:pPr>
        <w:pStyle w:val="FirstParagraph"/>
      </w:pPr>
      <w:r w:rsidRPr="00524677">
        <w:t xml:space="preserve">Cette section articule la </w:t>
      </w:r>
      <w:r w:rsidRPr="00524677">
        <w:rPr>
          <w:b/>
        </w:rPr>
        <w:t>tension centrale</w:t>
      </w:r>
      <w:r w:rsidRPr="00524677">
        <w:t xml:space="preserve"> de l’état de l’art vis-à-vis de notre problème. Elle explicite le lien — souvent implicite dans la littérature — entre </w:t>
      </w:r>
      <w:r w:rsidRPr="00524677">
        <w:rPr>
          <w:b/>
        </w:rPr>
        <w:t>analyse spectrale</w:t>
      </w:r>
      <w:r w:rsidRPr="00524677">
        <w:t xml:space="preserve"> (§ </w:t>
      </w:r>
      <w:r w:rsidR="00BF3954">
        <w:t>I</w:t>
      </w:r>
      <w:r w:rsidRPr="00524677">
        <w:t xml:space="preserve">I.3) et </w:t>
      </w:r>
      <w:r w:rsidRPr="00524677">
        <w:rPr>
          <w:b/>
        </w:rPr>
        <w:t>localisation</w:t>
      </w:r>
      <w:r w:rsidRPr="00524677">
        <w:t xml:space="preserve"> (§ </w:t>
      </w:r>
      <w:r w:rsidR="00BF3954">
        <w:t>I</w:t>
      </w:r>
      <w:r w:rsidRPr="00524677">
        <w:t xml:space="preserve">I.4), et montre pourquoi la question </w:t>
      </w:r>
      <w:r w:rsidRPr="00524677">
        <w:rPr>
          <w:i/>
        </w:rPr>
        <w:t>« localiser en un seul point de mesure »</w:t>
      </w:r>
      <w:r w:rsidRPr="00524677">
        <w:t xml:space="preserve"> constitue un verrou.</w:t>
      </w:r>
    </w:p>
    <w:p w14:paraId="78FD0501" w14:textId="2E52D329" w:rsidR="00052612" w:rsidRPr="00524677" w:rsidRDefault="003F3D5F" w:rsidP="00F763E2">
      <w:pPr>
        <w:pStyle w:val="Heading3"/>
        <w:spacing w:line="360" w:lineRule="auto"/>
        <w:jc w:val="both"/>
        <w:rPr>
          <w:rFonts w:ascii="Times New Roman" w:hAnsi="Times New Roman" w:cs="Times New Roman"/>
          <w:color w:val="auto"/>
        </w:rPr>
      </w:pPr>
      <w:bookmarkStart w:id="33" w:name="i.5.1.-position-du-problème"/>
      <w:bookmarkStart w:id="34" w:name="_Toc229131319"/>
      <w:r w:rsidRPr="00524677">
        <w:rPr>
          <w:rFonts w:ascii="Times New Roman" w:hAnsi="Times New Roman" w:cs="Times New Roman"/>
          <w:color w:val="auto"/>
        </w:rPr>
        <w:t>I</w:t>
      </w:r>
      <w:r w:rsidR="00BF3954">
        <w:rPr>
          <w:rFonts w:ascii="Times New Roman" w:hAnsi="Times New Roman" w:cs="Times New Roman"/>
          <w:color w:val="auto"/>
        </w:rPr>
        <w:t>I</w:t>
      </w:r>
      <w:r w:rsidRPr="00524677">
        <w:rPr>
          <w:rFonts w:ascii="Times New Roman" w:hAnsi="Times New Roman" w:cs="Times New Roman"/>
          <w:color w:val="auto"/>
        </w:rPr>
        <w:t>.5.1. Position du problème</w:t>
      </w:r>
      <w:bookmarkEnd w:id="33"/>
      <w:bookmarkEnd w:id="34"/>
    </w:p>
    <w:p w14:paraId="1DB5DE64" w14:textId="34B74D4A" w:rsidR="00052612" w:rsidRPr="00524677" w:rsidRDefault="003F3D5F" w:rsidP="006277DE">
      <w:pPr>
        <w:pStyle w:val="FirstParagraph"/>
      </w:pPr>
      <w:r w:rsidRPr="00524677">
        <w:t xml:space="preserve">Les méthodes de réflectométrie (§ </w:t>
      </w:r>
      <w:r w:rsidR="00BF3954">
        <w:t>I</w:t>
      </w:r>
      <w:r w:rsidRPr="00524677">
        <w:t xml:space="preserve">I.4) répondent au sous-problème de </w:t>
      </w:r>
      <w:r w:rsidRPr="00524677">
        <w:rPr>
          <w:b/>
        </w:rPr>
        <w:t>localisation</w:t>
      </w:r>
      <w:r w:rsidRPr="00524677">
        <w:t xml:space="preserve"> mais au prix d’une instrumentation HF dédiée, d’un couplage difficile à maîtriser sur circuit série chargé, et souvent d’une coupure de service. À l’inverse, les méthodes spectrales (§ </w:t>
      </w:r>
      <w:r w:rsidR="00BF3954">
        <w:t>I</w:t>
      </w:r>
      <w:r w:rsidRPr="00524677">
        <w:t xml:space="preserve">I.3) se contentent des capteurs du RCC — bande 50 Hz à quelques kHz — mais ne </w:t>
      </w:r>
      <w:r w:rsidRPr="00524677">
        <w:rPr>
          <w:b/>
        </w:rPr>
        <w:t>localisent pas</w:t>
      </w:r>
      <w:r w:rsidRPr="00524677">
        <w:t xml:space="preserve">. Peut-on, à partir d’une mesure effectuée en </w:t>
      </w:r>
      <w:r w:rsidRPr="00524677">
        <w:rPr>
          <w:b/>
        </w:rPr>
        <w:t>un seul point</w:t>
      </w:r>
      <w:r w:rsidRPr="00524677">
        <w:t xml:space="preserve"> (la tête du RCC), estimer à la fois l’existence, le type et la </w:t>
      </w:r>
      <w:r w:rsidRPr="00524677">
        <w:rPr>
          <w:b/>
        </w:rPr>
        <w:t>position</w:t>
      </w:r>
      <w:r w:rsidRPr="00524677">
        <w:t xml:space="preserve"> d’un défaut le long de la boucle ?</w:t>
      </w:r>
    </w:p>
    <w:p w14:paraId="652172E0" w14:textId="771CDA0F" w:rsidR="00052612" w:rsidRPr="00524677" w:rsidRDefault="00BF3954" w:rsidP="00F763E2">
      <w:pPr>
        <w:pStyle w:val="Heading3"/>
        <w:spacing w:line="360" w:lineRule="auto"/>
        <w:jc w:val="both"/>
        <w:rPr>
          <w:rFonts w:ascii="Times New Roman" w:hAnsi="Times New Roman" w:cs="Times New Roman"/>
          <w:color w:val="auto"/>
        </w:rPr>
      </w:pPr>
      <w:bookmarkStart w:id="35" w:name="i.5.2.-formulation-impédance"/>
      <w:bookmarkStart w:id="36" w:name="_Toc229131320"/>
      <w:r>
        <w:rPr>
          <w:rFonts w:ascii="Times New Roman" w:hAnsi="Times New Roman" w:cs="Times New Roman"/>
          <w:color w:val="auto"/>
        </w:rPr>
        <w:t>I</w:t>
      </w:r>
      <w:r w:rsidR="003F3D5F" w:rsidRPr="00524677">
        <w:rPr>
          <w:rFonts w:ascii="Times New Roman" w:hAnsi="Times New Roman" w:cs="Times New Roman"/>
          <w:color w:val="auto"/>
        </w:rPr>
        <w:t>I.5.2. Formulation impédance</w:t>
      </w:r>
      <w:bookmarkEnd w:id="35"/>
      <w:bookmarkEnd w:id="36"/>
    </w:p>
    <w:p w14:paraId="4F40DF54" w14:textId="77777777" w:rsidR="00052612" w:rsidRPr="00524677" w:rsidRDefault="003F3D5F" w:rsidP="006277DE">
      <w:pPr>
        <w:pStyle w:val="FirstParagraph"/>
      </w:pPr>
      <w:r w:rsidRPr="00524677">
        <w:t>Une formalisation possible repose sur l’</w:t>
      </w:r>
      <w:r w:rsidRPr="00524677">
        <w:rPr>
          <w:b/>
        </w:rPr>
        <w:t>impédance vue de la source</w:t>
      </w:r>
      <w:r w:rsidRPr="00524677">
        <w:t xml:space="preserve"> </w:t>
      </w:r>
      <m:oMath>
        <m:sSub>
          <m:sSubPr>
            <m:ctrlPr>
              <w:rPr>
                <w:rFonts w:ascii="Cambria Math" w:hAnsi="Cambria Math"/>
              </w:rPr>
            </m:ctrlPr>
          </m:sSubPr>
          <m:e>
            <m:r>
              <w:rPr>
                <w:rFonts w:ascii="Cambria Math" w:hAnsi="Cambria Math"/>
              </w:rPr>
              <m:t>Z</m:t>
            </m:r>
          </m:e>
          <m:sub>
            <m:r>
              <m:rPr>
                <m:nor/>
              </m:rPr>
              <m:t>vue</m:t>
            </m:r>
          </m:sub>
        </m:sSub>
        <m:r>
          <w:rPr>
            <w:rFonts w:ascii="Cambria Math" w:hAnsi="Cambria Math"/>
          </w:rPr>
          <m:t>(jω)</m:t>
        </m:r>
      </m:oMath>
      <w:r w:rsidRPr="00524677">
        <w:t xml:space="preserve">. En régime établi, la boucle série, vue depuis le RCC, est équivalente à un quadripôle distribué dont le modèle RLCG, discrétisé en </w:t>
      </w:r>
      <m:oMath>
        <m:r>
          <w:rPr>
            <w:rFonts w:ascii="Cambria Math" w:hAnsi="Cambria Math"/>
          </w:rPr>
          <m:t>N</m:t>
        </m:r>
      </m:oMath>
      <w:r w:rsidRPr="00524677">
        <w:t xml:space="preserve"> tronçons, donne :</w:t>
      </w:r>
    </w:p>
    <w:p w14:paraId="06C47F32" w14:textId="28E66AE9" w:rsidR="00052612" w:rsidRPr="00524677" w:rsidRDefault="004E66EE" w:rsidP="00F763E2">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Z</m:t>
              </m:r>
            </m:e>
            <m:sub>
              <m:r>
                <m:rPr>
                  <m:nor/>
                </m:rPr>
                <w:rPr>
                  <w:rFonts w:ascii="Times New Roman" w:hAnsi="Times New Roman" w:cs="Times New Roman"/>
                </w:rPr>
                <m:t>vue</m:t>
              </m:r>
            </m:sub>
          </m:sSub>
          <m:r>
            <w:rPr>
              <w:rFonts w:ascii="Cambria Math" w:hAnsi="Cambria Math" w:cs="Times New Roman"/>
            </w:rPr>
            <m:t>(jω) = </m:t>
          </m:r>
          <m:nary>
            <m:naryPr>
              <m:chr m:val="∏"/>
              <m:limLoc m:val="undOvr"/>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N</m:t>
              </m:r>
            </m:sup>
            <m:e>
              <m:sSub>
                <m:sSubPr>
                  <m:ctrlPr>
                    <w:rPr>
                      <w:rFonts w:ascii="Cambria Math" w:hAnsi="Cambria Math" w:cs="Times New Roman"/>
                    </w:rPr>
                  </m:ctrlPr>
                </m:sSubPr>
                <m:e>
                  <m:r>
                    <m:rPr>
                      <m:sty m:val="b"/>
                    </m:rPr>
                    <w:rPr>
                      <w:rFonts w:ascii="Cambria Math" w:hAnsi="Cambria Math" w:cs="Times New Roman"/>
                    </w:rPr>
                    <m:t>T</m:t>
                  </m:r>
                </m:e>
                <m:sub>
                  <m:r>
                    <w:rPr>
                      <w:rFonts w:ascii="Cambria Math" w:hAnsi="Cambria Math" w:cs="Times New Roman"/>
                    </w:rPr>
                    <m:t>k</m:t>
                  </m:r>
                </m:sub>
              </m:sSub>
            </m:e>
          </m:nary>
          <m:r>
            <w:rPr>
              <w:rFonts w:ascii="Cambria Math" w:hAnsi="Cambria Math" w:cs="Times New Roman"/>
            </w:rPr>
            <m:t>(jω)⋅</m:t>
          </m:r>
          <m:sSub>
            <m:sSubPr>
              <m:ctrlPr>
                <w:rPr>
                  <w:rFonts w:ascii="Cambria Math" w:hAnsi="Cambria Math" w:cs="Times New Roman"/>
                </w:rPr>
              </m:ctrlPr>
            </m:sSubPr>
            <m:e>
              <m:r>
                <w:rPr>
                  <w:rFonts w:ascii="Cambria Math" w:hAnsi="Cambria Math" w:cs="Times New Roman"/>
                </w:rPr>
                <m:t>Z</m:t>
              </m:r>
            </m:e>
            <m:sub>
              <m:r>
                <m:rPr>
                  <m:nor/>
                </m:rPr>
                <w:rPr>
                  <w:rFonts w:ascii="Times New Roman" w:hAnsi="Times New Roman" w:cs="Times New Roman"/>
                </w:rPr>
                <m:t>charge</m:t>
              </m:r>
            </m:sub>
          </m:sSub>
          <m:r>
            <w:rPr>
              <w:rFonts w:ascii="Cambria Math" w:hAnsi="Cambria Math" w:cs="Times New Roman"/>
            </w:rPr>
            <m:t>  (I</m:t>
          </m:r>
          <m:r>
            <m:rPr>
              <m:sty m:val="p"/>
            </m:rPr>
            <w:rPr>
              <w:rFonts w:ascii="Cambria Math" w:hAnsi="Cambria Math" w:cs="Times New Roman"/>
            </w:rPr>
            <m:t>I.7</m:t>
          </m:r>
          <m:r>
            <w:rPr>
              <w:rFonts w:ascii="Cambria Math" w:hAnsi="Cambria Math" w:cs="Times New Roman"/>
            </w:rPr>
            <m:t>)</m:t>
          </m:r>
        </m:oMath>
      </m:oMathPara>
    </w:p>
    <w:p w14:paraId="3B50674C" w14:textId="77777777" w:rsidR="00052612" w:rsidRPr="00524677" w:rsidRDefault="003F3D5F" w:rsidP="006277DE">
      <w:pPr>
        <w:pStyle w:val="FirstParagraph"/>
      </w:pPr>
      <w:proofErr w:type="gramStart"/>
      <w:r w:rsidRPr="00524677">
        <w:lastRenderedPageBreak/>
        <w:t>où</w:t>
      </w:r>
      <w:proofErr w:type="gramEnd"/>
      <w:r w:rsidRPr="00524677">
        <w:t xml:space="preserve"> </w:t>
      </w:r>
      <m:oMath>
        <m:sSub>
          <m:sSubPr>
            <m:ctrlPr>
              <w:rPr>
                <w:rFonts w:ascii="Cambria Math" w:hAnsi="Cambria Math"/>
              </w:rPr>
            </m:ctrlPr>
          </m:sSubPr>
          <m:e>
            <m:r>
              <m:rPr>
                <m:sty m:val="b"/>
              </m:rPr>
              <w:rPr>
                <w:rFonts w:ascii="Cambria Math" w:hAnsi="Cambria Math"/>
              </w:rPr>
              <m:t>T</m:t>
            </m:r>
          </m:e>
          <m:sub>
            <m:r>
              <w:rPr>
                <w:rFonts w:ascii="Cambria Math" w:hAnsi="Cambria Math"/>
              </w:rPr>
              <m:t>k</m:t>
            </m:r>
          </m:sub>
        </m:sSub>
      </m:oMath>
      <w:r w:rsidRPr="00524677">
        <w:t xml:space="preserve"> est la matrice ABCD du tronçon </w:t>
      </w:r>
      <m:oMath>
        <m:r>
          <w:rPr>
            <w:rFonts w:ascii="Cambria Math" w:hAnsi="Cambria Math"/>
          </w:rPr>
          <m:t>k</m:t>
        </m:r>
      </m:oMath>
      <w:r w:rsidRPr="00524677">
        <w:t xml:space="preserve"> et </w:t>
      </w:r>
      <m:oMath>
        <m:sSub>
          <m:sSubPr>
            <m:ctrlPr>
              <w:rPr>
                <w:rFonts w:ascii="Cambria Math" w:hAnsi="Cambria Math"/>
              </w:rPr>
            </m:ctrlPr>
          </m:sSubPr>
          <m:e>
            <m:r>
              <w:rPr>
                <w:rFonts w:ascii="Cambria Math" w:hAnsi="Cambria Math"/>
              </w:rPr>
              <m:t>Z</m:t>
            </m:r>
          </m:e>
          <m:sub>
            <m:r>
              <m:rPr>
                <m:nor/>
              </m:rPr>
              <m:t>charge</m:t>
            </m:r>
          </m:sub>
        </m:sSub>
      </m:oMath>
      <w:r w:rsidRPr="00524677">
        <w:t xml:space="preserve"> l’impédance vue en bout de ligne (lampes via TI en parallèle + éventuelle terminaison). Un </w:t>
      </w:r>
      <w:r w:rsidRPr="00524677">
        <w:rPr>
          <w:b/>
        </w:rPr>
        <w:t>défaut d’isolement localisé</w:t>
      </w:r>
      <w:r w:rsidRPr="00524677">
        <w:t xml:space="preserve"> à l’abscisse </w:t>
      </w:r>
      <m:oMath>
        <m:r>
          <w:rPr>
            <w:rFonts w:ascii="Cambria Math" w:hAnsi="Cambria Math"/>
          </w:rPr>
          <m:t>d</m:t>
        </m:r>
      </m:oMath>
      <w:r w:rsidRPr="00524677">
        <w:t xml:space="preserve"> insère, dans le tronçon correspondant, une conductance de défaut </w:t>
      </w:r>
      <m:oMath>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f</m:t>
            </m:r>
          </m:sub>
        </m:sSub>
      </m:oMath>
      <w:r w:rsidRPr="00524677">
        <w:t xml:space="preserve"> à la masse, ce qui </w:t>
      </w:r>
      <w:r w:rsidRPr="00524677">
        <w:rPr>
          <w:b/>
        </w:rPr>
        <w:t>modifie la signature fréquentielle</w:t>
      </w:r>
      <w:r w:rsidRPr="00524677">
        <w:t xml:space="preserve"> de </w:t>
      </w:r>
      <m:oMath>
        <m:sSub>
          <m:sSubPr>
            <m:ctrlPr>
              <w:rPr>
                <w:rFonts w:ascii="Cambria Math" w:hAnsi="Cambria Math"/>
              </w:rPr>
            </m:ctrlPr>
          </m:sSubPr>
          <m:e>
            <m:r>
              <w:rPr>
                <w:rFonts w:ascii="Cambria Math" w:hAnsi="Cambria Math"/>
              </w:rPr>
              <m:t>Z</m:t>
            </m:r>
          </m:e>
          <m:sub>
            <m:r>
              <m:rPr>
                <m:nor/>
              </m:rPr>
              <m:t>vue</m:t>
            </m:r>
          </m:sub>
        </m:sSub>
        <m:r>
          <w:rPr>
            <w:rFonts w:ascii="Cambria Math" w:hAnsi="Cambria Math"/>
          </w:rPr>
          <m:t>(jω)</m:t>
        </m:r>
      </m:oMath>
      <w:r w:rsidRPr="00524677">
        <w:t xml:space="preserve"> — à la fois en module et en phase — de manière dépendante de </w:t>
      </w:r>
      <m:oMath>
        <m:r>
          <w:rPr>
            <w:rFonts w:ascii="Cambria Math" w:hAnsi="Cambria Math"/>
          </w:rPr>
          <m:t>d</m:t>
        </m:r>
      </m:oMath>
      <w:r w:rsidRPr="00524677">
        <w:t>.</w:t>
      </w:r>
    </w:p>
    <w:p w14:paraId="1697A90D" w14:textId="2AA0310E"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rPr>
        <w:t xml:space="preserve">La </w:t>
      </w:r>
      <w:r w:rsidRPr="00524677">
        <w:rPr>
          <w:rFonts w:ascii="Times New Roman" w:hAnsi="Times New Roman" w:cs="Times New Roman"/>
          <w:b/>
        </w:rPr>
        <w:t>Figure I</w:t>
      </w:r>
      <w:r w:rsidR="00BF3954">
        <w:rPr>
          <w:rFonts w:ascii="Times New Roman" w:hAnsi="Times New Roman" w:cs="Times New Roman"/>
          <w:b/>
        </w:rPr>
        <w:t>I</w:t>
      </w:r>
      <w:r w:rsidRPr="00524677">
        <w:rPr>
          <w:rFonts w:ascii="Times New Roman" w:hAnsi="Times New Roman" w:cs="Times New Roman"/>
          <w:b/>
        </w:rPr>
        <w:t>-4</w:t>
      </w:r>
      <w:r w:rsidRPr="00524677">
        <w:rPr>
          <w:rFonts w:ascii="Times New Roman" w:hAnsi="Times New Roman" w:cs="Times New Roman"/>
        </w:rPr>
        <w:t xml:space="preserve"> résume la différence conceptuelle entre (a) l’approche impédance vue de la source, qui exploite la réponse </w:t>
      </w:r>
      <w:r w:rsidRPr="00524677">
        <w:rPr>
          <w:rFonts w:ascii="Times New Roman" w:hAnsi="Times New Roman" w:cs="Times New Roman"/>
          <w:i/>
        </w:rPr>
        <w:t>dans la bande du signal utile</w:t>
      </w:r>
      <w:r w:rsidRPr="00524677">
        <w:rPr>
          <w:rFonts w:ascii="Times New Roman" w:hAnsi="Times New Roman" w:cs="Times New Roman"/>
        </w:rPr>
        <w:t>, et (b) la réflectométrie classique, qui requiert une excitation HF dédiée.</w:t>
      </w:r>
    </w:p>
    <w:p w14:paraId="533D146A" w14:textId="77777777" w:rsidR="00052612" w:rsidRPr="00524677" w:rsidRDefault="003F3D5F" w:rsidP="00F763E2">
      <w:pPr>
        <w:pStyle w:val="CaptionedFigure"/>
        <w:spacing w:line="360" w:lineRule="auto"/>
        <w:jc w:val="both"/>
        <w:rPr>
          <w:rFonts w:ascii="Times New Roman" w:hAnsi="Times New Roman" w:cs="Times New Roman"/>
        </w:rPr>
      </w:pPr>
      <w:r w:rsidRPr="00524677">
        <w:rPr>
          <w:rFonts w:ascii="Times New Roman" w:hAnsi="Times New Roman" w:cs="Times New Roman"/>
          <w:noProof/>
        </w:rPr>
        <w:drawing>
          <wp:inline distT="0" distB="0" distL="0" distR="0" wp14:anchorId="46CAC3FB" wp14:editId="6BCD4D32">
            <wp:extent cx="5334000" cy="2207594"/>
            <wp:effectExtent l="0" t="0" r="0" b="0"/>
            <wp:docPr id="4" name="Picture" descr="Figure I-4. Deux paradigmes pour la localisation à source unique : (a) lecture de l’impédance basse fréquence vue du RCC ; (b) réflectométrie à excitation HF dédiée"/>
            <wp:cNvGraphicFramePr/>
            <a:graphic xmlns:a="http://schemas.openxmlformats.org/drawingml/2006/main">
              <a:graphicData uri="http://schemas.openxmlformats.org/drawingml/2006/picture">
                <pic:pic xmlns:pic="http://schemas.openxmlformats.org/drawingml/2006/picture">
                  <pic:nvPicPr>
                    <pic:cNvPr id="0" name="Picture" descr="assets_c1/fig1_4_localization_compared.png"/>
                    <pic:cNvPicPr>
                      <a:picLocks noChangeAspect="1" noChangeArrowheads="1"/>
                    </pic:cNvPicPr>
                  </pic:nvPicPr>
                  <pic:blipFill>
                    <a:blip r:embed="rId14"/>
                    <a:stretch>
                      <a:fillRect/>
                    </a:stretch>
                  </pic:blipFill>
                  <pic:spPr bwMode="auto">
                    <a:xfrm>
                      <a:off x="0" y="0"/>
                      <a:ext cx="5334000" cy="2207594"/>
                    </a:xfrm>
                    <a:prstGeom prst="rect">
                      <a:avLst/>
                    </a:prstGeom>
                    <a:noFill/>
                    <a:ln w="9525">
                      <a:noFill/>
                      <a:headEnd/>
                      <a:tailEnd/>
                    </a:ln>
                  </pic:spPr>
                </pic:pic>
              </a:graphicData>
            </a:graphic>
          </wp:inline>
        </w:drawing>
      </w:r>
    </w:p>
    <w:p w14:paraId="6945054A" w14:textId="5E86B9B4" w:rsidR="00052612" w:rsidRPr="00524677" w:rsidRDefault="003F3D5F" w:rsidP="00F763E2">
      <w:pPr>
        <w:pStyle w:val="ImageCaption"/>
        <w:spacing w:line="360" w:lineRule="auto"/>
        <w:jc w:val="both"/>
        <w:rPr>
          <w:rFonts w:ascii="Times New Roman" w:hAnsi="Times New Roman" w:cs="Times New Roman"/>
        </w:rPr>
      </w:pPr>
      <w:r w:rsidRPr="00524677">
        <w:rPr>
          <w:rFonts w:ascii="Times New Roman" w:hAnsi="Times New Roman" w:cs="Times New Roman"/>
        </w:rPr>
        <w:t xml:space="preserve">Figure </w:t>
      </w:r>
      <w:r w:rsidR="00BF3954">
        <w:rPr>
          <w:rFonts w:ascii="Times New Roman" w:hAnsi="Times New Roman" w:cs="Times New Roman"/>
        </w:rPr>
        <w:t>I</w:t>
      </w:r>
      <w:r w:rsidRPr="00524677">
        <w:rPr>
          <w:rFonts w:ascii="Times New Roman" w:hAnsi="Times New Roman" w:cs="Times New Roman"/>
        </w:rPr>
        <w:t>I-4. Deux paradigmes pour la localisation à source unique : (a) lecture de l’impédance basse fréquence vue du RCC ; (b) réflectométrie à excitation HF dédiée</w:t>
      </w:r>
    </w:p>
    <w:p w14:paraId="17E8DF79" w14:textId="77777777" w:rsidR="00052612" w:rsidRPr="00524677" w:rsidRDefault="003F3D5F" w:rsidP="00F763E2">
      <w:pPr>
        <w:pStyle w:val="Heading3"/>
        <w:spacing w:line="360" w:lineRule="auto"/>
        <w:jc w:val="both"/>
        <w:rPr>
          <w:rFonts w:ascii="Times New Roman" w:hAnsi="Times New Roman" w:cs="Times New Roman"/>
          <w:color w:val="auto"/>
        </w:rPr>
      </w:pPr>
      <w:bookmarkStart w:id="37" w:name="i.5.3.-travaux-existants"/>
      <w:bookmarkStart w:id="38" w:name="_Toc229131321"/>
      <w:r w:rsidRPr="00524677">
        <w:rPr>
          <w:rFonts w:ascii="Times New Roman" w:hAnsi="Times New Roman" w:cs="Times New Roman"/>
          <w:color w:val="auto"/>
        </w:rPr>
        <w:t>I.5.3. Travaux existants</w:t>
      </w:r>
      <w:bookmarkEnd w:id="37"/>
      <w:bookmarkEnd w:id="38"/>
    </w:p>
    <w:p w14:paraId="5BD1D489" w14:textId="77777777" w:rsidR="00052612" w:rsidRPr="00524677" w:rsidRDefault="003F3D5F" w:rsidP="006277DE">
      <w:pPr>
        <w:pStyle w:val="FirstParagraph"/>
      </w:pPr>
      <w:r w:rsidRPr="00524677">
        <w:t xml:space="preserve">Trois filons de recherche traitent explicitement de la </w:t>
      </w:r>
      <w:r w:rsidRPr="00524677">
        <w:rPr>
          <w:b/>
        </w:rPr>
        <w:t>localisation à source unique</w:t>
      </w:r>
      <w:r w:rsidRPr="00524677">
        <w:t xml:space="preserve"> :</w:t>
      </w:r>
    </w:p>
    <w:p w14:paraId="1BD372B9" w14:textId="77777777" w:rsidR="00052612" w:rsidRPr="00524677" w:rsidRDefault="003F3D5F" w:rsidP="00F763E2">
      <w:pPr>
        <w:pStyle w:val="Compact"/>
        <w:numPr>
          <w:ilvl w:val="0"/>
          <w:numId w:val="5"/>
        </w:numPr>
        <w:spacing w:line="360" w:lineRule="auto"/>
        <w:jc w:val="both"/>
        <w:rPr>
          <w:rFonts w:ascii="Times New Roman" w:hAnsi="Times New Roman" w:cs="Times New Roman"/>
        </w:rPr>
      </w:pPr>
      <w:r w:rsidRPr="00524677">
        <w:rPr>
          <w:rFonts w:ascii="Times New Roman" w:hAnsi="Times New Roman" w:cs="Times New Roman"/>
          <w:b/>
        </w:rPr>
        <w:t xml:space="preserve">Modèles </w:t>
      </w:r>
      <w:proofErr w:type="spellStart"/>
      <w:r w:rsidRPr="00524677">
        <w:rPr>
          <w:rFonts w:ascii="Times New Roman" w:hAnsi="Times New Roman" w:cs="Times New Roman"/>
          <w:b/>
        </w:rPr>
        <w:t>impédants</w:t>
      </w:r>
      <w:proofErr w:type="spellEnd"/>
      <w:r w:rsidRPr="00524677">
        <w:rPr>
          <w:rFonts w:ascii="Times New Roman" w:hAnsi="Times New Roman" w:cs="Times New Roman"/>
          <w:b/>
        </w:rPr>
        <w:t xml:space="preserve"> paramétriques</w:t>
      </w:r>
      <w:r w:rsidRPr="00524677">
        <w:rPr>
          <w:rFonts w:ascii="Times New Roman" w:hAnsi="Times New Roman" w:cs="Times New Roman"/>
        </w:rPr>
        <w:t xml:space="preserve"> (Saha et al., 2010 ; </w:t>
      </w:r>
      <w:proofErr w:type="spellStart"/>
      <w:r w:rsidRPr="00524677">
        <w:rPr>
          <w:rFonts w:ascii="Times New Roman" w:hAnsi="Times New Roman" w:cs="Times New Roman"/>
        </w:rPr>
        <w:t>Pavlenko</w:t>
      </w:r>
      <w:proofErr w:type="spellEnd"/>
      <w:r w:rsidRPr="00524677">
        <w:rPr>
          <w:rFonts w:ascii="Times New Roman" w:hAnsi="Times New Roman" w:cs="Times New Roman"/>
        </w:rPr>
        <w:t xml:space="preserve"> et al., 2024). L’impédance vue est décrite par un modèle analytique dont les paramètres physiques (longueur avant défaut, résistance de défaut) sont estimés par minimisation d’erreur sur </w:t>
      </w:r>
      <m:oMath>
        <m:sSub>
          <m:sSubPr>
            <m:ctrlPr>
              <w:rPr>
                <w:rFonts w:ascii="Cambria Math" w:hAnsi="Cambria Math" w:cs="Times New Roman"/>
              </w:rPr>
            </m:ctrlPr>
          </m:sSubPr>
          <m:e>
            <m:r>
              <w:rPr>
                <w:rFonts w:ascii="Cambria Math" w:hAnsi="Cambria Math" w:cs="Times New Roman"/>
              </w:rPr>
              <m:t>Z</m:t>
            </m:r>
          </m:e>
          <m:sub>
            <m:r>
              <m:rPr>
                <m:nor/>
              </m:rPr>
              <w:rPr>
                <w:rFonts w:ascii="Times New Roman" w:hAnsi="Times New Roman" w:cs="Times New Roman"/>
              </w:rPr>
              <m:t>vue</m:t>
            </m:r>
          </m:sub>
        </m:sSub>
      </m:oMath>
      <w:r w:rsidRPr="00524677">
        <w:rPr>
          <w:rFonts w:ascii="Times New Roman" w:hAnsi="Times New Roman" w:cs="Times New Roman"/>
        </w:rPr>
        <w:t xml:space="preserve"> mesurée à plusieurs fréquences. Ces méthodes atteignent 1 à 3 % d’erreur sur ligne monophasée simple, mais leur transposition à une boucle </w:t>
      </w:r>
      <w:r w:rsidRPr="00524677">
        <w:rPr>
          <w:rFonts w:ascii="Times New Roman" w:hAnsi="Times New Roman" w:cs="Times New Roman"/>
          <w:b/>
        </w:rPr>
        <w:t>multi-TI</w:t>
      </w:r>
      <w:r w:rsidRPr="00524677">
        <w:rPr>
          <w:rFonts w:ascii="Times New Roman" w:hAnsi="Times New Roman" w:cs="Times New Roman"/>
        </w:rPr>
        <w:t xml:space="preserve"> est peu documentée.</w:t>
      </w:r>
    </w:p>
    <w:p w14:paraId="19E4ECB7" w14:textId="77777777" w:rsidR="00052612" w:rsidRPr="00524677" w:rsidRDefault="003F3D5F" w:rsidP="00F763E2">
      <w:pPr>
        <w:pStyle w:val="Compact"/>
        <w:numPr>
          <w:ilvl w:val="0"/>
          <w:numId w:val="5"/>
        </w:numPr>
        <w:spacing w:line="360" w:lineRule="auto"/>
        <w:jc w:val="both"/>
        <w:rPr>
          <w:rFonts w:ascii="Times New Roman" w:hAnsi="Times New Roman" w:cs="Times New Roman"/>
        </w:rPr>
      </w:pPr>
      <w:r w:rsidRPr="00524677">
        <w:rPr>
          <w:rFonts w:ascii="Times New Roman" w:hAnsi="Times New Roman" w:cs="Times New Roman"/>
          <w:b/>
        </w:rPr>
        <w:t>Spectroscopie d’impédance localisée</w:t>
      </w:r>
      <w:r w:rsidRPr="00524677">
        <w:rPr>
          <w:rFonts w:ascii="Times New Roman" w:hAnsi="Times New Roman" w:cs="Times New Roman"/>
        </w:rPr>
        <w:t xml:space="preserve"> (Shi &amp; Kanoun, 2014). La mesure est effectuée sur une plage étendue (quelques Hz à plusieurs MHz) et la signature de défaut est corrélée à une </w:t>
      </w:r>
      <w:r w:rsidRPr="00524677">
        <w:rPr>
          <w:rFonts w:ascii="Times New Roman" w:hAnsi="Times New Roman" w:cs="Times New Roman"/>
          <w:b/>
        </w:rPr>
        <w:lastRenderedPageBreak/>
        <w:t>bibliothèque</w:t>
      </w:r>
      <w:r w:rsidRPr="00524677">
        <w:rPr>
          <w:rFonts w:ascii="Times New Roman" w:hAnsi="Times New Roman" w:cs="Times New Roman"/>
        </w:rPr>
        <w:t xml:space="preserve"> de réponses simulées ou mesurées. Le coût d’instrumentation est comparable à celui d’une FDR.</w:t>
      </w:r>
    </w:p>
    <w:p w14:paraId="7E59E339" w14:textId="77777777" w:rsidR="00052612" w:rsidRPr="00524677" w:rsidRDefault="003F3D5F" w:rsidP="00F763E2">
      <w:pPr>
        <w:pStyle w:val="Compact"/>
        <w:numPr>
          <w:ilvl w:val="0"/>
          <w:numId w:val="5"/>
        </w:numPr>
        <w:spacing w:line="360" w:lineRule="auto"/>
        <w:jc w:val="both"/>
        <w:rPr>
          <w:rFonts w:ascii="Times New Roman" w:hAnsi="Times New Roman" w:cs="Times New Roman"/>
        </w:rPr>
      </w:pPr>
      <w:r w:rsidRPr="00524677">
        <w:rPr>
          <w:rFonts w:ascii="Times New Roman" w:hAnsi="Times New Roman" w:cs="Times New Roman"/>
          <w:b/>
        </w:rPr>
        <w:t>Analyse en composantes séquentielles à un seul point</w:t>
      </w:r>
      <w:r w:rsidRPr="00524677">
        <w:rPr>
          <w:rFonts w:ascii="Times New Roman" w:hAnsi="Times New Roman" w:cs="Times New Roman"/>
        </w:rPr>
        <w:t xml:space="preserve"> (</w:t>
      </w:r>
      <w:proofErr w:type="spellStart"/>
      <w:r w:rsidRPr="00524677">
        <w:rPr>
          <w:rFonts w:ascii="Times New Roman" w:hAnsi="Times New Roman" w:cs="Times New Roman"/>
        </w:rPr>
        <w:t>Tolani</w:t>
      </w:r>
      <w:proofErr w:type="spellEnd"/>
      <w:r w:rsidRPr="00524677">
        <w:rPr>
          <w:rFonts w:ascii="Times New Roman" w:hAnsi="Times New Roman" w:cs="Times New Roman"/>
        </w:rPr>
        <w:t xml:space="preserve"> et al., 2024). Exploite la composante inverse du courant induit par un défaut asymétrique pour remonter à la distance via un modèle réduit. Applicable aux réseaux triphasés plus qu’aux boucles série 6,6 A.</w:t>
      </w:r>
    </w:p>
    <w:p w14:paraId="596EEB21" w14:textId="718F2380" w:rsidR="00052612" w:rsidRPr="00524677" w:rsidRDefault="00BF3954" w:rsidP="00F763E2">
      <w:pPr>
        <w:pStyle w:val="Heading3"/>
        <w:spacing w:line="360" w:lineRule="auto"/>
        <w:jc w:val="both"/>
        <w:rPr>
          <w:rFonts w:ascii="Times New Roman" w:hAnsi="Times New Roman" w:cs="Times New Roman"/>
          <w:color w:val="auto"/>
        </w:rPr>
      </w:pPr>
      <w:bookmarkStart w:id="39" w:name="i.5.4.-tradeoffs"/>
      <w:bookmarkStart w:id="40" w:name="_Toc229131322"/>
      <w:r>
        <w:rPr>
          <w:rFonts w:ascii="Times New Roman" w:hAnsi="Times New Roman" w:cs="Times New Roman"/>
          <w:color w:val="auto"/>
        </w:rPr>
        <w:t>I</w:t>
      </w:r>
      <w:r w:rsidR="003F3D5F" w:rsidRPr="00524677">
        <w:rPr>
          <w:rFonts w:ascii="Times New Roman" w:hAnsi="Times New Roman" w:cs="Times New Roman"/>
          <w:color w:val="auto"/>
        </w:rPr>
        <w:t xml:space="preserve">I.5.4. </w:t>
      </w:r>
      <w:proofErr w:type="spellStart"/>
      <w:r w:rsidR="003F3D5F" w:rsidRPr="00524677">
        <w:rPr>
          <w:rFonts w:ascii="Times New Roman" w:hAnsi="Times New Roman" w:cs="Times New Roman"/>
          <w:color w:val="auto"/>
        </w:rPr>
        <w:t>Tradeoffs</w:t>
      </w:r>
      <w:bookmarkEnd w:id="39"/>
      <w:bookmarkEnd w:id="40"/>
      <w:proofErr w:type="spellEnd"/>
    </w:p>
    <w:p w14:paraId="0F3F40B6" w14:textId="77777777" w:rsidR="00052612" w:rsidRPr="00524677" w:rsidRDefault="003F3D5F" w:rsidP="006277DE">
      <w:pPr>
        <w:pStyle w:val="FirstParagraph"/>
      </w:pPr>
      <w:r w:rsidRPr="00524677">
        <w:rPr>
          <w:b/>
        </w:rPr>
        <w:t>Ce qui ouvre.</w:t>
      </w:r>
      <w:r w:rsidRPr="00524677">
        <w:t xml:space="preserve"> Les travaux ci-dessus établissent qu’il est </w:t>
      </w:r>
      <w:r w:rsidRPr="00524677">
        <w:rPr>
          <w:b/>
        </w:rPr>
        <w:t>théoriquement possible</w:t>
      </w:r>
      <w:r w:rsidRPr="00524677">
        <w:t xml:space="preserve"> de localiser un défaut d’isolement à partir d’une seule mesure en tête de RCC, à condition :</w:t>
      </w:r>
    </w:p>
    <w:p w14:paraId="08A232EE" w14:textId="4E9CFEFB" w:rsidR="00052612" w:rsidRPr="00524677" w:rsidRDefault="00590DD7" w:rsidP="00F763E2">
      <w:pPr>
        <w:pStyle w:val="Compact"/>
        <w:numPr>
          <w:ilvl w:val="0"/>
          <w:numId w:val="6"/>
        </w:numPr>
        <w:spacing w:line="360" w:lineRule="auto"/>
        <w:jc w:val="both"/>
        <w:rPr>
          <w:rFonts w:ascii="Times New Roman" w:hAnsi="Times New Roman" w:cs="Times New Roman"/>
        </w:rPr>
      </w:pPr>
      <w:r>
        <w:rPr>
          <w:rFonts w:ascii="Times New Roman" w:hAnsi="Times New Roman" w:cs="Times New Roman"/>
        </w:rPr>
        <w:t>D</w:t>
      </w:r>
      <w:r w:rsidR="003F3D5F" w:rsidRPr="00524677">
        <w:rPr>
          <w:rFonts w:ascii="Times New Roman" w:hAnsi="Times New Roman" w:cs="Times New Roman"/>
        </w:rPr>
        <w:t xml:space="preserve">e disposer d’un </w:t>
      </w:r>
      <w:r w:rsidR="003F3D5F" w:rsidRPr="00524677">
        <w:rPr>
          <w:rFonts w:ascii="Times New Roman" w:hAnsi="Times New Roman" w:cs="Times New Roman"/>
          <w:b/>
        </w:rPr>
        <w:t>modèle électromagnétique</w:t>
      </w:r>
      <w:r w:rsidR="003F3D5F" w:rsidRPr="00524677">
        <w:rPr>
          <w:rFonts w:ascii="Times New Roman" w:hAnsi="Times New Roman" w:cs="Times New Roman"/>
        </w:rPr>
        <w:t xml:space="preserve"> suffisamment fidèle du câble et de sa chaîne de TI ;</w:t>
      </w:r>
    </w:p>
    <w:p w14:paraId="51887966" w14:textId="1F5A43E3" w:rsidR="00052612" w:rsidRPr="00524677" w:rsidRDefault="00590DD7" w:rsidP="00F763E2">
      <w:pPr>
        <w:pStyle w:val="Compact"/>
        <w:numPr>
          <w:ilvl w:val="0"/>
          <w:numId w:val="6"/>
        </w:numPr>
        <w:spacing w:line="360" w:lineRule="auto"/>
        <w:jc w:val="both"/>
        <w:rPr>
          <w:rFonts w:ascii="Times New Roman" w:hAnsi="Times New Roman" w:cs="Times New Roman"/>
        </w:rPr>
      </w:pPr>
      <w:r>
        <w:rPr>
          <w:rFonts w:ascii="Times New Roman" w:hAnsi="Times New Roman" w:cs="Times New Roman"/>
        </w:rPr>
        <w:t>D</w:t>
      </w:r>
      <w:r w:rsidR="003F3D5F" w:rsidRPr="00524677">
        <w:rPr>
          <w:rFonts w:ascii="Times New Roman" w:hAnsi="Times New Roman" w:cs="Times New Roman"/>
        </w:rPr>
        <w:t xml:space="preserve">’exciter le système sur </w:t>
      </w:r>
      <w:r w:rsidR="003F3D5F" w:rsidRPr="00524677">
        <w:rPr>
          <w:rFonts w:ascii="Times New Roman" w:hAnsi="Times New Roman" w:cs="Times New Roman"/>
          <w:b/>
        </w:rPr>
        <w:t>plusieurs fréquences</w:t>
      </w:r>
      <w:r w:rsidR="003F3D5F" w:rsidRPr="00524677">
        <w:rPr>
          <w:rFonts w:ascii="Times New Roman" w:hAnsi="Times New Roman" w:cs="Times New Roman"/>
        </w:rPr>
        <w:t xml:space="preserve"> (ou d’exploiter les transitoires naturels de gradation) ;</w:t>
      </w:r>
    </w:p>
    <w:p w14:paraId="7BA62CF2" w14:textId="284189E1" w:rsidR="00052612" w:rsidRPr="00524677" w:rsidRDefault="00590DD7" w:rsidP="00F763E2">
      <w:pPr>
        <w:pStyle w:val="Compact"/>
        <w:numPr>
          <w:ilvl w:val="0"/>
          <w:numId w:val="6"/>
        </w:numPr>
        <w:spacing w:line="360" w:lineRule="auto"/>
        <w:jc w:val="both"/>
        <w:rPr>
          <w:rFonts w:ascii="Times New Roman" w:hAnsi="Times New Roman" w:cs="Times New Roman"/>
        </w:rPr>
      </w:pPr>
      <w:r>
        <w:rPr>
          <w:rFonts w:ascii="Times New Roman" w:hAnsi="Times New Roman" w:cs="Times New Roman"/>
        </w:rPr>
        <w:t>D</w:t>
      </w:r>
      <w:r w:rsidR="003F3D5F" w:rsidRPr="00524677">
        <w:rPr>
          <w:rFonts w:ascii="Times New Roman" w:hAnsi="Times New Roman" w:cs="Times New Roman"/>
        </w:rPr>
        <w:t>’</w:t>
      </w:r>
      <w:r w:rsidR="003F3D5F" w:rsidRPr="00524677">
        <w:rPr>
          <w:rFonts w:ascii="Times New Roman" w:hAnsi="Times New Roman" w:cs="Times New Roman"/>
          <w:b/>
        </w:rPr>
        <w:t>apprendre</w:t>
      </w:r>
      <w:r w:rsidR="003F3D5F" w:rsidRPr="00524677">
        <w:rPr>
          <w:rFonts w:ascii="Times New Roman" w:hAnsi="Times New Roman" w:cs="Times New Roman"/>
        </w:rPr>
        <w:t xml:space="preserve"> la correspondance entre la signature </w:t>
      </w:r>
      <w:proofErr w:type="spellStart"/>
      <w:r w:rsidR="003F3D5F" w:rsidRPr="00524677">
        <w:rPr>
          <w:rFonts w:ascii="Times New Roman" w:hAnsi="Times New Roman" w:cs="Times New Roman"/>
        </w:rPr>
        <w:t>impédante</w:t>
      </w:r>
      <w:proofErr w:type="spellEnd"/>
      <w:r w:rsidR="003F3D5F" w:rsidRPr="00524677">
        <w:rPr>
          <w:rFonts w:ascii="Times New Roman" w:hAnsi="Times New Roman" w:cs="Times New Roman"/>
        </w:rPr>
        <w:t xml:space="preserve"> et la position, pour tolérer la variabilité des composants réels.</w:t>
      </w:r>
    </w:p>
    <w:p w14:paraId="31173986" w14:textId="77777777" w:rsidR="00052612" w:rsidRPr="00524677" w:rsidRDefault="003F3D5F" w:rsidP="006277DE">
      <w:pPr>
        <w:pStyle w:val="FirstParagraph"/>
      </w:pPr>
      <w:r w:rsidRPr="00524677">
        <w:rPr>
          <w:b/>
        </w:rPr>
        <w:t>Ce qui bloque.</w:t>
      </w:r>
      <w:r w:rsidRPr="00524677">
        <w:t xml:space="preserve"> La littérature existante porte majoritairement sur des lignes de transport (réseaux MT/HT) ou sur du câblage embarqué aéronautique ; </w:t>
      </w:r>
      <w:r w:rsidRPr="00524677">
        <w:rPr>
          <w:b/>
        </w:rPr>
        <w:t>aucune publication indexée ne traite spécifiquement du cas balisage série 6,6 A avec TI saturables</w:t>
      </w:r>
      <w:r w:rsidRPr="00524677">
        <w:t>. Le verrou scientifique tient donc en :</w:t>
      </w:r>
    </w:p>
    <w:p w14:paraId="63069C06" w14:textId="7CF60E3D" w:rsidR="00052612" w:rsidRPr="00524677" w:rsidRDefault="00352E20" w:rsidP="00F763E2">
      <w:pPr>
        <w:pStyle w:val="Compact"/>
        <w:numPr>
          <w:ilvl w:val="0"/>
          <w:numId w:val="7"/>
        </w:numPr>
        <w:spacing w:line="360" w:lineRule="auto"/>
        <w:jc w:val="both"/>
        <w:rPr>
          <w:rFonts w:ascii="Times New Roman" w:hAnsi="Times New Roman" w:cs="Times New Roman"/>
        </w:rPr>
      </w:pPr>
      <w:r>
        <w:rPr>
          <w:rFonts w:ascii="Times New Roman" w:hAnsi="Times New Roman" w:cs="Times New Roman"/>
        </w:rPr>
        <w:t>L</w:t>
      </w:r>
      <w:r w:rsidR="003F3D5F" w:rsidRPr="00524677">
        <w:rPr>
          <w:rFonts w:ascii="Times New Roman" w:hAnsi="Times New Roman" w:cs="Times New Roman"/>
        </w:rPr>
        <w:t>’</w:t>
      </w:r>
      <w:proofErr w:type="spellStart"/>
      <w:r w:rsidR="003F3D5F" w:rsidRPr="00524677">
        <w:rPr>
          <w:rFonts w:ascii="Times New Roman" w:hAnsi="Times New Roman" w:cs="Times New Roman"/>
          <w:b/>
        </w:rPr>
        <w:t>identifiabilité</w:t>
      </w:r>
      <w:proofErr w:type="spellEnd"/>
      <w:r w:rsidR="003F3D5F" w:rsidRPr="00524677">
        <w:rPr>
          <w:rFonts w:ascii="Times New Roman" w:hAnsi="Times New Roman" w:cs="Times New Roman"/>
        </w:rPr>
        <w:t xml:space="preserve"> : combien de fréquences d’excitation et quelle densité de TI tolère-t-on avant que deux positions de défaut distinctes ne produisent des signatures indistinguables au bruit près ?</w:t>
      </w:r>
    </w:p>
    <w:p w14:paraId="0F9C83ED" w14:textId="6F7B5C31" w:rsidR="00052612" w:rsidRPr="00524677" w:rsidRDefault="00352E20" w:rsidP="00F763E2">
      <w:pPr>
        <w:pStyle w:val="Compact"/>
        <w:numPr>
          <w:ilvl w:val="0"/>
          <w:numId w:val="7"/>
        </w:numPr>
        <w:spacing w:line="360" w:lineRule="auto"/>
        <w:jc w:val="both"/>
        <w:rPr>
          <w:rFonts w:ascii="Times New Roman" w:hAnsi="Times New Roman" w:cs="Times New Roman"/>
        </w:rPr>
      </w:pPr>
      <w:r>
        <w:rPr>
          <w:rFonts w:ascii="Times New Roman" w:hAnsi="Times New Roman" w:cs="Times New Roman"/>
        </w:rPr>
        <w:t>L</w:t>
      </w:r>
      <w:r w:rsidR="003F3D5F" w:rsidRPr="00524677">
        <w:rPr>
          <w:rFonts w:ascii="Times New Roman" w:hAnsi="Times New Roman" w:cs="Times New Roman"/>
        </w:rPr>
        <w:t xml:space="preserve">a </w:t>
      </w:r>
      <w:r w:rsidR="003F3D5F" w:rsidRPr="00524677">
        <w:rPr>
          <w:rFonts w:ascii="Times New Roman" w:hAnsi="Times New Roman" w:cs="Times New Roman"/>
          <w:b/>
        </w:rPr>
        <w:t>calibration</w:t>
      </w:r>
      <w:r w:rsidR="003F3D5F" w:rsidRPr="00524677">
        <w:rPr>
          <w:rFonts w:ascii="Times New Roman" w:hAnsi="Times New Roman" w:cs="Times New Roman"/>
        </w:rPr>
        <w:t xml:space="preserve"> : peut-on se passer d’une campagne de caractérisation </w:t>
      </w:r>
      <w:r w:rsidR="003F3D5F" w:rsidRPr="00524677">
        <w:rPr>
          <w:rFonts w:ascii="Times New Roman" w:hAnsi="Times New Roman" w:cs="Times New Roman"/>
          <w:i/>
        </w:rPr>
        <w:t>in situ</w:t>
      </w:r>
      <w:r w:rsidR="003F3D5F" w:rsidRPr="00524677">
        <w:rPr>
          <w:rFonts w:ascii="Times New Roman" w:hAnsi="Times New Roman" w:cs="Times New Roman"/>
        </w:rPr>
        <w:t xml:space="preserve"> de chaque boucle, ou faut-il apprendre un modèle par boucle ?</w:t>
      </w:r>
    </w:p>
    <w:p w14:paraId="027DC43D" w14:textId="2F59228D" w:rsidR="00052612" w:rsidRPr="00524677" w:rsidRDefault="003F3D5F" w:rsidP="006277DE">
      <w:pPr>
        <w:pStyle w:val="FirstParagraph"/>
      </w:pPr>
      <w:r w:rsidRPr="00524677">
        <w:t xml:space="preserve">Notre contribution s’inscrit directement dans cet angle mort : elle combine le signal déjà exploité par l’EFD (plus son enrichissement spectral) avec une cartographie d’impédance apprise sur un jumeau numérique du circuit. Les § </w:t>
      </w:r>
      <w:r w:rsidR="00BF3954">
        <w:t>I</w:t>
      </w:r>
      <w:r w:rsidRPr="00524677">
        <w:t xml:space="preserve">I.6 et </w:t>
      </w:r>
      <w:r w:rsidR="00BF3954">
        <w:t>I</w:t>
      </w:r>
      <w:r w:rsidRPr="00524677">
        <w:t>I.7 détaillent les briques techniques disponibles pour mener ce programme.</w:t>
      </w:r>
    </w:p>
    <w:p w14:paraId="2DDE00EC" w14:textId="098F464E" w:rsidR="00052612" w:rsidRPr="00524677" w:rsidRDefault="003F3D5F" w:rsidP="006277DE">
      <w:pPr>
        <w:pStyle w:val="Heading2"/>
      </w:pPr>
      <w:bookmarkStart w:id="41" w:name="i.6.-apprentissage-automatique-ciblé"/>
      <w:bookmarkStart w:id="42" w:name="_Toc229131323"/>
      <w:r w:rsidRPr="00524677">
        <w:lastRenderedPageBreak/>
        <w:t>I</w:t>
      </w:r>
      <w:r w:rsidR="00BF3954">
        <w:t>I</w:t>
      </w:r>
      <w:r w:rsidRPr="00524677">
        <w:t>.6. Apprentissage automatique ciblé</w:t>
      </w:r>
      <w:bookmarkEnd w:id="41"/>
      <w:bookmarkEnd w:id="42"/>
    </w:p>
    <w:p w14:paraId="38D63062" w14:textId="5888D1F6" w:rsidR="00052612" w:rsidRPr="00524677" w:rsidRDefault="003F3D5F" w:rsidP="00F763E2">
      <w:pPr>
        <w:pStyle w:val="Heading3"/>
        <w:spacing w:line="360" w:lineRule="auto"/>
        <w:jc w:val="both"/>
        <w:rPr>
          <w:rFonts w:ascii="Times New Roman" w:hAnsi="Times New Roman" w:cs="Times New Roman"/>
          <w:color w:val="auto"/>
        </w:rPr>
      </w:pPr>
      <w:bookmarkStart w:id="43" w:name="i.6.1.-positionnement"/>
      <w:bookmarkStart w:id="44" w:name="_Toc229131324"/>
      <w:r w:rsidRPr="00524677">
        <w:rPr>
          <w:rFonts w:ascii="Times New Roman" w:hAnsi="Times New Roman" w:cs="Times New Roman"/>
          <w:color w:val="auto"/>
        </w:rPr>
        <w:t>I</w:t>
      </w:r>
      <w:r w:rsidR="00BF3954">
        <w:rPr>
          <w:rFonts w:ascii="Times New Roman" w:hAnsi="Times New Roman" w:cs="Times New Roman"/>
          <w:color w:val="auto"/>
        </w:rPr>
        <w:t>I</w:t>
      </w:r>
      <w:r w:rsidRPr="00524677">
        <w:rPr>
          <w:rFonts w:ascii="Times New Roman" w:hAnsi="Times New Roman" w:cs="Times New Roman"/>
          <w:color w:val="auto"/>
        </w:rPr>
        <w:t>.6.1. Positionnement</w:t>
      </w:r>
      <w:bookmarkEnd w:id="43"/>
      <w:bookmarkEnd w:id="44"/>
    </w:p>
    <w:p w14:paraId="0C0AF77F" w14:textId="77777777" w:rsidR="00052612" w:rsidRPr="00524677" w:rsidRDefault="003F3D5F" w:rsidP="006277DE">
      <w:pPr>
        <w:pStyle w:val="FirstParagraph"/>
      </w:pPr>
      <w:r w:rsidRPr="00524677">
        <w:t xml:space="preserve">L’apprentissage automatique intervient dans la présente problématique comme </w:t>
      </w:r>
      <w:r w:rsidRPr="00524677">
        <w:rPr>
          <w:b/>
        </w:rPr>
        <w:t>outil de généralisation</w:t>
      </w:r>
      <w:r w:rsidRPr="00524677">
        <w:t xml:space="preserve"> : à partir d’un corpus de signatures (spectrales, </w:t>
      </w:r>
      <w:proofErr w:type="spellStart"/>
      <w:r w:rsidRPr="00524677">
        <w:t>impédantes</w:t>
      </w:r>
      <w:proofErr w:type="spellEnd"/>
      <w:r w:rsidRPr="00524677">
        <w:t xml:space="preserve">, temporelles), il est possible d’apprendre la correspondance </w:t>
      </w:r>
      <w:r w:rsidRPr="00524677">
        <w:rPr>
          <w:i/>
        </w:rPr>
        <w:t>signature → état</w:t>
      </w:r>
      <w:r w:rsidRPr="00524677">
        <w:t xml:space="preserve"> (sain, dégradé, défaut) et, si le corpus le permet, </w:t>
      </w:r>
      <w:r w:rsidRPr="00524677">
        <w:rPr>
          <w:i/>
        </w:rPr>
        <w:t>signature → position</w:t>
      </w:r>
      <w:r w:rsidRPr="00524677">
        <w:t xml:space="preserve">. Nous écartons délibérément les approches hors de portée pour notre contexte (réseaux de neurones profonds généralistes, apprentissage par renforcement, vision par ordinateur) pour nous concentrer sur </w:t>
      </w:r>
      <w:r w:rsidRPr="00524677">
        <w:rPr>
          <w:b/>
        </w:rPr>
        <w:t>cinq familles</w:t>
      </w:r>
      <w:r w:rsidRPr="00524677">
        <w:t xml:space="preserve"> explicitement démontrées dans la littérature sur câble MT, XLPE ou AGL.</w:t>
      </w:r>
    </w:p>
    <w:p w14:paraId="1BC57916" w14:textId="13EBA9FB" w:rsidR="00052612" w:rsidRPr="00524677" w:rsidRDefault="003F3D5F" w:rsidP="00F763E2">
      <w:pPr>
        <w:pStyle w:val="Heading3"/>
        <w:spacing w:line="360" w:lineRule="auto"/>
        <w:jc w:val="both"/>
        <w:rPr>
          <w:rFonts w:ascii="Times New Roman" w:hAnsi="Times New Roman" w:cs="Times New Roman"/>
          <w:color w:val="auto"/>
        </w:rPr>
      </w:pPr>
      <w:bookmarkStart w:id="45" w:name="X36d9ba3320618e5eee65dfb486a33e8736a858c"/>
      <w:bookmarkStart w:id="46" w:name="_Toc229131325"/>
      <w:r w:rsidRPr="00524677">
        <w:rPr>
          <w:rFonts w:ascii="Times New Roman" w:hAnsi="Times New Roman" w:cs="Times New Roman"/>
          <w:color w:val="auto"/>
        </w:rPr>
        <w:t>I</w:t>
      </w:r>
      <w:r w:rsidR="00BF3954">
        <w:rPr>
          <w:rFonts w:ascii="Times New Roman" w:hAnsi="Times New Roman" w:cs="Times New Roman"/>
          <w:color w:val="auto"/>
        </w:rPr>
        <w:t>I</w:t>
      </w:r>
      <w:r w:rsidRPr="00524677">
        <w:rPr>
          <w:rFonts w:ascii="Times New Roman" w:hAnsi="Times New Roman" w:cs="Times New Roman"/>
          <w:color w:val="auto"/>
        </w:rPr>
        <w:t>.6.2. Forêts aléatoires et SVM sur caractéristiques spectrales</w:t>
      </w:r>
      <w:bookmarkEnd w:id="45"/>
      <w:bookmarkEnd w:id="46"/>
    </w:p>
    <w:p w14:paraId="01C31272" w14:textId="77777777" w:rsidR="00052612" w:rsidRPr="00524677" w:rsidRDefault="003F3D5F" w:rsidP="006277DE">
      <w:pPr>
        <w:pStyle w:val="FirstParagraph"/>
      </w:pPr>
      <w:proofErr w:type="spellStart"/>
      <w:r w:rsidRPr="00524677">
        <w:rPr>
          <w:b/>
        </w:rPr>
        <w:t>Random</w:t>
      </w:r>
      <w:proofErr w:type="spellEnd"/>
      <w:r w:rsidRPr="00524677">
        <w:rPr>
          <w:b/>
        </w:rPr>
        <w:t xml:space="preserve"> Forest (RF)</w:t>
      </w:r>
      <w:r w:rsidRPr="00524677">
        <w:t xml:space="preserve"> et </w:t>
      </w:r>
      <w:r w:rsidRPr="00524677">
        <w:rPr>
          <w:b/>
        </w:rPr>
        <w:t xml:space="preserve">Support </w:t>
      </w:r>
      <w:proofErr w:type="spellStart"/>
      <w:r w:rsidRPr="00524677">
        <w:rPr>
          <w:b/>
        </w:rPr>
        <w:t>Vector</w:t>
      </w:r>
      <w:proofErr w:type="spellEnd"/>
      <w:r w:rsidRPr="00524677">
        <w:rPr>
          <w:b/>
        </w:rPr>
        <w:t xml:space="preserve"> Machine (SVM)</w:t>
      </w:r>
      <w:r w:rsidRPr="00524677">
        <w:t xml:space="preserve"> constituent le binôme classique de l’apprentissage statistique appliqué au diagnostic de câble. Une SVM cherche l’hyperplan maximisant la marge entre deux classes dans un espace de caractéristiques </w:t>
      </w:r>
      <m:oMath>
        <m:r>
          <w:rPr>
            <w:rFonts w:ascii="Cambria Math" w:hAnsi="Cambria Math"/>
          </w:rPr>
          <m:t>ϕ(x)</m:t>
        </m:r>
      </m:oMath>
      <w:r w:rsidRPr="00524677">
        <w:t xml:space="preserve">, défini implicitement par un noyau </w:t>
      </w:r>
      <m:oMath>
        <m:r>
          <w:rPr>
            <w:rFonts w:ascii="Cambria Math" w:hAnsi="Cambria Math"/>
          </w:rPr>
          <m:t>K(x,x')</m:t>
        </m:r>
      </m:oMath>
      <w:r w:rsidRPr="00524677">
        <w:t>. Le problème dual s’écrit :</w:t>
      </w:r>
    </w:p>
    <w:p w14:paraId="33A73D89" w14:textId="52E4ACF8" w:rsidR="00052612" w:rsidRPr="00524677" w:rsidRDefault="004E66EE" w:rsidP="00F763E2">
      <w:pPr>
        <w:pStyle w:val="BodyText"/>
        <w:spacing w:line="360" w:lineRule="auto"/>
        <w:jc w:val="both"/>
        <w:rPr>
          <w:rFonts w:ascii="Times New Roman" w:hAnsi="Times New Roman" w:cs="Times New Roman"/>
        </w:rPr>
      </w:pPr>
      <m:oMathPara>
        <m:oMathParaPr>
          <m:jc m:val="center"/>
        </m:oMathParaPr>
        <m:oMath>
          <m:limLow>
            <m:limLowPr>
              <m:ctrlPr>
                <w:rPr>
                  <w:rFonts w:ascii="Cambria Math" w:hAnsi="Cambria Math" w:cs="Times New Roman"/>
                </w:rPr>
              </m:ctrlPr>
            </m:limLowPr>
            <m:e>
              <m:r>
                <m:rPr>
                  <m:nor/>
                </m:rPr>
                <w:rPr>
                  <w:rFonts w:ascii="Times New Roman" w:hAnsi="Times New Roman" w:cs="Times New Roman"/>
                </w:rPr>
                <m:t>max</m:t>
              </m:r>
            </m:e>
            <m:lim>
              <m:r>
                <w:rPr>
                  <w:rFonts w:ascii="Cambria Math" w:hAnsi="Cambria Math" w:cs="Times New Roman"/>
                </w:rPr>
                <m:t>α</m:t>
              </m:r>
            </m:lim>
          </m:limLow>
          <m:r>
            <w:rPr>
              <w:rFonts w:ascii="Cambria Math" w:hAnsi="Cambria Math" w:cs="Times New Roman"/>
            </w:rPr>
            <m:t> </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nary>
            <m:naryPr>
              <m:chr m:val="∑"/>
              <m:limLoc m:val="undOvr"/>
              <m:supHide m:val="1"/>
              <m:ctrlPr>
                <w:rPr>
                  <w:rFonts w:ascii="Cambria Math" w:hAnsi="Cambria Math" w:cs="Times New Roman"/>
                </w:rPr>
              </m:ctrlPr>
            </m:naryPr>
            <m:sub>
              <m:r>
                <w:rPr>
                  <w:rFonts w:ascii="Cambria Math" w:hAnsi="Cambria Math" w:cs="Times New Roman"/>
                </w:rPr>
                <m:t>i,j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),   0≤</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≤C  (</m:t>
          </m:r>
          <m:r>
            <m:rPr>
              <m:sty m:val="p"/>
            </m:rPr>
            <w:rPr>
              <w:rFonts w:ascii="Cambria Math" w:hAnsi="Cambria Math" w:cs="Times New Roman"/>
            </w:rPr>
            <m:t>II.8</m:t>
          </m:r>
          <m:r>
            <w:rPr>
              <w:rFonts w:ascii="Cambria Math" w:hAnsi="Cambria Math" w:cs="Times New Roman"/>
            </w:rPr>
            <m:t>)</m:t>
          </m:r>
        </m:oMath>
      </m:oMathPara>
    </w:p>
    <w:p w14:paraId="31F08B5D" w14:textId="77777777" w:rsidR="00052612" w:rsidRPr="00524677" w:rsidRDefault="003F3D5F" w:rsidP="006277DE">
      <w:pPr>
        <w:pStyle w:val="FirstParagraph"/>
      </w:pPr>
      <w:r w:rsidRPr="00524677">
        <w:t>La SVM excelle quand la dimension du vecteur d’attributs reste modérée (20 à 200) et le corpus limité (quelques centaines d’exemples), ce qui correspond exactement à la situation rencontrée en diagnostic de câble : peu de défauts réels, beaucoup de traitements du signal en amont.</w:t>
      </w:r>
    </w:p>
    <w:p w14:paraId="741F2A0D"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t>Performances publiées.</w:t>
      </w:r>
      <w:r w:rsidRPr="00524677">
        <w:rPr>
          <w:rFonts w:ascii="Times New Roman" w:hAnsi="Times New Roman" w:cs="Times New Roman"/>
        </w:rPr>
        <w:t xml:space="preserve"> </w:t>
      </w:r>
      <w:proofErr w:type="spellStart"/>
      <w:r w:rsidRPr="00524677">
        <w:rPr>
          <w:rFonts w:ascii="Times New Roman" w:hAnsi="Times New Roman" w:cs="Times New Roman"/>
        </w:rPr>
        <w:t>Jineeth</w:t>
      </w:r>
      <w:proofErr w:type="spellEnd"/>
      <w:r w:rsidRPr="00524677">
        <w:rPr>
          <w:rFonts w:ascii="Times New Roman" w:hAnsi="Times New Roman" w:cs="Times New Roman"/>
        </w:rPr>
        <w:t xml:space="preserve"> et </w:t>
      </w:r>
      <w:proofErr w:type="spellStart"/>
      <w:r w:rsidRPr="00524677">
        <w:rPr>
          <w:rFonts w:ascii="Times New Roman" w:hAnsi="Times New Roman" w:cs="Times New Roman"/>
        </w:rPr>
        <w:t>Mallepally</w:t>
      </w:r>
      <w:proofErr w:type="spellEnd"/>
      <w:r w:rsidRPr="00524677">
        <w:rPr>
          <w:rFonts w:ascii="Times New Roman" w:hAnsi="Times New Roman" w:cs="Times New Roman"/>
        </w:rPr>
        <w:t xml:space="preserve"> (2018) rapportent une précision de </w:t>
      </w:r>
      <w:r w:rsidRPr="00524677">
        <w:rPr>
          <w:rFonts w:ascii="Times New Roman" w:hAnsi="Times New Roman" w:cs="Times New Roman"/>
          <w:b/>
        </w:rPr>
        <w:t>94 %</w:t>
      </w:r>
      <w:r w:rsidRPr="00524677">
        <w:rPr>
          <w:rFonts w:ascii="Times New Roman" w:hAnsi="Times New Roman" w:cs="Times New Roman"/>
        </w:rPr>
        <w:t xml:space="preserve"> pour la classification de six types de défauts XLPE par SVM sur attributs issus de la reconnaissance de formes de décharges partielles. Liu et al. (2023), avec une forêt aléatoire enrichie d’un optimiseur SABO, atteignent </w:t>
      </w:r>
      <w:r w:rsidRPr="00524677">
        <w:rPr>
          <w:rFonts w:ascii="Times New Roman" w:hAnsi="Times New Roman" w:cs="Times New Roman"/>
          <w:b/>
        </w:rPr>
        <w:t>96 %</w:t>
      </w:r>
      <w:r w:rsidRPr="00524677">
        <w:rPr>
          <w:rFonts w:ascii="Times New Roman" w:hAnsi="Times New Roman" w:cs="Times New Roman"/>
        </w:rPr>
        <w:t xml:space="preserve"> sur les mêmes corpus. Le choix entre RF et SVM relève souvent de critères secondaires (interprétabilité des variables pour RF, robustesse au bruit pour SVM).</w:t>
      </w:r>
    </w:p>
    <w:p w14:paraId="6A9D288F" w14:textId="77777777" w:rsidR="00052612" w:rsidRPr="00524677" w:rsidRDefault="003F3D5F" w:rsidP="00F763E2">
      <w:pPr>
        <w:pStyle w:val="BodyText"/>
        <w:spacing w:line="360" w:lineRule="auto"/>
        <w:jc w:val="both"/>
        <w:rPr>
          <w:rFonts w:ascii="Times New Roman" w:hAnsi="Times New Roman" w:cs="Times New Roman"/>
        </w:rPr>
      </w:pPr>
      <w:proofErr w:type="spellStart"/>
      <w:r w:rsidRPr="00524677">
        <w:rPr>
          <w:rFonts w:ascii="Times New Roman" w:hAnsi="Times New Roman" w:cs="Times New Roman"/>
          <w:b/>
        </w:rPr>
        <w:t>Tradeoffs</w:t>
      </w:r>
      <w:proofErr w:type="spellEnd"/>
      <w:r w:rsidRPr="00524677">
        <w:rPr>
          <w:rFonts w:ascii="Times New Roman" w:hAnsi="Times New Roman" w:cs="Times New Roman"/>
          <w:b/>
        </w:rPr>
        <w:t>.</w:t>
      </w:r>
      <w:r w:rsidRPr="00524677">
        <w:rPr>
          <w:rFonts w:ascii="Times New Roman" w:hAnsi="Times New Roman" w:cs="Times New Roman"/>
        </w:rPr>
        <w:t xml:space="preserve"> Ces méthodes exigent une </w:t>
      </w:r>
      <w:r w:rsidRPr="00524677">
        <w:rPr>
          <w:rFonts w:ascii="Times New Roman" w:hAnsi="Times New Roman" w:cs="Times New Roman"/>
          <w:b/>
        </w:rPr>
        <w:t>ingénierie d’attributs</w:t>
      </w:r>
      <w:r w:rsidRPr="00524677">
        <w:rPr>
          <w:rFonts w:ascii="Times New Roman" w:hAnsi="Times New Roman" w:cs="Times New Roman"/>
        </w:rPr>
        <w:t xml:space="preserve"> préalable : coefficients d’ondelettes, moments statistiques, énergie par sous-bande. La qualité du diagnostic dépend fortement de cette phase, peu automatisable.</w:t>
      </w:r>
    </w:p>
    <w:p w14:paraId="2A29EF43" w14:textId="29CC7512" w:rsidR="00052612" w:rsidRPr="00524677" w:rsidRDefault="003F3D5F" w:rsidP="00F763E2">
      <w:pPr>
        <w:pStyle w:val="Heading3"/>
        <w:spacing w:line="360" w:lineRule="auto"/>
        <w:jc w:val="both"/>
        <w:rPr>
          <w:rFonts w:ascii="Times New Roman" w:hAnsi="Times New Roman" w:cs="Times New Roman"/>
          <w:color w:val="auto"/>
        </w:rPr>
      </w:pPr>
      <w:bookmarkStart w:id="47" w:name="X2632eb6d389bd516b977f5b98b13f07e71d687c"/>
      <w:bookmarkStart w:id="48" w:name="_Toc229131326"/>
      <w:r w:rsidRPr="00524677">
        <w:rPr>
          <w:rFonts w:ascii="Times New Roman" w:hAnsi="Times New Roman" w:cs="Times New Roman"/>
          <w:color w:val="auto"/>
        </w:rPr>
        <w:lastRenderedPageBreak/>
        <w:t>I</w:t>
      </w:r>
      <w:r w:rsidR="00BF3954">
        <w:rPr>
          <w:rFonts w:ascii="Times New Roman" w:hAnsi="Times New Roman" w:cs="Times New Roman"/>
          <w:color w:val="auto"/>
        </w:rPr>
        <w:t>I</w:t>
      </w:r>
      <w:r w:rsidRPr="00524677">
        <w:rPr>
          <w:rFonts w:ascii="Times New Roman" w:hAnsi="Times New Roman" w:cs="Times New Roman"/>
          <w:color w:val="auto"/>
        </w:rPr>
        <w:t>.6.3. CNN 1D pour extraction automatique de caractéristiques</w:t>
      </w:r>
      <w:bookmarkEnd w:id="47"/>
      <w:bookmarkEnd w:id="48"/>
    </w:p>
    <w:p w14:paraId="25CC93BD" w14:textId="77777777" w:rsidR="00052612" w:rsidRPr="00524677" w:rsidRDefault="003F3D5F" w:rsidP="006277DE">
      <w:pPr>
        <w:pStyle w:val="FirstParagraph"/>
      </w:pPr>
      <w:r w:rsidRPr="00524677">
        <w:t xml:space="preserve">Le </w:t>
      </w:r>
      <w:r w:rsidRPr="00524677">
        <w:rPr>
          <w:b/>
        </w:rPr>
        <w:t>réseau convolutif à une dimension</w:t>
      </w:r>
      <w:r w:rsidRPr="00524677">
        <w:t xml:space="preserve"> (CNN 1D) supprime l’étape d’ingénierie d’attributs : il apprend lui-même, par convolution et sous-échantillonnage, une représentation hiérarchique du signal brut. Dans les couches successives, une convolution 1D calcule :</w:t>
      </w:r>
    </w:p>
    <w:p w14:paraId="344C8E8E" w14:textId="23B3F840" w:rsidR="00052612" w:rsidRPr="00524677" w:rsidRDefault="003F3D5F" w:rsidP="00F763E2">
      <w:pPr>
        <w:pStyle w:val="BodyText"/>
        <w:spacing w:line="360" w:lineRule="auto"/>
        <w:jc w:val="both"/>
        <w:rPr>
          <w:rFonts w:ascii="Times New Roman" w:hAnsi="Times New Roman" w:cs="Times New Roman"/>
        </w:rPr>
      </w:pPr>
      <m:oMathPara>
        <m:oMathParaPr>
          <m:jc m:val="center"/>
        </m:oMathParaPr>
        <m:oMath>
          <m:r>
            <w:rPr>
              <w:rFonts w:ascii="Cambria Math" w:hAnsi="Cambria Math" w:cs="Times New Roman"/>
            </w:rPr>
            <m:t>y[n] = </m:t>
          </m:r>
          <m:nary>
            <m:naryPr>
              <m:chr m:val="∑"/>
              <m:limLoc m:val="undOvr"/>
              <m:ctrlPr>
                <w:rPr>
                  <w:rFonts w:ascii="Cambria Math" w:hAnsi="Cambria Math" w:cs="Times New Roman"/>
                </w:rPr>
              </m:ctrlPr>
            </m:naryPr>
            <m:sub>
              <m:r>
                <w:rPr>
                  <w:rFonts w:ascii="Cambria Math" w:hAnsi="Cambria Math" w:cs="Times New Roman"/>
                </w:rPr>
                <m:t>k=0</m:t>
              </m:r>
            </m:sub>
            <m:sup>
              <m:r>
                <w:rPr>
                  <w:rFonts w:ascii="Cambria Math" w:hAnsi="Cambria Math" w:cs="Times New Roman"/>
                </w:rPr>
                <m:t>K-1</m:t>
              </m:r>
            </m:sup>
            <m:e>
              <m:r>
                <w:rPr>
                  <w:rFonts w:ascii="Cambria Math" w:hAnsi="Cambria Math" w:cs="Times New Roman"/>
                </w:rPr>
                <m:t>w</m:t>
              </m:r>
            </m:e>
          </m:nary>
          <m:r>
            <w:rPr>
              <w:rFonts w:ascii="Cambria Math" w:hAnsi="Cambria Math" w:cs="Times New Roman"/>
            </w:rPr>
            <m:t>[k] x[n-k]+b,  (I</m:t>
          </m:r>
          <m:r>
            <m:rPr>
              <m:sty m:val="p"/>
            </m:rPr>
            <w:rPr>
              <w:rFonts w:ascii="Cambria Math" w:hAnsi="Cambria Math" w:cs="Times New Roman"/>
            </w:rPr>
            <m:t>I.9</m:t>
          </m:r>
          <m:r>
            <w:rPr>
              <w:rFonts w:ascii="Cambria Math" w:hAnsi="Cambria Math" w:cs="Times New Roman"/>
            </w:rPr>
            <m:t>)</m:t>
          </m:r>
        </m:oMath>
      </m:oMathPara>
    </w:p>
    <w:p w14:paraId="2407ED51" w14:textId="1D27E031" w:rsidR="00BF3954" w:rsidRDefault="003F3D5F" w:rsidP="00BF3954">
      <w:pPr>
        <w:pStyle w:val="FirstParagraph"/>
      </w:pPr>
      <w:proofErr w:type="gramStart"/>
      <w:r w:rsidRPr="00524677">
        <w:t>où</w:t>
      </w:r>
      <w:proofErr w:type="gramEnd"/>
      <w:r w:rsidRPr="00524677">
        <w:t xml:space="preserve"> </w:t>
      </w:r>
      <m:oMath>
        <m:r>
          <w:rPr>
            <w:rFonts w:ascii="Cambria Math" w:hAnsi="Cambria Math"/>
          </w:rPr>
          <m:t>w</m:t>
        </m:r>
      </m:oMath>
      <w:r w:rsidRPr="00524677">
        <w:t xml:space="preserve"> est un noyau appris, puis une non-linéarité </w:t>
      </w:r>
      <m:oMath>
        <m:r>
          <w:rPr>
            <w:rFonts w:ascii="Cambria Math" w:hAnsi="Cambria Math"/>
          </w:rPr>
          <m:t>σ(⋅)</m:t>
        </m:r>
      </m:oMath>
      <w:r w:rsidRPr="00524677">
        <w:t xml:space="preserve"> (ReLU) et une opération de pooling réduisent la dimension. Les représentations extraites alimentent typiquement un </w:t>
      </w:r>
      <w:r w:rsidRPr="00524677">
        <w:rPr>
          <w:b/>
        </w:rPr>
        <w:t xml:space="preserve">classifieur final SVM ou </w:t>
      </w:r>
      <w:proofErr w:type="spellStart"/>
      <w:r w:rsidRPr="00524677">
        <w:rPr>
          <w:b/>
        </w:rPr>
        <w:t>softmax</w:t>
      </w:r>
      <w:proofErr w:type="spellEnd"/>
      <w:r w:rsidRPr="00524677">
        <w:t>.</w:t>
      </w:r>
    </w:p>
    <w:p w14:paraId="1DD07B2A" w14:textId="5AA3DB2E" w:rsidR="00BF3954" w:rsidRPr="00BF3954" w:rsidRDefault="00BF3954" w:rsidP="00BF3954">
      <w:pPr>
        <w:pStyle w:val="BodyText"/>
        <w:spacing w:line="360" w:lineRule="auto"/>
        <w:jc w:val="both"/>
        <w:rPr>
          <w:rFonts w:ascii="Times New Roman" w:hAnsi="Times New Roman" w:cs="Times New Roman"/>
        </w:rPr>
      </w:pPr>
      <w:r w:rsidRPr="00BF3954">
        <w:rPr>
          <w:rFonts w:ascii="Times New Roman" w:hAnsi="Times New Roman" w:cs="Times New Roman"/>
        </w:rPr>
        <w:t xml:space="preserve">La </w:t>
      </w:r>
      <w:r w:rsidR="00BB6D8A" w:rsidRPr="00BB6D8A">
        <w:rPr>
          <w:rFonts w:ascii="Times New Roman" w:hAnsi="Times New Roman" w:cs="Times New Roman"/>
          <w:b/>
          <w:bCs/>
        </w:rPr>
        <w:t>F</w:t>
      </w:r>
      <w:r w:rsidRPr="00BB6D8A">
        <w:rPr>
          <w:rFonts w:ascii="Times New Roman" w:hAnsi="Times New Roman" w:cs="Times New Roman"/>
          <w:b/>
          <w:bCs/>
        </w:rPr>
        <w:t>igure II-5</w:t>
      </w:r>
      <w:r w:rsidRPr="00BF3954">
        <w:rPr>
          <w:rFonts w:ascii="Times New Roman" w:hAnsi="Times New Roman" w:cs="Times New Roman"/>
        </w:rPr>
        <w:t xml:space="preserve"> présente un pipeline hybride de l’acquisition du signal (I, V) jusqu’à</w:t>
      </w:r>
      <w:r>
        <w:rPr>
          <w:rFonts w:ascii="Times New Roman" w:hAnsi="Times New Roman" w:cs="Times New Roman"/>
        </w:rPr>
        <w:t xml:space="preserve"> </w:t>
      </w:r>
      <w:r w:rsidRPr="00BF3954">
        <w:rPr>
          <w:rFonts w:ascii="Times New Roman" w:hAnsi="Times New Roman" w:cs="Times New Roman"/>
        </w:rPr>
        <w:t>la</w:t>
      </w:r>
      <w:r w:rsidR="00BB6D8A">
        <w:rPr>
          <w:rFonts w:ascii="Times New Roman" w:hAnsi="Times New Roman" w:cs="Times New Roman"/>
        </w:rPr>
        <w:t xml:space="preserve"> </w:t>
      </w:r>
      <w:r w:rsidRPr="00BF3954">
        <w:rPr>
          <w:rFonts w:ascii="Times New Roman" w:hAnsi="Times New Roman" w:cs="Times New Roman"/>
        </w:rPr>
        <w:t xml:space="preserve">classification (sain, défaut) en utilisant le CNN 1D pour l’extraction des attributs et </w:t>
      </w:r>
      <w:proofErr w:type="gramStart"/>
      <w:r w:rsidRPr="00BF3954">
        <w:rPr>
          <w:rFonts w:ascii="Times New Roman" w:hAnsi="Times New Roman" w:cs="Times New Roman"/>
        </w:rPr>
        <w:t>la</w:t>
      </w:r>
      <w:proofErr w:type="gramEnd"/>
      <w:r w:rsidRPr="00BF3954">
        <w:rPr>
          <w:rFonts w:ascii="Times New Roman" w:hAnsi="Times New Roman" w:cs="Times New Roman"/>
        </w:rPr>
        <w:t xml:space="preserve"> SVM /RF pour la classification</w:t>
      </w:r>
    </w:p>
    <w:p w14:paraId="0D328F98" w14:textId="77777777" w:rsidR="00052612" w:rsidRPr="00524677" w:rsidRDefault="003F3D5F" w:rsidP="00F763E2">
      <w:pPr>
        <w:pStyle w:val="CaptionedFigure"/>
        <w:spacing w:line="360" w:lineRule="auto"/>
        <w:jc w:val="both"/>
        <w:rPr>
          <w:rFonts w:ascii="Times New Roman" w:hAnsi="Times New Roman" w:cs="Times New Roman"/>
        </w:rPr>
      </w:pPr>
      <w:r w:rsidRPr="00524677">
        <w:rPr>
          <w:rFonts w:ascii="Times New Roman" w:hAnsi="Times New Roman" w:cs="Times New Roman"/>
          <w:noProof/>
        </w:rPr>
        <w:drawing>
          <wp:inline distT="0" distB="0" distL="0" distR="0" wp14:anchorId="3E176F46" wp14:editId="2414B0DD">
            <wp:extent cx="5334000" cy="1885815"/>
            <wp:effectExtent l="0" t="0" r="0" b="0"/>
            <wp:docPr id="5" name="Picture" descr="Figure I-5. Pipeline hybride CNN 1D + SVM pour le diagnostic de défauts de câble"/>
            <wp:cNvGraphicFramePr/>
            <a:graphic xmlns:a="http://schemas.openxmlformats.org/drawingml/2006/main">
              <a:graphicData uri="http://schemas.openxmlformats.org/drawingml/2006/picture">
                <pic:pic xmlns:pic="http://schemas.openxmlformats.org/drawingml/2006/picture">
                  <pic:nvPicPr>
                    <pic:cNvPr id="0" name="Picture" descr="assets_c1/fig1_5_cnn_svm_pipeline.png"/>
                    <pic:cNvPicPr>
                      <a:picLocks noChangeAspect="1" noChangeArrowheads="1"/>
                    </pic:cNvPicPr>
                  </pic:nvPicPr>
                  <pic:blipFill>
                    <a:blip r:embed="rId15"/>
                    <a:stretch>
                      <a:fillRect/>
                    </a:stretch>
                  </pic:blipFill>
                  <pic:spPr bwMode="auto">
                    <a:xfrm>
                      <a:off x="0" y="0"/>
                      <a:ext cx="5334000" cy="1885815"/>
                    </a:xfrm>
                    <a:prstGeom prst="rect">
                      <a:avLst/>
                    </a:prstGeom>
                    <a:noFill/>
                    <a:ln w="9525">
                      <a:noFill/>
                      <a:headEnd/>
                      <a:tailEnd/>
                    </a:ln>
                  </pic:spPr>
                </pic:pic>
              </a:graphicData>
            </a:graphic>
          </wp:inline>
        </w:drawing>
      </w:r>
    </w:p>
    <w:p w14:paraId="67BB6FCA" w14:textId="4A477861" w:rsidR="00052612" w:rsidRPr="00524677" w:rsidRDefault="003F3D5F" w:rsidP="00F763E2">
      <w:pPr>
        <w:pStyle w:val="ImageCaption"/>
        <w:spacing w:line="360" w:lineRule="auto"/>
        <w:jc w:val="both"/>
        <w:rPr>
          <w:rFonts w:ascii="Times New Roman" w:hAnsi="Times New Roman" w:cs="Times New Roman"/>
        </w:rPr>
      </w:pPr>
      <w:r w:rsidRPr="00524677">
        <w:rPr>
          <w:rFonts w:ascii="Times New Roman" w:hAnsi="Times New Roman" w:cs="Times New Roman"/>
        </w:rPr>
        <w:t xml:space="preserve">Figure </w:t>
      </w:r>
      <w:r w:rsidR="00BF3954">
        <w:rPr>
          <w:rFonts w:ascii="Times New Roman" w:hAnsi="Times New Roman" w:cs="Times New Roman"/>
        </w:rPr>
        <w:t>I</w:t>
      </w:r>
      <w:r w:rsidRPr="00524677">
        <w:rPr>
          <w:rFonts w:ascii="Times New Roman" w:hAnsi="Times New Roman" w:cs="Times New Roman"/>
        </w:rPr>
        <w:t>I-5. Pipeline hybride CNN 1D + SVM pour le diagnostic de défauts de câble</w:t>
      </w:r>
    </w:p>
    <w:p w14:paraId="1CBC93B8"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t>Performances publiées.</w:t>
      </w:r>
      <w:r w:rsidRPr="00524677">
        <w:rPr>
          <w:rFonts w:ascii="Times New Roman" w:hAnsi="Times New Roman" w:cs="Times New Roman"/>
        </w:rPr>
        <w:t xml:space="preserve"> Sian et al. (2023) rapportent </w:t>
      </w:r>
      <w:r w:rsidRPr="00524677">
        <w:rPr>
          <w:rFonts w:ascii="Times New Roman" w:hAnsi="Times New Roman" w:cs="Times New Roman"/>
          <w:b/>
        </w:rPr>
        <w:t>96,52 %</w:t>
      </w:r>
      <w:r w:rsidRPr="00524677">
        <w:rPr>
          <w:rFonts w:ascii="Times New Roman" w:hAnsi="Times New Roman" w:cs="Times New Roman"/>
        </w:rPr>
        <w:t xml:space="preserve"> de reconnaissance moyenne sur quatre types de défauts XLPE en combinant DWT, motifs symétrisés et réseau convolutif probabiliste. Les études comparatives récentes (Scientific Reports, 2025) placent le CNN 1D au-dessus des approches purement </w:t>
      </w:r>
      <w:proofErr w:type="spellStart"/>
      <w:r w:rsidRPr="00524677">
        <w:rPr>
          <w:rFonts w:ascii="Times New Roman" w:hAnsi="Times New Roman" w:cs="Times New Roman"/>
        </w:rPr>
        <w:t>ingénieriques</w:t>
      </w:r>
      <w:proofErr w:type="spellEnd"/>
      <w:r w:rsidRPr="00524677">
        <w:rPr>
          <w:rFonts w:ascii="Times New Roman" w:hAnsi="Times New Roman" w:cs="Times New Roman"/>
        </w:rPr>
        <w:t xml:space="preserve"> dans la majorité des bancs d’essai, avec des gains de 3 à 8 points de précision.</w:t>
      </w:r>
    </w:p>
    <w:p w14:paraId="097BAC93" w14:textId="77777777" w:rsidR="00052612" w:rsidRPr="00524677" w:rsidRDefault="003F3D5F" w:rsidP="00F763E2">
      <w:pPr>
        <w:pStyle w:val="BodyText"/>
        <w:spacing w:line="360" w:lineRule="auto"/>
        <w:jc w:val="both"/>
        <w:rPr>
          <w:rFonts w:ascii="Times New Roman" w:hAnsi="Times New Roman" w:cs="Times New Roman"/>
        </w:rPr>
      </w:pPr>
      <w:proofErr w:type="spellStart"/>
      <w:r w:rsidRPr="00524677">
        <w:rPr>
          <w:rFonts w:ascii="Times New Roman" w:hAnsi="Times New Roman" w:cs="Times New Roman"/>
          <w:b/>
        </w:rPr>
        <w:t>Tradeoffs</w:t>
      </w:r>
      <w:proofErr w:type="spellEnd"/>
      <w:r w:rsidRPr="00524677">
        <w:rPr>
          <w:rFonts w:ascii="Times New Roman" w:hAnsi="Times New Roman" w:cs="Times New Roman"/>
          <w:b/>
        </w:rPr>
        <w:t>.</w:t>
      </w:r>
      <w:r w:rsidRPr="00524677">
        <w:rPr>
          <w:rFonts w:ascii="Times New Roman" w:hAnsi="Times New Roman" w:cs="Times New Roman"/>
        </w:rPr>
        <w:t xml:space="preserve"> Le CNN 1D demande un corpus plus large (typiquement 10³ à 10⁴ échantillons par classe) et une puissance de calcul d’entraînement non négligeable, mais l’inférence reste rapide et </w:t>
      </w:r>
      <w:r w:rsidRPr="00524677">
        <w:rPr>
          <w:rFonts w:ascii="Times New Roman" w:hAnsi="Times New Roman" w:cs="Times New Roman"/>
        </w:rPr>
        <w:lastRenderedPageBreak/>
        <w:t xml:space="preserve">exécutable sur microcontrôleur récent. Le transfert entre bancs d’essai et exploitation réelle reste </w:t>
      </w:r>
      <w:r w:rsidRPr="00524677">
        <w:rPr>
          <w:rFonts w:ascii="Times New Roman" w:hAnsi="Times New Roman" w:cs="Times New Roman"/>
          <w:b/>
        </w:rPr>
        <w:t>un point de vigilance</w:t>
      </w:r>
      <w:r w:rsidRPr="00524677">
        <w:rPr>
          <w:rFonts w:ascii="Times New Roman" w:hAnsi="Times New Roman" w:cs="Times New Roman"/>
        </w:rPr>
        <w:t xml:space="preserve"> : les signatures mesurées en laboratoire diffèrent de celles de terrain (humidité, température, vieillissement hétérogène).</w:t>
      </w:r>
    </w:p>
    <w:p w14:paraId="689835C1" w14:textId="4F8F6DEF" w:rsidR="00052612" w:rsidRPr="00524677" w:rsidRDefault="003F3D5F" w:rsidP="00F763E2">
      <w:pPr>
        <w:pStyle w:val="Heading3"/>
        <w:spacing w:line="360" w:lineRule="auto"/>
        <w:jc w:val="both"/>
        <w:rPr>
          <w:rFonts w:ascii="Times New Roman" w:hAnsi="Times New Roman" w:cs="Times New Roman"/>
          <w:color w:val="auto"/>
        </w:rPr>
      </w:pPr>
      <w:bookmarkStart w:id="49" w:name="X29f08d23d7ba92309a13df083afd9beefc8e3bf"/>
      <w:bookmarkStart w:id="50" w:name="_Toc229131327"/>
      <w:r w:rsidRPr="00524677">
        <w:rPr>
          <w:rFonts w:ascii="Times New Roman" w:hAnsi="Times New Roman" w:cs="Times New Roman"/>
          <w:color w:val="auto"/>
        </w:rPr>
        <w:t>I</w:t>
      </w:r>
      <w:r w:rsidR="00BB6D8A">
        <w:rPr>
          <w:rFonts w:ascii="Times New Roman" w:hAnsi="Times New Roman" w:cs="Times New Roman"/>
          <w:color w:val="auto"/>
        </w:rPr>
        <w:t>I</w:t>
      </w:r>
      <w:r w:rsidRPr="00524677">
        <w:rPr>
          <w:rFonts w:ascii="Times New Roman" w:hAnsi="Times New Roman" w:cs="Times New Roman"/>
          <w:color w:val="auto"/>
        </w:rPr>
        <w:t xml:space="preserve">.6.4. Détection d’anomalie : One-Class SVM et </w:t>
      </w:r>
      <w:proofErr w:type="spellStart"/>
      <w:r w:rsidRPr="00524677">
        <w:rPr>
          <w:rFonts w:ascii="Times New Roman" w:hAnsi="Times New Roman" w:cs="Times New Roman"/>
          <w:color w:val="auto"/>
        </w:rPr>
        <w:t>autoencodeurs</w:t>
      </w:r>
      <w:bookmarkEnd w:id="49"/>
      <w:bookmarkEnd w:id="50"/>
      <w:proofErr w:type="spellEnd"/>
    </w:p>
    <w:p w14:paraId="3253095A" w14:textId="77777777" w:rsidR="00052612" w:rsidRPr="00524677" w:rsidRDefault="003F3D5F" w:rsidP="006277DE">
      <w:pPr>
        <w:pStyle w:val="FirstParagraph"/>
      </w:pPr>
      <w:r w:rsidRPr="00524677">
        <w:t xml:space="preserve">Les méthodes précédentes sont </w:t>
      </w:r>
      <w:r w:rsidRPr="00524677">
        <w:rPr>
          <w:b/>
        </w:rPr>
        <w:t>supervisées</w:t>
      </w:r>
      <w:r w:rsidRPr="00524677">
        <w:t xml:space="preserve"> : elles supposent qu’on dispose d’exemples étiquetés pour chaque type de défaut. Or, dans le balisage aéronautique, les défauts sont rares et variés, et il est souvent plus facile d’apprendre </w:t>
      </w:r>
      <w:r w:rsidRPr="00524677">
        <w:rPr>
          <w:b/>
        </w:rPr>
        <w:t>ce qu’est un état sain</w:t>
      </w:r>
      <w:r w:rsidRPr="00524677">
        <w:t xml:space="preserve"> et de signaler toute déviation.</w:t>
      </w:r>
    </w:p>
    <w:p w14:paraId="369A8C2D"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rPr>
        <w:t>Deux familles sont pertinentes :</w:t>
      </w:r>
    </w:p>
    <w:p w14:paraId="620062F4" w14:textId="77777777" w:rsidR="00052612" w:rsidRPr="00524677" w:rsidRDefault="003F3D5F" w:rsidP="00F763E2">
      <w:pPr>
        <w:pStyle w:val="Compact"/>
        <w:numPr>
          <w:ilvl w:val="0"/>
          <w:numId w:val="8"/>
        </w:numPr>
        <w:spacing w:line="360" w:lineRule="auto"/>
        <w:jc w:val="both"/>
        <w:rPr>
          <w:rFonts w:ascii="Times New Roman" w:hAnsi="Times New Roman" w:cs="Times New Roman"/>
        </w:rPr>
      </w:pPr>
      <w:r w:rsidRPr="00524677">
        <w:rPr>
          <w:rFonts w:ascii="Times New Roman" w:hAnsi="Times New Roman" w:cs="Times New Roman"/>
          <w:b/>
          <w:lang w:val="en-US"/>
        </w:rPr>
        <w:t>One-Class SVM</w:t>
      </w:r>
      <w:r w:rsidRPr="00524677">
        <w:rPr>
          <w:rFonts w:ascii="Times New Roman" w:hAnsi="Times New Roman" w:cs="Times New Roman"/>
          <w:lang w:val="en-US"/>
        </w:rPr>
        <w:t xml:space="preserve"> (</w:t>
      </w:r>
      <w:proofErr w:type="spellStart"/>
      <w:r w:rsidRPr="00524677">
        <w:rPr>
          <w:rFonts w:ascii="Times New Roman" w:hAnsi="Times New Roman" w:cs="Times New Roman"/>
          <w:lang w:val="en-US"/>
        </w:rPr>
        <w:t>Schölkopf</w:t>
      </w:r>
      <w:proofErr w:type="spellEnd"/>
      <w:r w:rsidRPr="00524677">
        <w:rPr>
          <w:rFonts w:ascii="Times New Roman" w:hAnsi="Times New Roman" w:cs="Times New Roman"/>
          <w:lang w:val="en-US"/>
        </w:rPr>
        <w:t xml:space="preserve"> et al., 2001). </w:t>
      </w:r>
      <w:r w:rsidRPr="00524677">
        <w:rPr>
          <w:rFonts w:ascii="Times New Roman" w:hAnsi="Times New Roman" w:cs="Times New Roman"/>
        </w:rPr>
        <w:t xml:space="preserve">Apprend une frontière englobant les points d’apprentissage sains ; tout nouveau point hors de cette frontière est classé </w:t>
      </w:r>
      <w:r w:rsidRPr="00524677">
        <w:rPr>
          <w:rFonts w:ascii="Times New Roman" w:hAnsi="Times New Roman" w:cs="Times New Roman"/>
          <w:i/>
        </w:rPr>
        <w:t>anomalie</w:t>
      </w:r>
      <w:r w:rsidRPr="00524677">
        <w:rPr>
          <w:rFonts w:ascii="Times New Roman" w:hAnsi="Times New Roman" w:cs="Times New Roman"/>
        </w:rPr>
        <w:t xml:space="preserve">. Paramétrage par le taux de fausse alarme toléré </w:t>
      </w:r>
      <m:oMath>
        <m:r>
          <w:rPr>
            <w:rFonts w:ascii="Cambria Math" w:hAnsi="Cambria Math" w:cs="Times New Roman"/>
          </w:rPr>
          <m:t>ν</m:t>
        </m:r>
      </m:oMath>
      <w:r w:rsidRPr="00524677">
        <w:rPr>
          <w:rFonts w:ascii="Times New Roman" w:hAnsi="Times New Roman" w:cs="Times New Roman"/>
        </w:rPr>
        <w:t>.</w:t>
      </w:r>
    </w:p>
    <w:p w14:paraId="43E104DB" w14:textId="77777777" w:rsidR="00052612" w:rsidRPr="00524677" w:rsidRDefault="003F3D5F" w:rsidP="00F763E2">
      <w:pPr>
        <w:pStyle w:val="Compact"/>
        <w:numPr>
          <w:ilvl w:val="0"/>
          <w:numId w:val="8"/>
        </w:numPr>
        <w:spacing w:line="360" w:lineRule="auto"/>
        <w:jc w:val="both"/>
        <w:rPr>
          <w:rFonts w:ascii="Times New Roman" w:hAnsi="Times New Roman" w:cs="Times New Roman"/>
        </w:rPr>
      </w:pPr>
      <w:proofErr w:type="spellStart"/>
      <w:r w:rsidRPr="00524677">
        <w:rPr>
          <w:rFonts w:ascii="Times New Roman" w:hAnsi="Times New Roman" w:cs="Times New Roman"/>
          <w:b/>
        </w:rPr>
        <w:t>Autoencodeur</w:t>
      </w:r>
      <w:proofErr w:type="spellEnd"/>
      <w:r w:rsidRPr="00524677">
        <w:rPr>
          <w:rFonts w:ascii="Times New Roman" w:hAnsi="Times New Roman" w:cs="Times New Roman"/>
        </w:rPr>
        <w:t xml:space="preserve"> (</w:t>
      </w:r>
      <w:proofErr w:type="spellStart"/>
      <w:r w:rsidRPr="00524677">
        <w:rPr>
          <w:rFonts w:ascii="Times New Roman" w:hAnsi="Times New Roman" w:cs="Times New Roman"/>
        </w:rPr>
        <w:t>Goodfellow</w:t>
      </w:r>
      <w:proofErr w:type="spellEnd"/>
      <w:r w:rsidRPr="00524677">
        <w:rPr>
          <w:rFonts w:ascii="Times New Roman" w:hAnsi="Times New Roman" w:cs="Times New Roman"/>
        </w:rPr>
        <w:t xml:space="preserve"> et al., 2016). Un réseau neuronal est entraîné à reconstruire des signatures saines ; l’erreur de reconstruction </w:t>
      </w:r>
      <m:oMath>
        <m:r>
          <w:rPr>
            <w:rFonts w:ascii="Cambria Math" w:hAnsi="Cambria Math" w:cs="Times New Roman"/>
          </w:rPr>
          <m:t>∥x-</m:t>
        </m:r>
        <m:acc>
          <m:accPr>
            <m:ctrlPr>
              <w:rPr>
                <w:rFonts w:ascii="Cambria Math" w:hAnsi="Cambria Math" w:cs="Times New Roman"/>
              </w:rPr>
            </m:ctrlPr>
          </m:accPr>
          <m:e>
            <m:r>
              <w:rPr>
                <w:rFonts w:ascii="Cambria Math" w:hAnsi="Cambria Math" w:cs="Times New Roman"/>
              </w:rPr>
              <m:t>x</m:t>
            </m:r>
          </m:e>
        </m:acc>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2</m:t>
            </m:r>
          </m:sub>
          <m:sup>
            <m:r>
              <w:rPr>
                <w:rFonts w:ascii="Cambria Math" w:hAnsi="Cambria Math" w:cs="Times New Roman"/>
              </w:rPr>
              <m:t>2</m:t>
            </m:r>
          </m:sup>
        </m:sSubSup>
      </m:oMath>
      <w:r w:rsidRPr="00524677">
        <w:rPr>
          <w:rFonts w:ascii="Times New Roman" w:hAnsi="Times New Roman" w:cs="Times New Roman"/>
        </w:rPr>
        <w:t xml:space="preserve"> sert de </w:t>
      </w:r>
      <w:r w:rsidRPr="00524677">
        <w:rPr>
          <w:rFonts w:ascii="Times New Roman" w:hAnsi="Times New Roman" w:cs="Times New Roman"/>
          <w:b/>
        </w:rPr>
        <w:t>score d’anomalie</w:t>
      </w:r>
      <w:r w:rsidRPr="00524677">
        <w:rPr>
          <w:rFonts w:ascii="Times New Roman" w:hAnsi="Times New Roman" w:cs="Times New Roman"/>
        </w:rPr>
        <w:t xml:space="preserve">. Les </w:t>
      </w:r>
      <w:proofErr w:type="spellStart"/>
      <w:r w:rsidRPr="00524677">
        <w:rPr>
          <w:rFonts w:ascii="Times New Roman" w:hAnsi="Times New Roman" w:cs="Times New Roman"/>
        </w:rPr>
        <w:t>autoencodeurs</w:t>
      </w:r>
      <w:proofErr w:type="spellEnd"/>
      <w:r w:rsidRPr="00524677">
        <w:rPr>
          <w:rFonts w:ascii="Times New Roman" w:hAnsi="Times New Roman" w:cs="Times New Roman"/>
        </w:rPr>
        <w:t xml:space="preserve"> récents (</w:t>
      </w:r>
      <w:proofErr w:type="spellStart"/>
      <w:r w:rsidRPr="00524677">
        <w:rPr>
          <w:rFonts w:ascii="Times New Roman" w:hAnsi="Times New Roman" w:cs="Times New Roman"/>
        </w:rPr>
        <w:t>variationnels</w:t>
      </w:r>
      <w:proofErr w:type="spellEnd"/>
      <w:r w:rsidRPr="00524677">
        <w:rPr>
          <w:rFonts w:ascii="Times New Roman" w:hAnsi="Times New Roman" w:cs="Times New Roman"/>
        </w:rPr>
        <w:t>, contrastifs) améliorent la robustesse au bruit (</w:t>
      </w:r>
      <w:proofErr w:type="spellStart"/>
      <w:r w:rsidRPr="00524677">
        <w:rPr>
          <w:rFonts w:ascii="Times New Roman" w:hAnsi="Times New Roman" w:cs="Times New Roman"/>
        </w:rPr>
        <w:t>Chalapathy</w:t>
      </w:r>
      <w:proofErr w:type="spellEnd"/>
      <w:r w:rsidRPr="00524677">
        <w:rPr>
          <w:rFonts w:ascii="Times New Roman" w:hAnsi="Times New Roman" w:cs="Times New Roman"/>
        </w:rPr>
        <w:t xml:space="preserve"> &amp; </w:t>
      </w:r>
      <w:proofErr w:type="spellStart"/>
      <w:r w:rsidRPr="00524677">
        <w:rPr>
          <w:rFonts w:ascii="Times New Roman" w:hAnsi="Times New Roman" w:cs="Times New Roman"/>
        </w:rPr>
        <w:t>Chawla</w:t>
      </w:r>
      <w:proofErr w:type="spellEnd"/>
      <w:r w:rsidRPr="00524677">
        <w:rPr>
          <w:rFonts w:ascii="Times New Roman" w:hAnsi="Times New Roman" w:cs="Times New Roman"/>
        </w:rPr>
        <w:t>, 2019).</w:t>
      </w:r>
    </w:p>
    <w:p w14:paraId="2A8413B6" w14:textId="77777777" w:rsidR="00052612" w:rsidRPr="00524677" w:rsidRDefault="003F3D5F" w:rsidP="006277DE">
      <w:pPr>
        <w:pStyle w:val="FirstParagraph"/>
      </w:pPr>
      <w:r w:rsidRPr="00524677">
        <w:rPr>
          <w:b/>
        </w:rPr>
        <w:t>Avantages.</w:t>
      </w:r>
      <w:r w:rsidRPr="00524677">
        <w:t xml:space="preserve"> Absence d’étiquetage de défauts, robustesse aux défauts </w:t>
      </w:r>
      <w:r w:rsidRPr="00524677">
        <w:rPr>
          <w:b/>
        </w:rPr>
        <w:t>inédits</w:t>
      </w:r>
      <w:r w:rsidRPr="00524677">
        <w:t xml:space="preserve">, adaptation par simple </w:t>
      </w:r>
      <w:proofErr w:type="spellStart"/>
      <w:r w:rsidRPr="00524677">
        <w:t>ré-entraînement</w:t>
      </w:r>
      <w:proofErr w:type="spellEnd"/>
      <w:r w:rsidRPr="00524677">
        <w:t xml:space="preserve"> sur de nouvelles données saines.</w:t>
      </w:r>
    </w:p>
    <w:p w14:paraId="27F4F1E7" w14:textId="433A88BD"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t>Limites.</w:t>
      </w:r>
      <w:r w:rsidRPr="00524677">
        <w:rPr>
          <w:rFonts w:ascii="Times New Roman" w:hAnsi="Times New Roman" w:cs="Times New Roman"/>
        </w:rPr>
        <w:t xml:space="preserve"> La détection seule est effectuée : une fois l’anomalie signalée, il faut une méthode complémentaire (§ I.5) pour la caractériser et la localiser. Par ailleurs, la notion </w:t>
      </w:r>
      <w:proofErr w:type="gramStart"/>
      <w:r w:rsidRPr="00524677">
        <w:rPr>
          <w:rFonts w:ascii="Times New Roman" w:hAnsi="Times New Roman" w:cs="Times New Roman"/>
        </w:rPr>
        <w:t>d</w:t>
      </w:r>
      <w:r w:rsidR="006A3D00" w:rsidRPr="00524677">
        <w:rPr>
          <w:rFonts w:ascii="Times New Roman" w:hAnsi="Times New Roman" w:cs="Times New Roman"/>
        </w:rPr>
        <w:t>’ «</w:t>
      </w:r>
      <w:proofErr w:type="gramEnd"/>
      <w:r w:rsidRPr="00524677">
        <w:rPr>
          <w:rFonts w:ascii="Times New Roman" w:hAnsi="Times New Roman" w:cs="Times New Roman"/>
        </w:rPr>
        <w:t xml:space="preserve"> état sain » doit couvrir toute la variabilité normale (cycles de gradation, météo, saisonnalité), ce qui demande un </w:t>
      </w:r>
      <w:r w:rsidRPr="00524677">
        <w:rPr>
          <w:rFonts w:ascii="Times New Roman" w:hAnsi="Times New Roman" w:cs="Times New Roman"/>
          <w:b/>
        </w:rPr>
        <w:t>corpus d’apprentissage représentatif</w:t>
      </w:r>
      <w:r w:rsidRPr="00524677">
        <w:rPr>
          <w:rFonts w:ascii="Times New Roman" w:hAnsi="Times New Roman" w:cs="Times New Roman"/>
        </w:rPr>
        <w:t xml:space="preserve"> typiquement supérieur à six mois d’exploitation.</w:t>
      </w:r>
    </w:p>
    <w:p w14:paraId="7AF0FB03" w14:textId="4C795259" w:rsidR="00052612" w:rsidRPr="00524677" w:rsidRDefault="003F3D5F" w:rsidP="006277DE">
      <w:pPr>
        <w:pStyle w:val="Heading2"/>
      </w:pPr>
      <w:bookmarkStart w:id="51" w:name="X06baf9e43856222402e1fb85bae0931bd975c03"/>
      <w:bookmarkStart w:id="52" w:name="_Toc229131328"/>
      <w:r w:rsidRPr="00524677">
        <w:t>I</w:t>
      </w:r>
      <w:r w:rsidR="00BB6D8A">
        <w:t>I</w:t>
      </w:r>
      <w:r w:rsidRPr="00524677">
        <w:t>.7. Jumeau numérique et approches hybrides</w:t>
      </w:r>
      <w:bookmarkEnd w:id="51"/>
      <w:bookmarkEnd w:id="52"/>
    </w:p>
    <w:p w14:paraId="09DAA8F7" w14:textId="65590914" w:rsidR="00052612" w:rsidRPr="00524677" w:rsidRDefault="003F3D5F" w:rsidP="00F763E2">
      <w:pPr>
        <w:pStyle w:val="Heading3"/>
        <w:spacing w:line="360" w:lineRule="auto"/>
        <w:jc w:val="both"/>
        <w:rPr>
          <w:rFonts w:ascii="Times New Roman" w:hAnsi="Times New Roman" w:cs="Times New Roman"/>
          <w:color w:val="auto"/>
        </w:rPr>
      </w:pPr>
      <w:bookmarkStart w:id="53" w:name="i.7.1.-principe"/>
      <w:bookmarkStart w:id="54" w:name="_Toc229131329"/>
      <w:r w:rsidRPr="00524677">
        <w:rPr>
          <w:rFonts w:ascii="Times New Roman" w:hAnsi="Times New Roman" w:cs="Times New Roman"/>
          <w:color w:val="auto"/>
        </w:rPr>
        <w:t>I</w:t>
      </w:r>
      <w:r w:rsidR="00BB6D8A">
        <w:rPr>
          <w:rFonts w:ascii="Times New Roman" w:hAnsi="Times New Roman" w:cs="Times New Roman"/>
          <w:color w:val="auto"/>
        </w:rPr>
        <w:t>I</w:t>
      </w:r>
      <w:r w:rsidRPr="00524677">
        <w:rPr>
          <w:rFonts w:ascii="Times New Roman" w:hAnsi="Times New Roman" w:cs="Times New Roman"/>
          <w:color w:val="auto"/>
        </w:rPr>
        <w:t>.7.1. Principe</w:t>
      </w:r>
      <w:bookmarkEnd w:id="53"/>
      <w:bookmarkEnd w:id="54"/>
    </w:p>
    <w:p w14:paraId="2490BD69" w14:textId="77777777" w:rsidR="00052612" w:rsidRPr="00524677" w:rsidRDefault="003F3D5F" w:rsidP="006277DE">
      <w:pPr>
        <w:pStyle w:val="FirstParagraph"/>
      </w:pPr>
      <w:r w:rsidRPr="00524677">
        <w:t xml:space="preserve">Le </w:t>
      </w:r>
      <w:r w:rsidRPr="00524677">
        <w:rPr>
          <w:b/>
        </w:rPr>
        <w:t>jumeau numérique</w:t>
      </w:r>
      <w:r w:rsidRPr="00524677">
        <w:t xml:space="preserve"> (</w:t>
      </w:r>
      <w:r w:rsidRPr="00524677">
        <w:rPr>
          <w:i/>
        </w:rPr>
        <w:t xml:space="preserve">digital </w:t>
      </w:r>
      <w:proofErr w:type="spellStart"/>
      <w:r w:rsidRPr="00524677">
        <w:rPr>
          <w:i/>
        </w:rPr>
        <w:t>twin</w:t>
      </w:r>
      <w:proofErr w:type="spellEnd"/>
      <w:r w:rsidRPr="00524677">
        <w:t>) désigne la mise en correspondance, en temps réel, d’un système physique et d’un modèle numérique qui le représente (</w:t>
      </w:r>
      <w:proofErr w:type="spellStart"/>
      <w:r w:rsidRPr="00524677">
        <w:t>Grieves</w:t>
      </w:r>
      <w:proofErr w:type="spellEnd"/>
      <w:r w:rsidRPr="00524677">
        <w:t>, 2014). Appliqué à un réseau de balisage, il combine :</w:t>
      </w:r>
    </w:p>
    <w:p w14:paraId="5FBF2907" w14:textId="0B955436" w:rsidR="00052612" w:rsidRPr="00524677" w:rsidRDefault="006A3D00" w:rsidP="00F763E2">
      <w:pPr>
        <w:pStyle w:val="Compact"/>
        <w:numPr>
          <w:ilvl w:val="0"/>
          <w:numId w:val="9"/>
        </w:numPr>
        <w:spacing w:line="360" w:lineRule="auto"/>
        <w:jc w:val="both"/>
        <w:rPr>
          <w:rFonts w:ascii="Times New Roman" w:hAnsi="Times New Roman" w:cs="Times New Roman"/>
        </w:rPr>
      </w:pPr>
      <w:r w:rsidRPr="00524677">
        <w:rPr>
          <w:rFonts w:ascii="Times New Roman" w:hAnsi="Times New Roman" w:cs="Times New Roman"/>
        </w:rPr>
        <w:lastRenderedPageBreak/>
        <w:t>Un</w:t>
      </w:r>
      <w:r w:rsidR="003F3D5F" w:rsidRPr="00524677">
        <w:rPr>
          <w:rFonts w:ascii="Times New Roman" w:hAnsi="Times New Roman" w:cs="Times New Roman"/>
        </w:rPr>
        <w:t xml:space="preserve"> </w:t>
      </w:r>
      <w:r w:rsidR="003F3D5F" w:rsidRPr="00524677">
        <w:rPr>
          <w:rFonts w:ascii="Times New Roman" w:hAnsi="Times New Roman" w:cs="Times New Roman"/>
          <w:b/>
        </w:rPr>
        <w:t>modèle physique</w:t>
      </w:r>
      <w:r w:rsidR="003F3D5F" w:rsidRPr="00524677">
        <w:rPr>
          <w:rFonts w:ascii="Times New Roman" w:hAnsi="Times New Roman" w:cs="Times New Roman"/>
        </w:rPr>
        <w:t xml:space="preserve"> du circuit (équations télégraphistes du câble, saturation des TI, modèle thermique des lampes, régulation SCR du RCC) ;</w:t>
      </w:r>
    </w:p>
    <w:p w14:paraId="4395E11C" w14:textId="0CC948F6" w:rsidR="00052612" w:rsidRPr="00524677" w:rsidRDefault="006A3D00" w:rsidP="00F763E2">
      <w:pPr>
        <w:pStyle w:val="Compact"/>
        <w:numPr>
          <w:ilvl w:val="0"/>
          <w:numId w:val="9"/>
        </w:numPr>
        <w:spacing w:line="360" w:lineRule="auto"/>
        <w:jc w:val="both"/>
        <w:rPr>
          <w:rFonts w:ascii="Times New Roman" w:hAnsi="Times New Roman" w:cs="Times New Roman"/>
        </w:rPr>
      </w:pPr>
      <w:r w:rsidRPr="00524677">
        <w:rPr>
          <w:rFonts w:ascii="Times New Roman" w:hAnsi="Times New Roman" w:cs="Times New Roman"/>
        </w:rPr>
        <w:t>Un</w:t>
      </w:r>
      <w:r w:rsidR="003F3D5F" w:rsidRPr="00524677">
        <w:rPr>
          <w:rFonts w:ascii="Times New Roman" w:hAnsi="Times New Roman" w:cs="Times New Roman"/>
        </w:rPr>
        <w:t xml:space="preserve"> </w:t>
      </w:r>
      <w:r w:rsidR="003F3D5F" w:rsidRPr="00524677">
        <w:rPr>
          <w:rFonts w:ascii="Times New Roman" w:hAnsi="Times New Roman" w:cs="Times New Roman"/>
          <w:b/>
        </w:rPr>
        <w:t>flux de données</w:t>
      </w:r>
      <w:r w:rsidR="003F3D5F" w:rsidRPr="00524677">
        <w:rPr>
          <w:rFonts w:ascii="Times New Roman" w:hAnsi="Times New Roman" w:cs="Times New Roman"/>
        </w:rPr>
        <w:t xml:space="preserve"> issu des capteurs embarqués (I, V, température, EFD) ;</w:t>
      </w:r>
    </w:p>
    <w:p w14:paraId="67E9DAC4" w14:textId="33D7071B" w:rsidR="00052612" w:rsidRPr="00524677" w:rsidRDefault="006A3D00" w:rsidP="00F763E2">
      <w:pPr>
        <w:pStyle w:val="Compact"/>
        <w:numPr>
          <w:ilvl w:val="0"/>
          <w:numId w:val="9"/>
        </w:numPr>
        <w:spacing w:line="360" w:lineRule="auto"/>
        <w:jc w:val="both"/>
        <w:rPr>
          <w:rFonts w:ascii="Times New Roman" w:hAnsi="Times New Roman" w:cs="Times New Roman"/>
        </w:rPr>
      </w:pPr>
      <w:r w:rsidRPr="00524677">
        <w:rPr>
          <w:rFonts w:ascii="Times New Roman" w:hAnsi="Times New Roman" w:cs="Times New Roman"/>
        </w:rPr>
        <w:t>Un</w:t>
      </w:r>
      <w:r w:rsidR="003F3D5F" w:rsidRPr="00524677">
        <w:rPr>
          <w:rFonts w:ascii="Times New Roman" w:hAnsi="Times New Roman" w:cs="Times New Roman"/>
        </w:rPr>
        <w:t xml:space="preserve"> </w:t>
      </w:r>
      <w:r w:rsidR="003F3D5F" w:rsidRPr="00524677">
        <w:rPr>
          <w:rFonts w:ascii="Times New Roman" w:hAnsi="Times New Roman" w:cs="Times New Roman"/>
          <w:b/>
        </w:rPr>
        <w:t>mécanisme d’assimilation</w:t>
      </w:r>
      <w:r w:rsidR="003F3D5F" w:rsidRPr="00524677">
        <w:rPr>
          <w:rFonts w:ascii="Times New Roman" w:hAnsi="Times New Roman" w:cs="Times New Roman"/>
        </w:rPr>
        <w:t xml:space="preserve"> (filtre de </w:t>
      </w:r>
      <w:proofErr w:type="spellStart"/>
      <w:r w:rsidR="003F3D5F" w:rsidRPr="00524677">
        <w:rPr>
          <w:rFonts w:ascii="Times New Roman" w:hAnsi="Times New Roman" w:cs="Times New Roman"/>
        </w:rPr>
        <w:t>Kalman</w:t>
      </w:r>
      <w:proofErr w:type="spellEnd"/>
      <w:r w:rsidR="003F3D5F" w:rsidRPr="00524677">
        <w:rPr>
          <w:rFonts w:ascii="Times New Roman" w:hAnsi="Times New Roman" w:cs="Times New Roman"/>
        </w:rPr>
        <w:t xml:space="preserve"> étendu, observateur de </w:t>
      </w:r>
      <w:proofErr w:type="spellStart"/>
      <w:r w:rsidR="003F3D5F" w:rsidRPr="00524677">
        <w:rPr>
          <w:rFonts w:ascii="Times New Roman" w:hAnsi="Times New Roman" w:cs="Times New Roman"/>
        </w:rPr>
        <w:t>Luenberger</w:t>
      </w:r>
      <w:proofErr w:type="spellEnd"/>
      <w:r w:rsidR="003F3D5F" w:rsidRPr="00524677">
        <w:rPr>
          <w:rFonts w:ascii="Times New Roman" w:hAnsi="Times New Roman" w:cs="Times New Roman"/>
        </w:rPr>
        <w:t>, apprentissage récurrent) qui réconcilie en permanence l’état estimé du modèle et les mesures.</w:t>
      </w:r>
    </w:p>
    <w:p w14:paraId="117A8B1D" w14:textId="77777777" w:rsidR="00052612" w:rsidRPr="00524677" w:rsidRDefault="003F3D5F" w:rsidP="00F763E2">
      <w:pPr>
        <w:pStyle w:val="CaptionedFigure"/>
        <w:spacing w:line="360" w:lineRule="auto"/>
        <w:jc w:val="both"/>
        <w:rPr>
          <w:rFonts w:ascii="Times New Roman" w:hAnsi="Times New Roman" w:cs="Times New Roman"/>
        </w:rPr>
      </w:pPr>
      <w:r w:rsidRPr="00524677">
        <w:rPr>
          <w:rFonts w:ascii="Times New Roman" w:hAnsi="Times New Roman" w:cs="Times New Roman"/>
          <w:noProof/>
        </w:rPr>
        <w:drawing>
          <wp:inline distT="0" distB="0" distL="0" distR="0" wp14:anchorId="48D1DF5B" wp14:editId="3672946E">
            <wp:extent cx="5334000" cy="2498244"/>
            <wp:effectExtent l="0" t="0" r="0" b="0"/>
            <wp:docPr id="6" name="Picture" descr="Figure I-6. Architecture conceptuelle d’un jumeau numérique appliqué à une boucle de balisage"/>
            <wp:cNvGraphicFramePr/>
            <a:graphic xmlns:a="http://schemas.openxmlformats.org/drawingml/2006/main">
              <a:graphicData uri="http://schemas.openxmlformats.org/drawingml/2006/picture">
                <pic:pic xmlns:pic="http://schemas.openxmlformats.org/drawingml/2006/picture">
                  <pic:nvPicPr>
                    <pic:cNvPr id="0" name="Picture" descr="assets_c1/fig1_6_digital_twin.png"/>
                    <pic:cNvPicPr>
                      <a:picLocks noChangeAspect="1" noChangeArrowheads="1"/>
                    </pic:cNvPicPr>
                  </pic:nvPicPr>
                  <pic:blipFill>
                    <a:blip r:embed="rId16"/>
                    <a:stretch>
                      <a:fillRect/>
                    </a:stretch>
                  </pic:blipFill>
                  <pic:spPr bwMode="auto">
                    <a:xfrm>
                      <a:off x="0" y="0"/>
                      <a:ext cx="5334000" cy="2498244"/>
                    </a:xfrm>
                    <a:prstGeom prst="rect">
                      <a:avLst/>
                    </a:prstGeom>
                    <a:noFill/>
                    <a:ln w="9525">
                      <a:noFill/>
                      <a:headEnd/>
                      <a:tailEnd/>
                    </a:ln>
                  </pic:spPr>
                </pic:pic>
              </a:graphicData>
            </a:graphic>
          </wp:inline>
        </w:drawing>
      </w:r>
    </w:p>
    <w:p w14:paraId="25379F52" w14:textId="23BE41EC" w:rsidR="00052612" w:rsidRPr="00524677" w:rsidRDefault="003F3D5F" w:rsidP="00F763E2">
      <w:pPr>
        <w:pStyle w:val="ImageCaption"/>
        <w:spacing w:line="360" w:lineRule="auto"/>
        <w:jc w:val="both"/>
        <w:rPr>
          <w:rFonts w:ascii="Times New Roman" w:hAnsi="Times New Roman" w:cs="Times New Roman"/>
        </w:rPr>
      </w:pPr>
      <w:r w:rsidRPr="00524677">
        <w:rPr>
          <w:rFonts w:ascii="Times New Roman" w:hAnsi="Times New Roman" w:cs="Times New Roman"/>
        </w:rPr>
        <w:t xml:space="preserve">Figure </w:t>
      </w:r>
      <w:r w:rsidR="00BB6D8A">
        <w:rPr>
          <w:rFonts w:ascii="Times New Roman" w:hAnsi="Times New Roman" w:cs="Times New Roman"/>
        </w:rPr>
        <w:t>I</w:t>
      </w:r>
      <w:r w:rsidRPr="00524677">
        <w:rPr>
          <w:rFonts w:ascii="Times New Roman" w:hAnsi="Times New Roman" w:cs="Times New Roman"/>
        </w:rPr>
        <w:t>I-6. Architecture conceptuelle d’un jumeau numérique appliqué à une boucle de balisage</w:t>
      </w:r>
    </w:p>
    <w:p w14:paraId="61E7C0B6" w14:textId="54F3C5A9" w:rsidR="00052612" w:rsidRPr="00524677" w:rsidRDefault="003F3D5F" w:rsidP="00F763E2">
      <w:pPr>
        <w:pStyle w:val="Heading3"/>
        <w:spacing w:line="360" w:lineRule="auto"/>
        <w:jc w:val="both"/>
        <w:rPr>
          <w:rFonts w:ascii="Times New Roman" w:hAnsi="Times New Roman" w:cs="Times New Roman"/>
          <w:color w:val="auto"/>
        </w:rPr>
      </w:pPr>
      <w:bookmarkStart w:id="55" w:name="X42961f7f9a9bda7d0b0ef5415a222404ce105cf"/>
      <w:bookmarkStart w:id="56" w:name="_Toc229131330"/>
      <w:r w:rsidRPr="00524677">
        <w:rPr>
          <w:rFonts w:ascii="Times New Roman" w:hAnsi="Times New Roman" w:cs="Times New Roman"/>
          <w:color w:val="auto"/>
        </w:rPr>
        <w:t>I</w:t>
      </w:r>
      <w:r w:rsidR="00BB6D8A">
        <w:rPr>
          <w:rFonts w:ascii="Times New Roman" w:hAnsi="Times New Roman" w:cs="Times New Roman"/>
          <w:color w:val="auto"/>
        </w:rPr>
        <w:t>I</w:t>
      </w:r>
      <w:r w:rsidRPr="00524677">
        <w:rPr>
          <w:rFonts w:ascii="Times New Roman" w:hAnsi="Times New Roman" w:cs="Times New Roman"/>
          <w:color w:val="auto"/>
        </w:rPr>
        <w:t xml:space="preserve">.7.2. Observateur d’état et filtre de </w:t>
      </w:r>
      <w:proofErr w:type="spellStart"/>
      <w:r w:rsidRPr="00524677">
        <w:rPr>
          <w:rFonts w:ascii="Times New Roman" w:hAnsi="Times New Roman" w:cs="Times New Roman"/>
          <w:color w:val="auto"/>
        </w:rPr>
        <w:t>Kalman</w:t>
      </w:r>
      <w:bookmarkEnd w:id="55"/>
      <w:bookmarkEnd w:id="56"/>
      <w:proofErr w:type="spellEnd"/>
    </w:p>
    <w:p w14:paraId="12D9019A" w14:textId="77777777" w:rsidR="00052612" w:rsidRPr="00524677" w:rsidRDefault="003F3D5F" w:rsidP="006277DE">
      <w:pPr>
        <w:pStyle w:val="FirstParagraph"/>
      </w:pPr>
      <w:r w:rsidRPr="00524677">
        <w:t xml:space="preserve">Sous forme discrète, l’état du système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524677">
        <w:t xml:space="preserve"> (vecteur regroupant courants, tensions, température, résistance d’isolement effective) évolue selon :</w:t>
      </w:r>
    </w:p>
    <w:p w14:paraId="2A1F319C" w14:textId="26F2D6D0" w:rsidR="00052612" w:rsidRPr="00524677" w:rsidRDefault="004E66EE" w:rsidP="00F763E2">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k+1</m:t>
              </m:r>
            </m:sub>
          </m:sSub>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k</m:t>
              </m:r>
            </m:sub>
          </m:sSub>
          <m:r>
            <w:rPr>
              <w:rFonts w:ascii="Cambria Math" w:hAnsi="Cambria Math" w:cs="Times New Roman"/>
            </w:rPr>
            <m:t>=h(</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m:t>
              </m:r>
            </m:sub>
          </m:sSub>
          <m:r>
            <w:rPr>
              <w:rFonts w:ascii="Cambria Math" w:hAnsi="Cambria Math" w:cs="Times New Roman"/>
            </w:rPr>
            <m:t>  (</m:t>
          </m:r>
          <m:r>
            <m:rPr>
              <m:sty m:val="p"/>
            </m:rPr>
            <w:rPr>
              <w:rFonts w:ascii="Cambria Math" w:hAnsi="Cambria Math" w:cs="Times New Roman"/>
            </w:rPr>
            <m:t>II.10</m:t>
          </m:r>
          <m:r>
            <w:rPr>
              <w:rFonts w:ascii="Cambria Math" w:hAnsi="Cambria Math" w:cs="Times New Roman"/>
            </w:rPr>
            <m:t>)</m:t>
          </m:r>
        </m:oMath>
      </m:oMathPara>
    </w:p>
    <w:p w14:paraId="09BEFE26" w14:textId="24876683" w:rsidR="00052612" w:rsidRPr="00524677" w:rsidRDefault="006A3D00" w:rsidP="006277DE">
      <w:pPr>
        <w:pStyle w:val="FirstParagraph"/>
      </w:pPr>
      <w:r w:rsidRPr="00524677">
        <w:t>Avec</w:t>
      </w:r>
      <w:r w:rsidR="003F3D5F" w:rsidRPr="00524677">
        <w:t xml:space="preserve"> </w:t>
      </w:r>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r>
          <m:rPr>
            <m:scr m:val="script"/>
            <m:sty m:val="p"/>
          </m:rPr>
          <w:rPr>
            <w:rFonts w:ascii="Cambria Math" w:hAnsi="Cambria Math"/>
          </w:rPr>
          <m:t>N</m:t>
        </m:r>
        <m:r>
          <w:rPr>
            <w:rFonts w:ascii="Cambria Math" w:hAnsi="Cambria Math"/>
          </w:rPr>
          <m:t>(0,Q)</m:t>
        </m:r>
      </m:oMath>
      <w:r w:rsidR="003F3D5F" w:rsidRPr="00524677">
        <w:t xml:space="preserve"> et </w:t>
      </w:r>
      <m:oMath>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r>
          <m:rPr>
            <m:scr m:val="script"/>
            <m:sty m:val="p"/>
          </m:rPr>
          <w:rPr>
            <w:rFonts w:ascii="Cambria Math" w:hAnsi="Cambria Math"/>
          </w:rPr>
          <m:t>N</m:t>
        </m:r>
        <m:r>
          <w:rPr>
            <w:rFonts w:ascii="Cambria Math" w:hAnsi="Cambria Math"/>
          </w:rPr>
          <m:t>(0,R)</m:t>
        </m:r>
      </m:oMath>
      <w:r w:rsidR="003F3D5F" w:rsidRPr="00524677">
        <w:t xml:space="preserve">. Le filtre de Kalman étendu (EKF) estime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sub>
        </m:sSub>
      </m:oMath>
      <w:r w:rsidR="003F3D5F" w:rsidRPr="00524677">
        <w:t xml:space="preserve"> en alternant prédiction par le modèle et correction par l’innovation de mesure. Les </w:t>
      </w:r>
      <w:r w:rsidR="003F3D5F" w:rsidRPr="00524677">
        <w:rPr>
          <w:b/>
        </w:rPr>
        <w:t>résidus</w:t>
      </w:r>
      <w:r w:rsidR="003F3D5F" w:rsidRPr="00524677">
        <w:t xml:space="preserve"> </w:t>
      </w:r>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-h(</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sub>
        </m:sSub>
        <m:r>
          <w:rPr>
            <w:rFonts w:ascii="Cambria Math" w:hAnsi="Cambria Math"/>
          </w:rPr>
          <m:t>)</m:t>
        </m:r>
      </m:oMath>
      <w:r w:rsidR="003F3D5F" w:rsidRPr="00524677">
        <w:t xml:space="preserve"> constituent un </w:t>
      </w:r>
      <w:r w:rsidR="003F3D5F" w:rsidRPr="00524677">
        <w:rPr>
          <w:b/>
        </w:rPr>
        <w:t>détecteur de défaut naturel</w:t>
      </w:r>
      <w:r w:rsidR="003F3D5F" w:rsidRPr="00524677">
        <w:t xml:space="preserve"> : un écart significatif entre modèle et mesure signale une anomalie.</w:t>
      </w:r>
    </w:p>
    <w:p w14:paraId="7F28AE6D" w14:textId="4D27AB0D" w:rsidR="00052612" w:rsidRPr="00524677" w:rsidRDefault="00BB6D8A" w:rsidP="00F763E2">
      <w:pPr>
        <w:pStyle w:val="Heading3"/>
        <w:spacing w:line="360" w:lineRule="auto"/>
        <w:jc w:val="both"/>
        <w:rPr>
          <w:rFonts w:ascii="Times New Roman" w:hAnsi="Times New Roman" w:cs="Times New Roman"/>
          <w:color w:val="auto"/>
        </w:rPr>
      </w:pPr>
      <w:bookmarkStart w:id="57" w:name="X67f5d420d7d3446259d3ce58243b78741a2fb95"/>
      <w:bookmarkStart w:id="58" w:name="_Toc229131331"/>
      <w:r>
        <w:rPr>
          <w:rFonts w:ascii="Times New Roman" w:hAnsi="Times New Roman" w:cs="Times New Roman"/>
          <w:color w:val="auto"/>
        </w:rPr>
        <w:lastRenderedPageBreak/>
        <w:t>I</w:t>
      </w:r>
      <w:r w:rsidR="003F3D5F" w:rsidRPr="00524677">
        <w:rPr>
          <w:rFonts w:ascii="Times New Roman" w:hAnsi="Times New Roman" w:cs="Times New Roman"/>
          <w:color w:val="auto"/>
        </w:rPr>
        <w:t>I.7.3. Réseaux de neurones à physique informée (PINN)</w:t>
      </w:r>
      <w:bookmarkEnd w:id="57"/>
      <w:bookmarkEnd w:id="58"/>
    </w:p>
    <w:p w14:paraId="56B87565" w14:textId="77777777" w:rsidR="00052612" w:rsidRPr="00524677" w:rsidRDefault="003F3D5F" w:rsidP="006277DE">
      <w:pPr>
        <w:pStyle w:val="FirstParagraph"/>
      </w:pPr>
      <w:r w:rsidRPr="00524677">
        <w:t xml:space="preserve">Une tendance récente consiste à </w:t>
      </w:r>
      <w:r w:rsidRPr="00524677">
        <w:rPr>
          <w:b/>
        </w:rPr>
        <w:t>injecter les équations physiques dans la fonction de coût d’un réseau de neurones</w:t>
      </w:r>
      <w:r w:rsidRPr="00524677">
        <w:t>. La perte d’entraînement d’un PINN combine un terme données et un terme résiduel physique :</w:t>
      </w:r>
    </w:p>
    <w:p w14:paraId="7D7C8FCF" w14:textId="05D9E220" w:rsidR="00052612" w:rsidRPr="00524677" w:rsidRDefault="003F3D5F" w:rsidP="00F763E2">
      <w:pPr>
        <w:pStyle w:val="BodyText"/>
        <w:spacing w:line="360" w:lineRule="auto"/>
        <w:jc w:val="both"/>
        <w:rPr>
          <w:rFonts w:ascii="Times New Roman" w:hAnsi="Times New Roman" w:cs="Times New Roman"/>
        </w:rPr>
      </w:pPr>
      <m:oMathPara>
        <m:oMathParaPr>
          <m:jc m:val="center"/>
        </m:oMathParaPr>
        <m:oMath>
          <m:r>
            <m:rPr>
              <m:scr m:val="script"/>
              <m:sty m:val="p"/>
            </m:rPr>
            <w:rPr>
              <w:rFonts w:ascii="Cambria Math" w:hAnsi="Cambria Math" w:cs="Times New Roman"/>
            </w:rPr>
            <m:t>L</m:t>
          </m:r>
          <m:r>
            <w:rPr>
              <w:rFonts w:ascii="Cambria Math" w:hAnsi="Cambria Math" w:cs="Times New Roman"/>
            </w:rPr>
            <m:t> = </m:t>
          </m:r>
          <m:limLow>
            <m:limLowPr>
              <m:ctrlPr>
                <w:rPr>
                  <w:rFonts w:ascii="Cambria Math" w:hAnsi="Cambria Math" w:cs="Times New Roman"/>
                </w:rPr>
              </m:ctrlPr>
            </m:limLowPr>
            <m:e>
              <m:limLow>
                <m:limLowPr>
                  <m:ctrlPr>
                    <w:rPr>
                      <w:rFonts w:ascii="Cambria Math" w:hAnsi="Cambria Math" w:cs="Times New Roman"/>
                    </w:rPr>
                  </m:ctrlPr>
                </m:limLowPr>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d</m:t>
                          </m:r>
                        </m:sub>
                      </m:sSub>
                    </m:den>
                  </m:f>
                  <m:nary>
                    <m:naryPr>
                      <m:chr m:val="∑"/>
                      <m:limLoc m:val="undOvr"/>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d</m:t>
                          </m:r>
                        </m:sub>
                      </m:sSub>
                    </m:sup>
                    <m:e>
                      <m:r>
                        <w:rPr>
                          <w:rFonts w:ascii="Cambria Math" w:hAnsi="Cambria Math" w:cs="Times New Roman"/>
                        </w:rPr>
                        <m:t>∥</m:t>
                      </m:r>
                    </m:e>
                  </m:nary>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lim>
                  <m:r>
                    <w:rPr>
                      <w:rFonts w:ascii="Cambria Math" w:hAnsi="Cambria Math" w:cs="Times New Roman"/>
                    </w:rPr>
                    <m:t>⏟</m:t>
                  </m:r>
                </m:lim>
              </m:limLow>
            </m:e>
            <m:lim>
              <m:r>
                <m:rPr>
                  <m:nor/>
                </m:rPr>
                <w:rPr>
                  <w:rFonts w:ascii="Times New Roman" w:hAnsi="Times New Roman" w:cs="Times New Roman"/>
                </w:rPr>
                <m:t>données</m:t>
              </m:r>
            </m:lim>
          </m:limLow>
          <m:r>
            <w:rPr>
              <w:rFonts w:ascii="Cambria Math" w:hAnsi="Cambria Math" w:cs="Times New Roman"/>
            </w:rPr>
            <m:t>+λ</m:t>
          </m:r>
          <m:limLow>
            <m:limLowPr>
              <m:ctrlPr>
                <w:rPr>
                  <w:rFonts w:ascii="Cambria Math" w:hAnsi="Cambria Math" w:cs="Times New Roman"/>
                </w:rPr>
              </m:ctrlPr>
            </m:limLowPr>
            <m:e>
              <m:limLow>
                <m:limLowPr>
                  <m:ctrlPr>
                    <w:rPr>
                      <w:rFonts w:ascii="Cambria Math" w:hAnsi="Cambria Math" w:cs="Times New Roman"/>
                    </w:rPr>
                  </m:ctrlPr>
                </m:limLowPr>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en>
                  </m:f>
                  <m:nary>
                    <m:naryPr>
                      <m:chr m:val="∑"/>
                      <m:limLoc m:val="undOvr"/>
                      <m:ctrlPr>
                        <w:rPr>
                          <w:rFonts w:ascii="Cambria Math" w:hAnsi="Cambria Math" w:cs="Times New Roman"/>
                        </w:rPr>
                      </m:ctrlPr>
                    </m:naryPr>
                    <m:sub>
                      <m:r>
                        <w:rPr>
                          <w:rFonts w:ascii="Cambria Math" w:hAnsi="Cambria Math" w:cs="Times New Roman"/>
                        </w:rPr>
                        <m:t>j=1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sup>
                    <m:e>
                      <m:r>
                        <w:rPr>
                          <w:rFonts w:ascii="Cambria Math" w:hAnsi="Cambria Math" w:cs="Times New Roman"/>
                        </w:rPr>
                        <m:t>∥</m:t>
                      </m:r>
                    </m:e>
                  </m:nary>
                  <m:r>
                    <m:rPr>
                      <m:scr m:val="script"/>
                      <m:sty m:val="p"/>
                    </m:rPr>
                    <w:rPr>
                      <w:rFonts w:ascii="Cambria Math" w:hAnsi="Cambria Math" w:cs="Times New Roman"/>
                    </w:rPr>
                    <m:t>F</m:t>
                  </m:r>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lim>
                  <m:r>
                    <w:rPr>
                      <w:rFonts w:ascii="Cambria Math" w:hAnsi="Cambria Math" w:cs="Times New Roman"/>
                    </w:rPr>
                    <m:t>⏟</m:t>
                  </m:r>
                </m:lim>
              </m:limLow>
            </m:e>
            <m:lim>
              <m:r>
                <m:rPr>
                  <m:nor/>
                </m:rPr>
                <w:rPr>
                  <w:rFonts w:ascii="Times New Roman" w:hAnsi="Times New Roman" w:cs="Times New Roman"/>
                </w:rPr>
                <m:t>résidu physique</m:t>
              </m:r>
            </m:lim>
          </m:limLow>
          <m:r>
            <w:rPr>
              <w:rFonts w:ascii="Cambria Math" w:hAnsi="Cambria Math" w:cs="Times New Roman"/>
            </w:rPr>
            <m:t>  (</m:t>
          </m:r>
          <m:r>
            <m:rPr>
              <m:sty m:val="p"/>
            </m:rPr>
            <w:rPr>
              <w:rFonts w:ascii="Cambria Math" w:hAnsi="Cambria Math" w:cs="Times New Roman"/>
            </w:rPr>
            <m:t>II.11</m:t>
          </m:r>
          <m:r>
            <w:rPr>
              <w:rFonts w:ascii="Cambria Math" w:hAnsi="Cambria Math" w:cs="Times New Roman"/>
            </w:rPr>
            <m:t>)</m:t>
          </m:r>
        </m:oMath>
      </m:oMathPara>
    </w:p>
    <w:p w14:paraId="2EA5FC86" w14:textId="52A24F1C" w:rsidR="00052612" w:rsidRPr="00524677" w:rsidRDefault="001E072E" w:rsidP="006277DE">
      <w:pPr>
        <w:pStyle w:val="FirstParagraph"/>
      </w:pPr>
      <w:r w:rsidRPr="00524677">
        <w:t>Où</w:t>
      </w:r>
      <w:r w:rsidR="003F3D5F" w:rsidRPr="00524677">
        <w:t xml:space="preserve"> </w:t>
      </w:r>
      <m:oMath>
        <m:r>
          <m:rPr>
            <m:scr m:val="script"/>
            <m:sty m:val="p"/>
          </m:rPr>
          <w:rPr>
            <w:rFonts w:ascii="Cambria Math" w:hAnsi="Cambria Math"/>
          </w:rPr>
          <m:t>F</m:t>
        </m:r>
        <m:r>
          <w:rPr>
            <w:rFonts w:ascii="Cambria Math" w:hAnsi="Cambria Math"/>
          </w:rPr>
          <m:t>(⋅)</m:t>
        </m:r>
      </m:oMath>
      <w:r w:rsidR="003F3D5F" w:rsidRPr="00524677">
        <w:t xml:space="preserve"> représente l’opérateur différentiel du modèle (équations télégraphistes, équ</w:t>
      </w:r>
      <w:proofErr w:type="spellStart"/>
      <w:r w:rsidR="003F3D5F" w:rsidRPr="00524677">
        <w:t>ation</w:t>
      </w:r>
      <w:proofErr w:type="spellEnd"/>
      <w:r w:rsidR="003F3D5F" w:rsidRPr="00524677">
        <w:t xml:space="preserve"> de la chaleur dans le câble). Les PINN étendent aux cas où on dispose de peu de données mais d’un modèle physique partiel (</w:t>
      </w:r>
      <w:proofErr w:type="spellStart"/>
      <w:r w:rsidR="003F3D5F" w:rsidRPr="00524677">
        <w:t>Nellikkath</w:t>
      </w:r>
      <w:proofErr w:type="spellEnd"/>
      <w:r w:rsidR="003F3D5F" w:rsidRPr="00524677">
        <w:t xml:space="preserve"> &amp; </w:t>
      </w:r>
      <w:proofErr w:type="spellStart"/>
      <w:r w:rsidR="003F3D5F" w:rsidRPr="00524677">
        <w:t>Chatzivasileiadis</w:t>
      </w:r>
      <w:proofErr w:type="spellEnd"/>
      <w:r w:rsidR="003F3D5F" w:rsidRPr="00524677">
        <w:t>, 2022).</w:t>
      </w:r>
    </w:p>
    <w:p w14:paraId="30D57221" w14:textId="12C49548" w:rsidR="00052612" w:rsidRPr="00524677" w:rsidRDefault="003F3D5F" w:rsidP="00F763E2">
      <w:pPr>
        <w:pStyle w:val="Heading3"/>
        <w:spacing w:line="360" w:lineRule="auto"/>
        <w:jc w:val="both"/>
        <w:rPr>
          <w:rFonts w:ascii="Times New Roman" w:hAnsi="Times New Roman" w:cs="Times New Roman"/>
          <w:color w:val="auto"/>
        </w:rPr>
      </w:pPr>
      <w:bookmarkStart w:id="59" w:name="i.7.4.-tradeoffs"/>
      <w:bookmarkStart w:id="60" w:name="_Toc229131332"/>
      <w:r w:rsidRPr="00524677">
        <w:rPr>
          <w:rFonts w:ascii="Times New Roman" w:hAnsi="Times New Roman" w:cs="Times New Roman"/>
          <w:color w:val="auto"/>
        </w:rPr>
        <w:t>I</w:t>
      </w:r>
      <w:r w:rsidR="00BB6D8A">
        <w:rPr>
          <w:rFonts w:ascii="Times New Roman" w:hAnsi="Times New Roman" w:cs="Times New Roman"/>
          <w:color w:val="auto"/>
        </w:rPr>
        <w:t>I</w:t>
      </w:r>
      <w:r w:rsidRPr="00524677">
        <w:rPr>
          <w:rFonts w:ascii="Times New Roman" w:hAnsi="Times New Roman" w:cs="Times New Roman"/>
          <w:color w:val="auto"/>
        </w:rPr>
        <w:t xml:space="preserve">.7.4. </w:t>
      </w:r>
      <w:proofErr w:type="spellStart"/>
      <w:r w:rsidRPr="00524677">
        <w:rPr>
          <w:rFonts w:ascii="Times New Roman" w:hAnsi="Times New Roman" w:cs="Times New Roman"/>
          <w:color w:val="auto"/>
        </w:rPr>
        <w:t>Tradeoffs</w:t>
      </w:r>
      <w:bookmarkEnd w:id="59"/>
      <w:bookmarkEnd w:id="60"/>
      <w:proofErr w:type="spellEnd"/>
    </w:p>
    <w:p w14:paraId="0788207A" w14:textId="77777777" w:rsidR="00052612" w:rsidRPr="00524677" w:rsidRDefault="003F3D5F" w:rsidP="006277DE">
      <w:pPr>
        <w:pStyle w:val="FirstParagraph"/>
      </w:pPr>
      <w:r w:rsidRPr="00524677">
        <w:rPr>
          <w:b/>
        </w:rPr>
        <w:t>Avantages.</w:t>
      </w:r>
      <w:r w:rsidRPr="00524677">
        <w:t xml:space="preserve"> Un jumeau numérique bien calibré permet (i) une </w:t>
      </w:r>
      <w:r w:rsidRPr="00524677">
        <w:rPr>
          <w:b/>
        </w:rPr>
        <w:t>détection précoce</w:t>
      </w:r>
      <w:r w:rsidRPr="00524677">
        <w:t xml:space="preserve"> via surveillance continue des résidus, (ii) </w:t>
      </w:r>
      <w:commentRangeStart w:id="61"/>
      <w:r w:rsidRPr="00524677">
        <w:t xml:space="preserve">une </w:t>
      </w:r>
      <w:r w:rsidRPr="00524677">
        <w:rPr>
          <w:b/>
        </w:rPr>
        <w:t>localisation</w:t>
      </w:r>
      <w:r w:rsidRPr="00524677">
        <w:t xml:space="preserve"> via reconstruction de l’état réparti</w:t>
      </w:r>
      <w:commentRangeEnd w:id="61"/>
      <w:r w:rsidR="00B92F47">
        <w:rPr>
          <w:rStyle w:val="CommentReference"/>
        </w:rPr>
        <w:commentReference w:id="61"/>
      </w:r>
      <w:r w:rsidRPr="00524677">
        <w:t xml:space="preserve">, (iii) une </w:t>
      </w:r>
      <w:r w:rsidRPr="00524677">
        <w:rPr>
          <w:b/>
        </w:rPr>
        <w:t>simulation prédictive</w:t>
      </w:r>
      <w:r w:rsidRPr="00524677">
        <w:t xml:space="preserve"> pour planifier les interventions.</w:t>
      </w:r>
    </w:p>
    <w:p w14:paraId="0C529C8C"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b/>
        </w:rPr>
        <w:t>Limites.</w:t>
      </w:r>
      <w:r w:rsidRPr="00524677">
        <w:rPr>
          <w:rFonts w:ascii="Times New Roman" w:hAnsi="Times New Roman" w:cs="Times New Roman"/>
        </w:rPr>
        <w:t xml:space="preserve"> La </w:t>
      </w:r>
      <w:r w:rsidRPr="00524677">
        <w:rPr>
          <w:rFonts w:ascii="Times New Roman" w:hAnsi="Times New Roman" w:cs="Times New Roman"/>
          <w:b/>
        </w:rPr>
        <w:t>calibration</w:t>
      </w:r>
      <w:r w:rsidRPr="00524677">
        <w:rPr>
          <w:rFonts w:ascii="Times New Roman" w:hAnsi="Times New Roman" w:cs="Times New Roman"/>
        </w:rPr>
        <w:t xml:space="preserve"> du modèle à chaque boucle réelle représente un effort d’ingénierie important ; la précision de localisation dépend de la finesse de discrétisation spatiale ; la maturité industrielle reste faible en balisage (aucun produit commercial à notre connaissance au 2ᵉ trimestre 2026).</w:t>
      </w:r>
    </w:p>
    <w:p w14:paraId="584C717D" w14:textId="1A9FB2B7" w:rsidR="00052612" w:rsidRPr="00524677" w:rsidRDefault="00BB6D8A" w:rsidP="006277DE">
      <w:pPr>
        <w:pStyle w:val="Heading2"/>
      </w:pPr>
      <w:bookmarkStart w:id="62" w:name="i.8.-synthèse-comparative"/>
      <w:bookmarkStart w:id="63" w:name="_Toc229131333"/>
      <w:r>
        <w:t>I</w:t>
      </w:r>
      <w:r w:rsidR="003F3D5F" w:rsidRPr="00524677">
        <w:t>I.8. Synthèse comparative</w:t>
      </w:r>
      <w:bookmarkEnd w:id="62"/>
      <w:bookmarkEnd w:id="63"/>
    </w:p>
    <w:p w14:paraId="07AA9EF5" w14:textId="7B97DBDC" w:rsidR="00052612" w:rsidRPr="00524677" w:rsidRDefault="003F3D5F" w:rsidP="006277DE">
      <w:pPr>
        <w:pStyle w:val="FirstParagraph"/>
      </w:pPr>
      <w:r w:rsidRPr="00524677">
        <w:t xml:space="preserve">La </w:t>
      </w:r>
      <w:r w:rsidRPr="00524677">
        <w:rPr>
          <w:b/>
        </w:rPr>
        <w:t xml:space="preserve">Figure </w:t>
      </w:r>
      <w:r w:rsidR="00BB6D8A">
        <w:rPr>
          <w:b/>
        </w:rPr>
        <w:t>I</w:t>
      </w:r>
      <w:r w:rsidRPr="00524677">
        <w:rPr>
          <w:b/>
        </w:rPr>
        <w:t>I-7</w:t>
      </w:r>
      <w:r w:rsidRPr="00524677">
        <w:t xml:space="preserve"> synthétise, sur six axes qualitatifs (détection précoce, localisation, coût de déploiement, absence de coupure, maturité industrielle, adéquation à la série 6,6 A), les cinq grandes familles passées en revue.</w:t>
      </w:r>
    </w:p>
    <w:p w14:paraId="37A0C89D" w14:textId="77777777" w:rsidR="00052612" w:rsidRPr="00524677" w:rsidRDefault="003F3D5F" w:rsidP="00F763E2">
      <w:pPr>
        <w:pStyle w:val="CaptionedFigure"/>
        <w:spacing w:line="360" w:lineRule="auto"/>
        <w:jc w:val="both"/>
        <w:rPr>
          <w:rFonts w:ascii="Times New Roman" w:hAnsi="Times New Roman" w:cs="Times New Roman"/>
        </w:rPr>
      </w:pPr>
      <w:r w:rsidRPr="00524677">
        <w:rPr>
          <w:rFonts w:ascii="Times New Roman" w:hAnsi="Times New Roman" w:cs="Times New Roman"/>
          <w:noProof/>
        </w:rPr>
        <w:lastRenderedPageBreak/>
        <w:drawing>
          <wp:inline distT="0" distB="0" distL="0" distR="0" wp14:anchorId="64B508CA" wp14:editId="101F1C81">
            <wp:extent cx="5223353" cy="6275539"/>
            <wp:effectExtent l="0" t="0" r="0" b="0"/>
            <wp:docPr id="7" name="Picture" descr="Figure I-7. Radar comparatif des familles de solutions"/>
            <wp:cNvGraphicFramePr/>
            <a:graphic xmlns:a="http://schemas.openxmlformats.org/drawingml/2006/main">
              <a:graphicData uri="http://schemas.openxmlformats.org/drawingml/2006/picture">
                <pic:pic xmlns:pic="http://schemas.openxmlformats.org/drawingml/2006/picture">
                  <pic:nvPicPr>
                    <pic:cNvPr id="0" name="Picture" descr="assets_c1/fig1_7_radar_tradeoffs.png"/>
                    <pic:cNvPicPr>
                      <a:picLocks noChangeAspect="1" noChangeArrowheads="1"/>
                    </pic:cNvPicPr>
                  </pic:nvPicPr>
                  <pic:blipFill>
                    <a:blip r:embed="rId17"/>
                    <a:stretch>
                      <a:fillRect/>
                    </a:stretch>
                  </pic:blipFill>
                  <pic:spPr bwMode="auto">
                    <a:xfrm>
                      <a:off x="0" y="0"/>
                      <a:ext cx="5223353" cy="6275539"/>
                    </a:xfrm>
                    <a:prstGeom prst="rect">
                      <a:avLst/>
                    </a:prstGeom>
                    <a:noFill/>
                    <a:ln w="9525">
                      <a:noFill/>
                      <a:headEnd/>
                      <a:tailEnd/>
                    </a:ln>
                  </pic:spPr>
                </pic:pic>
              </a:graphicData>
            </a:graphic>
          </wp:inline>
        </w:drawing>
      </w:r>
    </w:p>
    <w:p w14:paraId="2E3CFDF0" w14:textId="5B1C55B7" w:rsidR="00052612" w:rsidRPr="00524677" w:rsidRDefault="003F3D5F" w:rsidP="00F763E2">
      <w:pPr>
        <w:pStyle w:val="ImageCaption"/>
        <w:spacing w:line="360" w:lineRule="auto"/>
        <w:jc w:val="both"/>
        <w:rPr>
          <w:rFonts w:ascii="Times New Roman" w:hAnsi="Times New Roman" w:cs="Times New Roman"/>
        </w:rPr>
      </w:pPr>
      <w:r w:rsidRPr="00524677">
        <w:rPr>
          <w:rFonts w:ascii="Times New Roman" w:hAnsi="Times New Roman" w:cs="Times New Roman"/>
        </w:rPr>
        <w:t>Figure I</w:t>
      </w:r>
      <w:r w:rsidR="00BB6D8A">
        <w:rPr>
          <w:rFonts w:ascii="Times New Roman" w:hAnsi="Times New Roman" w:cs="Times New Roman"/>
        </w:rPr>
        <w:t>I</w:t>
      </w:r>
      <w:r w:rsidRPr="00524677">
        <w:rPr>
          <w:rFonts w:ascii="Times New Roman" w:hAnsi="Times New Roman" w:cs="Times New Roman"/>
        </w:rPr>
        <w:t>-7. Radar comparatif des familles de solutions</w:t>
      </w:r>
    </w:p>
    <w:p w14:paraId="74E69DED" w14:textId="77777777" w:rsidR="00052612" w:rsidRPr="00524677" w:rsidRDefault="003F3D5F" w:rsidP="00F763E2">
      <w:pPr>
        <w:pStyle w:val="BodyText"/>
        <w:spacing w:line="360" w:lineRule="auto"/>
        <w:jc w:val="both"/>
        <w:rPr>
          <w:rFonts w:ascii="Times New Roman" w:hAnsi="Times New Roman" w:cs="Times New Roman"/>
        </w:rPr>
      </w:pPr>
      <w:r w:rsidRPr="00524677">
        <w:rPr>
          <w:rFonts w:ascii="Times New Roman" w:hAnsi="Times New Roman" w:cs="Times New Roman"/>
        </w:rPr>
        <w:t>La lecture de ce radar permet d’énoncer quatre constats :</w:t>
      </w:r>
    </w:p>
    <w:p w14:paraId="4E4580B6" w14:textId="77777777" w:rsidR="00052612" w:rsidRPr="00524677" w:rsidRDefault="003F3D5F" w:rsidP="00F763E2">
      <w:pPr>
        <w:pStyle w:val="Compact"/>
        <w:numPr>
          <w:ilvl w:val="0"/>
          <w:numId w:val="10"/>
        </w:numPr>
        <w:spacing w:line="360" w:lineRule="auto"/>
        <w:jc w:val="both"/>
        <w:rPr>
          <w:rFonts w:ascii="Times New Roman" w:hAnsi="Times New Roman" w:cs="Times New Roman"/>
        </w:rPr>
      </w:pPr>
      <w:r w:rsidRPr="00524677">
        <w:rPr>
          <w:rFonts w:ascii="Times New Roman" w:hAnsi="Times New Roman" w:cs="Times New Roman"/>
          <w:b/>
        </w:rPr>
        <w:t>Aucune famille ne domine à elle seule</w:t>
      </w:r>
      <w:r w:rsidRPr="00524677">
        <w:rPr>
          <w:rFonts w:ascii="Times New Roman" w:hAnsi="Times New Roman" w:cs="Times New Roman"/>
        </w:rPr>
        <w:t xml:space="preserve"> les six critères. L’EFD règne sur la maturité et l’absence de coupure mais échoue sur la localisation ; la réflectométrie localise mais au prix de la coupure ; l’apprentissage automatique et le jumeau numérique promettent beaucoup mais sont jeunes en exploitation.</w:t>
      </w:r>
    </w:p>
    <w:p w14:paraId="5B67AA72" w14:textId="77777777" w:rsidR="00052612" w:rsidRPr="00524677" w:rsidRDefault="003F3D5F" w:rsidP="00F763E2">
      <w:pPr>
        <w:pStyle w:val="Compact"/>
        <w:numPr>
          <w:ilvl w:val="0"/>
          <w:numId w:val="10"/>
        </w:numPr>
        <w:spacing w:line="360" w:lineRule="auto"/>
        <w:jc w:val="both"/>
        <w:rPr>
          <w:rFonts w:ascii="Times New Roman" w:hAnsi="Times New Roman" w:cs="Times New Roman"/>
        </w:rPr>
      </w:pPr>
      <w:r w:rsidRPr="00524677">
        <w:rPr>
          <w:rFonts w:ascii="Times New Roman" w:hAnsi="Times New Roman" w:cs="Times New Roman"/>
          <w:b/>
        </w:rPr>
        <w:lastRenderedPageBreak/>
        <w:t>La combinaison EFD + analyse spectrale</w:t>
      </w:r>
      <w:r w:rsidRPr="00524677">
        <w:rPr>
          <w:rFonts w:ascii="Times New Roman" w:hAnsi="Times New Roman" w:cs="Times New Roman"/>
        </w:rPr>
        <w:t xml:space="preserve"> est la voie la plus directe pour améliorer la </w:t>
      </w:r>
      <w:r w:rsidRPr="00524677">
        <w:rPr>
          <w:rFonts w:ascii="Times New Roman" w:hAnsi="Times New Roman" w:cs="Times New Roman"/>
          <w:b/>
        </w:rPr>
        <w:t>détection précoce</w:t>
      </w:r>
      <w:r w:rsidRPr="00524677">
        <w:rPr>
          <w:rFonts w:ascii="Times New Roman" w:hAnsi="Times New Roman" w:cs="Times New Roman"/>
        </w:rPr>
        <w:t xml:space="preserve"> sans changer l’architecture de mesure, à condition d’enrichir le CCR d’une chaîne d’acquisition moyenne fréquence (≥ 10 kHz).</w:t>
      </w:r>
    </w:p>
    <w:p w14:paraId="3302B992" w14:textId="69113DCC" w:rsidR="00052612" w:rsidRPr="00524677" w:rsidRDefault="003F3D5F" w:rsidP="00F763E2">
      <w:pPr>
        <w:pStyle w:val="Compact"/>
        <w:numPr>
          <w:ilvl w:val="0"/>
          <w:numId w:val="10"/>
        </w:numPr>
        <w:spacing w:line="360" w:lineRule="auto"/>
        <w:jc w:val="both"/>
        <w:rPr>
          <w:rFonts w:ascii="Times New Roman" w:hAnsi="Times New Roman" w:cs="Times New Roman"/>
        </w:rPr>
      </w:pPr>
      <w:r w:rsidRPr="00524677">
        <w:rPr>
          <w:rFonts w:ascii="Times New Roman" w:hAnsi="Times New Roman" w:cs="Times New Roman"/>
          <w:b/>
        </w:rPr>
        <w:t>La localisation à source unique</w:t>
      </w:r>
      <w:r w:rsidRPr="00524677">
        <w:rPr>
          <w:rFonts w:ascii="Times New Roman" w:hAnsi="Times New Roman" w:cs="Times New Roman"/>
        </w:rPr>
        <w:t xml:space="preserve"> (§ I</w:t>
      </w:r>
      <w:r w:rsidR="00BB6D8A">
        <w:rPr>
          <w:rFonts w:ascii="Times New Roman" w:hAnsi="Times New Roman" w:cs="Times New Roman"/>
        </w:rPr>
        <w:t>I</w:t>
      </w:r>
      <w:r w:rsidRPr="00524677">
        <w:rPr>
          <w:rFonts w:ascii="Times New Roman" w:hAnsi="Times New Roman" w:cs="Times New Roman"/>
        </w:rPr>
        <w:t xml:space="preserve">.5) est le verrou non résolu pour notre contexte. Les briques existent (modèles </w:t>
      </w:r>
      <w:proofErr w:type="spellStart"/>
      <w:r w:rsidRPr="00524677">
        <w:rPr>
          <w:rFonts w:ascii="Times New Roman" w:hAnsi="Times New Roman" w:cs="Times New Roman"/>
        </w:rPr>
        <w:t>impédants</w:t>
      </w:r>
      <w:proofErr w:type="spellEnd"/>
      <w:r w:rsidRPr="00524677">
        <w:rPr>
          <w:rFonts w:ascii="Times New Roman" w:hAnsi="Times New Roman" w:cs="Times New Roman"/>
        </w:rPr>
        <w:t>, apprentissage sur jumeau) mais leur intégration pour le balisage série 6,6 A reste à démontrer.</w:t>
      </w:r>
    </w:p>
    <w:p w14:paraId="0A95EDEF" w14:textId="77777777" w:rsidR="00052612" w:rsidRPr="00524677" w:rsidRDefault="003F3D5F" w:rsidP="00F763E2">
      <w:pPr>
        <w:pStyle w:val="Compact"/>
        <w:numPr>
          <w:ilvl w:val="0"/>
          <w:numId w:val="10"/>
        </w:numPr>
        <w:spacing w:line="360" w:lineRule="auto"/>
        <w:jc w:val="both"/>
        <w:rPr>
          <w:rFonts w:ascii="Times New Roman" w:hAnsi="Times New Roman" w:cs="Times New Roman"/>
        </w:rPr>
      </w:pPr>
      <w:r w:rsidRPr="00524677">
        <w:rPr>
          <w:rFonts w:ascii="Times New Roman" w:hAnsi="Times New Roman" w:cs="Times New Roman"/>
          <w:b/>
        </w:rPr>
        <w:t>Le coût</w:t>
      </w:r>
      <w:r w:rsidRPr="00524677">
        <w:rPr>
          <w:rFonts w:ascii="Times New Roman" w:hAnsi="Times New Roman" w:cs="Times New Roman"/>
        </w:rPr>
        <w:t xml:space="preserve"> est un axe structurant : toute solution pour ASECNA doit rester compatible avec une </w:t>
      </w:r>
      <w:r w:rsidRPr="00524677">
        <w:rPr>
          <w:rFonts w:ascii="Times New Roman" w:hAnsi="Times New Roman" w:cs="Times New Roman"/>
          <w:b/>
        </w:rPr>
        <w:t>mise à niveau</w:t>
      </w:r>
      <w:r w:rsidRPr="00524677">
        <w:rPr>
          <w:rFonts w:ascii="Times New Roman" w:hAnsi="Times New Roman" w:cs="Times New Roman"/>
        </w:rPr>
        <w:t xml:space="preserve"> des RCC existants, donc privilégier logiciels embarqués et capteurs à bas coût.</w:t>
      </w:r>
    </w:p>
    <w:p w14:paraId="34D59FC6" w14:textId="557C9FAA" w:rsidR="00052612" w:rsidRPr="00524677" w:rsidRDefault="003F3D5F" w:rsidP="006277DE">
      <w:pPr>
        <w:pStyle w:val="FirstParagraph"/>
      </w:pPr>
      <w:r w:rsidRPr="00524677">
        <w:t xml:space="preserve">Le </w:t>
      </w:r>
      <w:r w:rsidRPr="00524677">
        <w:rPr>
          <w:b/>
        </w:rPr>
        <w:t>Tableau I</w:t>
      </w:r>
      <w:r w:rsidR="00BB6D8A">
        <w:rPr>
          <w:b/>
        </w:rPr>
        <w:t>I</w:t>
      </w:r>
      <w:r w:rsidRPr="00524677">
        <w:rPr>
          <w:b/>
        </w:rPr>
        <w:t>-1</w:t>
      </w:r>
      <w:r w:rsidRPr="00524677">
        <w:t xml:space="preserve"> récapitule le diagnostic méthodologique.</w:t>
      </w:r>
    </w:p>
    <w:p w14:paraId="025F4061" w14:textId="29060D75" w:rsidR="00052612" w:rsidRPr="00524677" w:rsidRDefault="003F3D5F" w:rsidP="00F763E2">
      <w:pPr>
        <w:pStyle w:val="TableCaption"/>
        <w:spacing w:line="360" w:lineRule="auto"/>
        <w:jc w:val="both"/>
        <w:rPr>
          <w:rFonts w:ascii="Times New Roman" w:hAnsi="Times New Roman" w:cs="Times New Roman"/>
        </w:rPr>
      </w:pPr>
      <w:r w:rsidRPr="00524677">
        <w:rPr>
          <w:rFonts w:ascii="Times New Roman" w:hAnsi="Times New Roman" w:cs="Times New Roman"/>
        </w:rPr>
        <w:t>Tableau I</w:t>
      </w:r>
      <w:r w:rsidR="00BB6D8A">
        <w:rPr>
          <w:rFonts w:ascii="Times New Roman" w:hAnsi="Times New Roman" w:cs="Times New Roman"/>
        </w:rPr>
        <w:t>I</w:t>
      </w:r>
      <w:r w:rsidRPr="00524677">
        <w:rPr>
          <w:rFonts w:ascii="Times New Roman" w:hAnsi="Times New Roman" w:cs="Times New Roman"/>
        </w:rPr>
        <w:t>-1. Synthèse des familles de solutions pour la surveillance et la localisation des défauts d’isolement sur boucle de balisage</w:t>
      </w:r>
    </w:p>
    <w:tbl>
      <w:tblPr>
        <w:tblStyle w:val="Table"/>
        <w:tblW w:w="5000" w:type="pct"/>
        <w:tblLayout w:type="fixed"/>
        <w:tblLook w:val="07E0" w:firstRow="1" w:lastRow="1" w:firstColumn="1" w:lastColumn="1" w:noHBand="1" w:noVBand="1"/>
      </w:tblPr>
      <w:tblGrid>
        <w:gridCol w:w="1557"/>
        <w:gridCol w:w="1245"/>
        <w:gridCol w:w="1416"/>
        <w:gridCol w:w="1282"/>
        <w:gridCol w:w="1271"/>
        <w:gridCol w:w="1275"/>
        <w:gridCol w:w="1576"/>
      </w:tblGrid>
      <w:tr w:rsidR="00524677" w:rsidRPr="00524677" w14:paraId="06061E65" w14:textId="77777777" w:rsidTr="000B6992">
        <w:tc>
          <w:tcPr>
            <w:tcW w:w="1557" w:type="dxa"/>
            <w:tcBorders>
              <w:bottom w:val="single" w:sz="0" w:space="0" w:color="auto"/>
            </w:tcBorders>
            <w:vAlign w:val="bottom"/>
          </w:tcPr>
          <w:p w14:paraId="1B358DBA"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Famille</w:t>
            </w:r>
          </w:p>
        </w:tc>
        <w:tc>
          <w:tcPr>
            <w:tcW w:w="1245" w:type="dxa"/>
            <w:tcBorders>
              <w:bottom w:val="single" w:sz="0" w:space="0" w:color="auto"/>
            </w:tcBorders>
            <w:vAlign w:val="bottom"/>
          </w:tcPr>
          <w:p w14:paraId="708ACCCC"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Détection</w:t>
            </w:r>
          </w:p>
        </w:tc>
        <w:tc>
          <w:tcPr>
            <w:tcW w:w="1416" w:type="dxa"/>
            <w:tcBorders>
              <w:bottom w:val="single" w:sz="0" w:space="0" w:color="auto"/>
            </w:tcBorders>
            <w:vAlign w:val="bottom"/>
          </w:tcPr>
          <w:p w14:paraId="17DF8FBE"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Localisation</w:t>
            </w:r>
          </w:p>
        </w:tc>
        <w:tc>
          <w:tcPr>
            <w:tcW w:w="1282" w:type="dxa"/>
            <w:tcBorders>
              <w:bottom w:val="single" w:sz="0" w:space="0" w:color="auto"/>
            </w:tcBorders>
            <w:vAlign w:val="bottom"/>
          </w:tcPr>
          <w:p w14:paraId="769A3992"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Sans coupure</w:t>
            </w:r>
          </w:p>
        </w:tc>
        <w:tc>
          <w:tcPr>
            <w:tcW w:w="1271" w:type="dxa"/>
            <w:tcBorders>
              <w:bottom w:val="single" w:sz="0" w:space="0" w:color="auto"/>
            </w:tcBorders>
            <w:vAlign w:val="bottom"/>
          </w:tcPr>
          <w:p w14:paraId="159F962B"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Maturité</w:t>
            </w:r>
          </w:p>
        </w:tc>
        <w:tc>
          <w:tcPr>
            <w:tcW w:w="1275" w:type="dxa"/>
            <w:tcBorders>
              <w:bottom w:val="single" w:sz="0" w:space="0" w:color="auto"/>
            </w:tcBorders>
            <w:vAlign w:val="bottom"/>
          </w:tcPr>
          <w:p w14:paraId="2650BA7A"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Adéquation 6,6 A</w:t>
            </w:r>
          </w:p>
        </w:tc>
        <w:tc>
          <w:tcPr>
            <w:tcW w:w="1576" w:type="dxa"/>
            <w:tcBorders>
              <w:bottom w:val="single" w:sz="0" w:space="0" w:color="auto"/>
            </w:tcBorders>
            <w:vAlign w:val="bottom"/>
          </w:tcPr>
          <w:p w14:paraId="020E9F69"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Verrou principal</w:t>
            </w:r>
          </w:p>
        </w:tc>
      </w:tr>
      <w:tr w:rsidR="00524677" w:rsidRPr="00524677" w14:paraId="49A09585" w14:textId="77777777" w:rsidTr="000B6992">
        <w:tc>
          <w:tcPr>
            <w:tcW w:w="1557" w:type="dxa"/>
          </w:tcPr>
          <w:p w14:paraId="33C8B25B"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EFD / IRMS DC</w:t>
            </w:r>
          </w:p>
        </w:tc>
        <w:tc>
          <w:tcPr>
            <w:tcW w:w="1245" w:type="dxa"/>
          </w:tcPr>
          <w:p w14:paraId="356F173B"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416" w:type="dxa"/>
          </w:tcPr>
          <w:p w14:paraId="01DAF649"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w:t>
            </w:r>
          </w:p>
        </w:tc>
        <w:tc>
          <w:tcPr>
            <w:tcW w:w="1282" w:type="dxa"/>
          </w:tcPr>
          <w:p w14:paraId="48270105"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1" w:type="dxa"/>
          </w:tcPr>
          <w:p w14:paraId="1B5F06FF"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5" w:type="dxa"/>
          </w:tcPr>
          <w:p w14:paraId="279C1784"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576" w:type="dxa"/>
          </w:tcPr>
          <w:p w14:paraId="2A3EE33E"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Pas de localisation</w:t>
            </w:r>
          </w:p>
        </w:tc>
      </w:tr>
      <w:tr w:rsidR="00524677" w:rsidRPr="00524677" w14:paraId="1929EDAF" w14:textId="77777777" w:rsidTr="000B6992">
        <w:tc>
          <w:tcPr>
            <w:tcW w:w="1557" w:type="dxa"/>
          </w:tcPr>
          <w:p w14:paraId="3094DA8C"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LFD (déphasage)</w:t>
            </w:r>
          </w:p>
        </w:tc>
        <w:tc>
          <w:tcPr>
            <w:tcW w:w="1245" w:type="dxa"/>
          </w:tcPr>
          <w:p w14:paraId="5990EE6C"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r w:rsidRPr="00524677">
              <w:rPr>
                <w:rFonts w:ascii="Times New Roman" w:hAnsi="Times New Roman" w:cs="Times New Roman"/>
              </w:rPr>
              <w:t xml:space="preserve"> (lampe)</w:t>
            </w:r>
          </w:p>
        </w:tc>
        <w:tc>
          <w:tcPr>
            <w:tcW w:w="1416" w:type="dxa"/>
          </w:tcPr>
          <w:p w14:paraId="28177C9A"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w:t>
            </w:r>
          </w:p>
        </w:tc>
        <w:tc>
          <w:tcPr>
            <w:tcW w:w="1282" w:type="dxa"/>
          </w:tcPr>
          <w:p w14:paraId="2813F1D8"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1" w:type="dxa"/>
          </w:tcPr>
          <w:p w14:paraId="2031B367"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5" w:type="dxa"/>
          </w:tcPr>
          <w:p w14:paraId="2DBC3848"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576" w:type="dxa"/>
          </w:tcPr>
          <w:p w14:paraId="28C7EF09"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Insensible aux défauts câble</w:t>
            </w:r>
          </w:p>
        </w:tc>
      </w:tr>
      <w:tr w:rsidR="000B6992" w:rsidRPr="00524677" w14:paraId="4C59C4A4" w14:textId="77777777" w:rsidTr="000B6992">
        <w:tc>
          <w:tcPr>
            <w:tcW w:w="1557" w:type="dxa"/>
          </w:tcPr>
          <w:p w14:paraId="02B45AF3" w14:textId="0FE99348" w:rsidR="000B6992" w:rsidRPr="00524677" w:rsidRDefault="000B6992" w:rsidP="00F763E2">
            <w:pPr>
              <w:pStyle w:val="Compact"/>
              <w:spacing w:line="360" w:lineRule="auto"/>
              <w:jc w:val="both"/>
              <w:rPr>
                <w:rFonts w:ascii="Times New Roman" w:hAnsi="Times New Roman" w:cs="Times New Roman"/>
              </w:rPr>
            </w:pPr>
            <w:r>
              <w:t>ILCMS / CPL</w:t>
            </w:r>
          </w:p>
        </w:tc>
        <w:tc>
          <w:tcPr>
            <w:tcW w:w="1245" w:type="dxa"/>
          </w:tcPr>
          <w:p w14:paraId="5C11DD77" w14:textId="58707B7F" w:rsidR="000B6992" w:rsidRPr="00524677" w:rsidRDefault="000B6992" w:rsidP="00F763E2">
            <w:pPr>
              <w:pStyle w:val="Compact"/>
              <w:spacing w:line="360" w:lineRule="auto"/>
              <w:jc w:val="both"/>
              <w:rPr>
                <w:rFonts w:ascii="Segoe UI Symbol" w:hAnsi="Segoe UI Symbol" w:cs="Segoe UI Symbol"/>
              </w:rPr>
            </w:pPr>
            <w:r>
              <w:rPr>
                <w:rFonts w:ascii="Segoe UI Symbol" w:hAnsi="Segoe UI Symbol" w:cs="Segoe UI Symbol"/>
              </w:rPr>
              <w:t>★★★☆☆</w:t>
            </w:r>
            <w:r>
              <w:t xml:space="preserve"> (franc)</w:t>
            </w:r>
          </w:p>
        </w:tc>
        <w:tc>
          <w:tcPr>
            <w:tcW w:w="1416" w:type="dxa"/>
          </w:tcPr>
          <w:p w14:paraId="3469F91F" w14:textId="0CECF7AF" w:rsidR="000B6992" w:rsidRPr="00524677" w:rsidRDefault="000B6992" w:rsidP="00F763E2">
            <w:pPr>
              <w:pStyle w:val="Compact"/>
              <w:spacing w:line="360" w:lineRule="auto"/>
              <w:jc w:val="both"/>
              <w:rPr>
                <w:rFonts w:ascii="Times New Roman" w:hAnsi="Times New Roman" w:cs="Times New Roman"/>
              </w:rPr>
            </w:pPr>
            <w:r>
              <w:rPr>
                <w:rFonts w:ascii="Segoe UI Symbol" w:hAnsi="Segoe UI Symbol" w:cs="Segoe UI Symbol"/>
              </w:rPr>
              <w:t>★★★★☆</w:t>
            </w:r>
            <w:r>
              <w:t xml:space="preserve"> (</w:t>
            </w:r>
            <w:r>
              <w:rPr>
                <w:rFonts w:ascii="Cambria" w:hAnsi="Cambria" w:cs="Cambria"/>
              </w:rPr>
              <w:t>à</w:t>
            </w:r>
            <w:r>
              <w:t xml:space="preserve"> la balise, franc)</w:t>
            </w:r>
          </w:p>
        </w:tc>
        <w:tc>
          <w:tcPr>
            <w:tcW w:w="1282" w:type="dxa"/>
          </w:tcPr>
          <w:p w14:paraId="6086F167" w14:textId="7DCD9FFE" w:rsidR="000B6992" w:rsidRPr="00524677" w:rsidRDefault="000B6992" w:rsidP="00F763E2">
            <w:pPr>
              <w:pStyle w:val="Compact"/>
              <w:spacing w:line="360" w:lineRule="auto"/>
              <w:jc w:val="both"/>
              <w:rPr>
                <w:rFonts w:ascii="Segoe UI Symbol" w:hAnsi="Segoe UI Symbol" w:cs="Segoe UI Symbol"/>
              </w:rPr>
            </w:pPr>
            <w:r>
              <w:rPr>
                <w:rFonts w:ascii="Segoe UI Symbol" w:hAnsi="Segoe UI Symbol" w:cs="Segoe UI Symbol"/>
              </w:rPr>
              <w:t>★★★★★</w:t>
            </w:r>
          </w:p>
        </w:tc>
        <w:tc>
          <w:tcPr>
            <w:tcW w:w="1271" w:type="dxa"/>
          </w:tcPr>
          <w:p w14:paraId="33E7DFC6" w14:textId="41327F2F" w:rsidR="000B6992" w:rsidRPr="00524677" w:rsidRDefault="000B6992" w:rsidP="00F763E2">
            <w:pPr>
              <w:pStyle w:val="Compact"/>
              <w:spacing w:line="360" w:lineRule="auto"/>
              <w:jc w:val="both"/>
              <w:rPr>
                <w:rFonts w:ascii="Segoe UI Symbol" w:hAnsi="Segoe UI Symbol" w:cs="Segoe UI Symbol"/>
              </w:rPr>
            </w:pPr>
            <w:r>
              <w:rPr>
                <w:rFonts w:ascii="Segoe UI Symbol" w:hAnsi="Segoe UI Symbol" w:cs="Segoe UI Symbol"/>
              </w:rPr>
              <w:t>★★★★★</w:t>
            </w:r>
          </w:p>
        </w:tc>
        <w:tc>
          <w:tcPr>
            <w:tcW w:w="1275" w:type="dxa"/>
          </w:tcPr>
          <w:p w14:paraId="61808339" w14:textId="2C95B74C" w:rsidR="000B6992" w:rsidRPr="00524677" w:rsidRDefault="000B6992" w:rsidP="00F763E2">
            <w:pPr>
              <w:pStyle w:val="Compact"/>
              <w:spacing w:line="360" w:lineRule="auto"/>
              <w:jc w:val="both"/>
              <w:rPr>
                <w:rFonts w:ascii="Segoe UI Symbol" w:hAnsi="Segoe UI Symbol" w:cs="Segoe UI Symbol"/>
              </w:rPr>
            </w:pPr>
            <w:r>
              <w:rPr>
                <w:rFonts w:ascii="Segoe UI Symbol" w:hAnsi="Segoe UI Symbol" w:cs="Segoe UI Symbol"/>
              </w:rPr>
              <w:t>★★★★★</w:t>
            </w:r>
          </w:p>
        </w:tc>
        <w:tc>
          <w:tcPr>
            <w:tcW w:w="1576" w:type="dxa"/>
          </w:tcPr>
          <w:p w14:paraId="1A3708D0" w14:textId="0A4C0E8A" w:rsidR="000B6992" w:rsidRPr="00524677" w:rsidRDefault="000B6992" w:rsidP="00F763E2">
            <w:pPr>
              <w:pStyle w:val="Compact"/>
              <w:spacing w:line="360" w:lineRule="auto"/>
              <w:jc w:val="both"/>
              <w:rPr>
                <w:rFonts w:ascii="Times New Roman" w:hAnsi="Times New Roman" w:cs="Times New Roman"/>
              </w:rPr>
            </w:pPr>
            <w:r>
              <w:t xml:space="preserve">Aveugle à la dégradation progressive ; coût de </w:t>
            </w:r>
            <w:proofErr w:type="spellStart"/>
            <w:r>
              <w:rPr>
                <w:rStyle w:val="Emphasis"/>
              </w:rPr>
              <w:t>retrofit</w:t>
            </w:r>
            <w:proofErr w:type="spellEnd"/>
            <w:r>
              <w:t xml:space="preserve"> élevé</w:t>
            </w:r>
          </w:p>
        </w:tc>
      </w:tr>
      <w:tr w:rsidR="00524677" w:rsidRPr="00524677" w14:paraId="7C75DCD8" w14:textId="77777777" w:rsidTr="000B6992">
        <w:tc>
          <w:tcPr>
            <w:tcW w:w="1557" w:type="dxa"/>
          </w:tcPr>
          <w:p w14:paraId="78901C00"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Analyse spectrale</w:t>
            </w:r>
          </w:p>
        </w:tc>
        <w:tc>
          <w:tcPr>
            <w:tcW w:w="1245" w:type="dxa"/>
          </w:tcPr>
          <w:p w14:paraId="4B8F2C80"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416" w:type="dxa"/>
          </w:tcPr>
          <w:p w14:paraId="4EAB181F"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w:t>
            </w:r>
          </w:p>
        </w:tc>
        <w:tc>
          <w:tcPr>
            <w:tcW w:w="1282" w:type="dxa"/>
          </w:tcPr>
          <w:p w14:paraId="14C92D23"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1" w:type="dxa"/>
          </w:tcPr>
          <w:p w14:paraId="04D56352"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5" w:type="dxa"/>
          </w:tcPr>
          <w:p w14:paraId="094FFED5"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576" w:type="dxa"/>
          </w:tcPr>
          <w:p w14:paraId="5CEFF423"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Non stationnarité, pas de localisation</w:t>
            </w:r>
          </w:p>
        </w:tc>
      </w:tr>
      <w:tr w:rsidR="00524677" w:rsidRPr="00524677" w14:paraId="4A07CCBF" w14:textId="77777777" w:rsidTr="000B6992">
        <w:tc>
          <w:tcPr>
            <w:tcW w:w="1557" w:type="dxa"/>
          </w:tcPr>
          <w:p w14:paraId="50A64D85"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lastRenderedPageBreak/>
              <w:t>Ondelettes / STFT</w:t>
            </w:r>
          </w:p>
        </w:tc>
        <w:tc>
          <w:tcPr>
            <w:tcW w:w="1245" w:type="dxa"/>
          </w:tcPr>
          <w:p w14:paraId="16F8B552"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416" w:type="dxa"/>
          </w:tcPr>
          <w:p w14:paraId="5E50C1A3"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w:t>
            </w:r>
          </w:p>
        </w:tc>
        <w:tc>
          <w:tcPr>
            <w:tcW w:w="1282" w:type="dxa"/>
          </w:tcPr>
          <w:p w14:paraId="5B21628E"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1" w:type="dxa"/>
          </w:tcPr>
          <w:p w14:paraId="2ACEC159"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5" w:type="dxa"/>
          </w:tcPr>
          <w:p w14:paraId="58DC2C0D"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576" w:type="dxa"/>
          </w:tcPr>
          <w:p w14:paraId="1192DBD2"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Ingénierie d’attributs empirique</w:t>
            </w:r>
          </w:p>
        </w:tc>
      </w:tr>
      <w:tr w:rsidR="00524677" w:rsidRPr="00524677" w14:paraId="6044DCF3" w14:textId="77777777" w:rsidTr="000B6992">
        <w:tc>
          <w:tcPr>
            <w:tcW w:w="1557" w:type="dxa"/>
          </w:tcPr>
          <w:p w14:paraId="2846A3D7"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TDR hors ligne</w:t>
            </w:r>
          </w:p>
        </w:tc>
        <w:tc>
          <w:tcPr>
            <w:tcW w:w="1245" w:type="dxa"/>
          </w:tcPr>
          <w:p w14:paraId="39082A86"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416" w:type="dxa"/>
          </w:tcPr>
          <w:p w14:paraId="09543219"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82" w:type="dxa"/>
          </w:tcPr>
          <w:p w14:paraId="7E128D45"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w:t>
            </w:r>
          </w:p>
        </w:tc>
        <w:tc>
          <w:tcPr>
            <w:tcW w:w="1271" w:type="dxa"/>
          </w:tcPr>
          <w:p w14:paraId="28C28601"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5" w:type="dxa"/>
          </w:tcPr>
          <w:p w14:paraId="499BAA9B"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576" w:type="dxa"/>
          </w:tcPr>
          <w:p w14:paraId="73ECD8C4"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Couplage HF + coupure + échos de TI</w:t>
            </w:r>
          </w:p>
        </w:tc>
      </w:tr>
      <w:tr w:rsidR="00524677" w:rsidRPr="00524677" w14:paraId="602816CB" w14:textId="77777777" w:rsidTr="000B6992">
        <w:tc>
          <w:tcPr>
            <w:tcW w:w="1557" w:type="dxa"/>
          </w:tcPr>
          <w:p w14:paraId="4CDD38F5"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FDR / MCTDR</w:t>
            </w:r>
          </w:p>
        </w:tc>
        <w:tc>
          <w:tcPr>
            <w:tcW w:w="1245" w:type="dxa"/>
          </w:tcPr>
          <w:p w14:paraId="5DDEF14F"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416" w:type="dxa"/>
          </w:tcPr>
          <w:p w14:paraId="4CDC4987"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82" w:type="dxa"/>
          </w:tcPr>
          <w:p w14:paraId="39FD941D"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1" w:type="dxa"/>
          </w:tcPr>
          <w:p w14:paraId="5027EEBB"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5" w:type="dxa"/>
          </w:tcPr>
          <w:p w14:paraId="26FE5FBD"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576" w:type="dxa"/>
          </w:tcPr>
          <w:p w14:paraId="07ABAD68"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Couplage HF en service délicat</w:t>
            </w:r>
          </w:p>
        </w:tc>
      </w:tr>
      <w:tr w:rsidR="00524677" w:rsidRPr="00524677" w14:paraId="22354946" w14:textId="77777777" w:rsidTr="000B6992">
        <w:tc>
          <w:tcPr>
            <w:tcW w:w="1557" w:type="dxa"/>
          </w:tcPr>
          <w:p w14:paraId="7CFF436F"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Impédance à source unique</w:t>
            </w:r>
          </w:p>
        </w:tc>
        <w:tc>
          <w:tcPr>
            <w:tcW w:w="1245" w:type="dxa"/>
          </w:tcPr>
          <w:p w14:paraId="67CAE36C"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416" w:type="dxa"/>
          </w:tcPr>
          <w:p w14:paraId="6D8387DD"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82" w:type="dxa"/>
          </w:tcPr>
          <w:p w14:paraId="6A001D1F"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1" w:type="dxa"/>
          </w:tcPr>
          <w:p w14:paraId="216A2793"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5" w:type="dxa"/>
          </w:tcPr>
          <w:p w14:paraId="007CE8CE"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576" w:type="dxa"/>
          </w:tcPr>
          <w:p w14:paraId="52FBD55E" w14:textId="77777777" w:rsidR="00052612" w:rsidRPr="00524677" w:rsidRDefault="003F3D5F" w:rsidP="00F763E2">
            <w:pPr>
              <w:pStyle w:val="Compact"/>
              <w:spacing w:line="360" w:lineRule="auto"/>
              <w:jc w:val="both"/>
              <w:rPr>
                <w:rFonts w:ascii="Times New Roman" w:hAnsi="Times New Roman" w:cs="Times New Roman"/>
              </w:rPr>
            </w:pPr>
            <w:proofErr w:type="spellStart"/>
            <w:r w:rsidRPr="00524677">
              <w:rPr>
                <w:rFonts w:ascii="Times New Roman" w:hAnsi="Times New Roman" w:cs="Times New Roman"/>
              </w:rPr>
              <w:t>Identifiabilité</w:t>
            </w:r>
            <w:proofErr w:type="spellEnd"/>
            <w:r w:rsidRPr="00524677">
              <w:rPr>
                <w:rFonts w:ascii="Times New Roman" w:hAnsi="Times New Roman" w:cs="Times New Roman"/>
              </w:rPr>
              <w:t xml:space="preserve"> sur multi-TI non démontrée</w:t>
            </w:r>
          </w:p>
        </w:tc>
      </w:tr>
      <w:tr w:rsidR="00524677" w:rsidRPr="00524677" w14:paraId="10415281" w14:textId="77777777" w:rsidTr="000B6992">
        <w:tc>
          <w:tcPr>
            <w:tcW w:w="1557" w:type="dxa"/>
          </w:tcPr>
          <w:p w14:paraId="7148C45D"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 xml:space="preserve">SVM / RF sur </w:t>
            </w:r>
            <w:proofErr w:type="spellStart"/>
            <w:r w:rsidRPr="00524677">
              <w:rPr>
                <w:rFonts w:ascii="Times New Roman" w:hAnsi="Times New Roman" w:cs="Times New Roman"/>
              </w:rPr>
              <w:t>features</w:t>
            </w:r>
            <w:proofErr w:type="spellEnd"/>
          </w:p>
        </w:tc>
        <w:tc>
          <w:tcPr>
            <w:tcW w:w="1245" w:type="dxa"/>
          </w:tcPr>
          <w:p w14:paraId="0FA21DFF"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416" w:type="dxa"/>
          </w:tcPr>
          <w:p w14:paraId="59657D00"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82" w:type="dxa"/>
          </w:tcPr>
          <w:p w14:paraId="25796023"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1" w:type="dxa"/>
          </w:tcPr>
          <w:p w14:paraId="3C69F136"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5" w:type="dxa"/>
          </w:tcPr>
          <w:p w14:paraId="47577DEE"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576" w:type="dxa"/>
          </w:tcPr>
          <w:p w14:paraId="02870116"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Ingénierie d’attributs</w:t>
            </w:r>
          </w:p>
        </w:tc>
      </w:tr>
      <w:tr w:rsidR="00524677" w:rsidRPr="00524677" w14:paraId="6C823833" w14:textId="77777777" w:rsidTr="000B6992">
        <w:tc>
          <w:tcPr>
            <w:tcW w:w="1557" w:type="dxa"/>
          </w:tcPr>
          <w:p w14:paraId="3506EA78"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CNN 1D + SVM</w:t>
            </w:r>
          </w:p>
        </w:tc>
        <w:tc>
          <w:tcPr>
            <w:tcW w:w="1245" w:type="dxa"/>
          </w:tcPr>
          <w:p w14:paraId="655DD2A3"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416" w:type="dxa"/>
          </w:tcPr>
          <w:p w14:paraId="5B669746"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82" w:type="dxa"/>
          </w:tcPr>
          <w:p w14:paraId="09C62D07"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1" w:type="dxa"/>
          </w:tcPr>
          <w:p w14:paraId="12BA1BCB"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5" w:type="dxa"/>
          </w:tcPr>
          <w:p w14:paraId="08C901B5"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576" w:type="dxa"/>
          </w:tcPr>
          <w:p w14:paraId="225330C2"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Transfert labo → terrain</w:t>
            </w:r>
          </w:p>
        </w:tc>
      </w:tr>
      <w:tr w:rsidR="00524677" w:rsidRPr="00524677" w14:paraId="23BE3AE8" w14:textId="77777777" w:rsidTr="000B6992">
        <w:tc>
          <w:tcPr>
            <w:tcW w:w="1557" w:type="dxa"/>
          </w:tcPr>
          <w:p w14:paraId="5AB2DF6E"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 xml:space="preserve">One-Class SVM / </w:t>
            </w:r>
            <w:proofErr w:type="spellStart"/>
            <w:r w:rsidRPr="00524677">
              <w:rPr>
                <w:rFonts w:ascii="Times New Roman" w:hAnsi="Times New Roman" w:cs="Times New Roman"/>
              </w:rPr>
              <w:t>Autoencodeur</w:t>
            </w:r>
            <w:proofErr w:type="spellEnd"/>
          </w:p>
        </w:tc>
        <w:tc>
          <w:tcPr>
            <w:tcW w:w="1245" w:type="dxa"/>
          </w:tcPr>
          <w:p w14:paraId="1B32762D"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416" w:type="dxa"/>
          </w:tcPr>
          <w:p w14:paraId="79EC4F72"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82" w:type="dxa"/>
          </w:tcPr>
          <w:p w14:paraId="79B0C3F8"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1" w:type="dxa"/>
          </w:tcPr>
          <w:p w14:paraId="0D5AEF2B"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5" w:type="dxa"/>
          </w:tcPr>
          <w:p w14:paraId="7495F1A6"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576" w:type="dxa"/>
          </w:tcPr>
          <w:p w14:paraId="376473E0"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Détection sans caractérisation</w:t>
            </w:r>
          </w:p>
        </w:tc>
      </w:tr>
      <w:tr w:rsidR="00524677" w:rsidRPr="00524677" w14:paraId="0B3DE191" w14:textId="77777777" w:rsidTr="000B6992">
        <w:tc>
          <w:tcPr>
            <w:tcW w:w="1557" w:type="dxa"/>
          </w:tcPr>
          <w:p w14:paraId="53E6AAA6"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Jumeau numérique</w:t>
            </w:r>
          </w:p>
        </w:tc>
        <w:tc>
          <w:tcPr>
            <w:tcW w:w="1245" w:type="dxa"/>
          </w:tcPr>
          <w:p w14:paraId="532D9060"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416" w:type="dxa"/>
          </w:tcPr>
          <w:p w14:paraId="16088633"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82" w:type="dxa"/>
          </w:tcPr>
          <w:p w14:paraId="60110567"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1" w:type="dxa"/>
          </w:tcPr>
          <w:p w14:paraId="08092713"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275" w:type="dxa"/>
          </w:tcPr>
          <w:p w14:paraId="622CB188"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Segoe UI Symbol" w:hAnsi="Segoe UI Symbol" w:cs="Segoe UI Symbol"/>
              </w:rPr>
              <w:t>★★★☆☆</w:t>
            </w:r>
          </w:p>
        </w:tc>
        <w:tc>
          <w:tcPr>
            <w:tcW w:w="1576" w:type="dxa"/>
          </w:tcPr>
          <w:p w14:paraId="67A39FFF" w14:textId="77777777" w:rsidR="00052612" w:rsidRPr="00524677" w:rsidRDefault="003F3D5F" w:rsidP="00F763E2">
            <w:pPr>
              <w:pStyle w:val="Compact"/>
              <w:spacing w:line="360" w:lineRule="auto"/>
              <w:jc w:val="both"/>
              <w:rPr>
                <w:rFonts w:ascii="Times New Roman" w:hAnsi="Times New Roman" w:cs="Times New Roman"/>
              </w:rPr>
            </w:pPr>
            <w:r w:rsidRPr="00524677">
              <w:rPr>
                <w:rFonts w:ascii="Times New Roman" w:hAnsi="Times New Roman" w:cs="Times New Roman"/>
              </w:rPr>
              <w:t>Calibration par boucle</w:t>
            </w:r>
          </w:p>
        </w:tc>
      </w:tr>
    </w:tbl>
    <w:p w14:paraId="600328AD" w14:textId="683F0D08" w:rsidR="00052612" w:rsidRPr="00524677" w:rsidRDefault="003F3D5F" w:rsidP="006277DE">
      <w:pPr>
        <w:pStyle w:val="Heading2"/>
      </w:pPr>
      <w:bookmarkStart w:id="64" w:name="i.9.-positionnement-de-notre-travail"/>
      <w:bookmarkStart w:id="65" w:name="_Toc229131334"/>
      <w:r w:rsidRPr="00524677">
        <w:t>I</w:t>
      </w:r>
      <w:r w:rsidR="00BB6D8A">
        <w:t>I</w:t>
      </w:r>
      <w:r w:rsidRPr="00524677">
        <w:t>.9. Positionnement de notre travail</w:t>
      </w:r>
      <w:bookmarkEnd w:id="64"/>
      <w:bookmarkEnd w:id="65"/>
    </w:p>
    <w:p w14:paraId="743C6D1B" w14:textId="77777777" w:rsidR="00052612" w:rsidRPr="00524677" w:rsidRDefault="003F3D5F" w:rsidP="006277DE">
      <w:pPr>
        <w:pStyle w:val="FirstParagraph"/>
      </w:pPr>
      <w:r w:rsidRPr="00524677">
        <w:t>L’état de l’art met en évidence un positionnement original pour la présente thèse :</w:t>
      </w:r>
    </w:p>
    <w:p w14:paraId="4D32931A" w14:textId="77777777" w:rsidR="00052612" w:rsidRPr="00524677" w:rsidRDefault="003F3D5F" w:rsidP="00F763E2">
      <w:pPr>
        <w:pStyle w:val="Compact"/>
        <w:numPr>
          <w:ilvl w:val="0"/>
          <w:numId w:val="11"/>
        </w:numPr>
        <w:spacing w:line="360" w:lineRule="auto"/>
        <w:jc w:val="both"/>
        <w:rPr>
          <w:rFonts w:ascii="Times New Roman" w:hAnsi="Times New Roman" w:cs="Times New Roman"/>
        </w:rPr>
      </w:pPr>
      <w:r w:rsidRPr="00524677">
        <w:rPr>
          <w:rFonts w:ascii="Times New Roman" w:hAnsi="Times New Roman" w:cs="Times New Roman"/>
        </w:rPr>
        <w:t xml:space="preserve">Les dispositifs industriels (EFD, LFD) </w:t>
      </w:r>
      <w:r w:rsidRPr="00524677">
        <w:rPr>
          <w:rFonts w:ascii="Times New Roman" w:hAnsi="Times New Roman" w:cs="Times New Roman"/>
          <w:b/>
        </w:rPr>
        <w:t>disponibles</w:t>
      </w:r>
      <w:r w:rsidRPr="00524677">
        <w:rPr>
          <w:rFonts w:ascii="Times New Roman" w:hAnsi="Times New Roman" w:cs="Times New Roman"/>
        </w:rPr>
        <w:t xml:space="preserve"> sur le RCC DIAM4100 d’ASECNA fournissent un point de mesure </w:t>
      </w:r>
      <w:r w:rsidRPr="00524677">
        <w:rPr>
          <w:rFonts w:ascii="Times New Roman" w:hAnsi="Times New Roman" w:cs="Times New Roman"/>
          <w:b/>
        </w:rPr>
        <w:t>unique, continu, non invasif</w:t>
      </w:r>
      <w:r w:rsidRPr="00524677">
        <w:rPr>
          <w:rFonts w:ascii="Times New Roman" w:hAnsi="Times New Roman" w:cs="Times New Roman"/>
        </w:rPr>
        <w:t xml:space="preserve">. Toute solution opérationnelle doit les </w:t>
      </w:r>
      <w:r w:rsidRPr="00524677">
        <w:rPr>
          <w:rFonts w:ascii="Times New Roman" w:hAnsi="Times New Roman" w:cs="Times New Roman"/>
          <w:b/>
        </w:rPr>
        <w:t>conserver</w:t>
      </w:r>
      <w:r w:rsidRPr="00524677">
        <w:rPr>
          <w:rFonts w:ascii="Times New Roman" w:hAnsi="Times New Roman" w:cs="Times New Roman"/>
        </w:rPr>
        <w:t xml:space="preserve"> comme socle.</w:t>
      </w:r>
    </w:p>
    <w:p w14:paraId="284234AC" w14:textId="55E3C957" w:rsidR="00052612" w:rsidRPr="00524677" w:rsidRDefault="003F3D5F" w:rsidP="00F763E2">
      <w:pPr>
        <w:pStyle w:val="Compact"/>
        <w:numPr>
          <w:ilvl w:val="0"/>
          <w:numId w:val="11"/>
        </w:numPr>
        <w:spacing w:line="360" w:lineRule="auto"/>
        <w:jc w:val="both"/>
        <w:rPr>
          <w:rFonts w:ascii="Times New Roman" w:hAnsi="Times New Roman" w:cs="Times New Roman"/>
        </w:rPr>
      </w:pPr>
      <w:r w:rsidRPr="00524677">
        <w:rPr>
          <w:rFonts w:ascii="Times New Roman" w:hAnsi="Times New Roman" w:cs="Times New Roman"/>
        </w:rPr>
        <w:lastRenderedPageBreak/>
        <w:t xml:space="preserve">La </w:t>
      </w:r>
      <w:r w:rsidRPr="00524677">
        <w:rPr>
          <w:rFonts w:ascii="Times New Roman" w:hAnsi="Times New Roman" w:cs="Times New Roman"/>
          <w:b/>
        </w:rPr>
        <w:t>détection précoce</w:t>
      </w:r>
      <w:r w:rsidRPr="00524677">
        <w:rPr>
          <w:rFonts w:ascii="Times New Roman" w:hAnsi="Times New Roman" w:cs="Times New Roman"/>
        </w:rPr>
        <w:t xml:space="preserve"> peut être renforcée par l’enrichissement spectral (§ </w:t>
      </w:r>
      <w:r w:rsidR="00BB6D8A">
        <w:rPr>
          <w:rFonts w:ascii="Times New Roman" w:hAnsi="Times New Roman" w:cs="Times New Roman"/>
        </w:rPr>
        <w:t>I</w:t>
      </w:r>
      <w:r w:rsidRPr="00524677">
        <w:rPr>
          <w:rFonts w:ascii="Times New Roman" w:hAnsi="Times New Roman" w:cs="Times New Roman"/>
        </w:rPr>
        <w:t>I.3) du signal déjà acquis par l’EFD, sans toucher au matériel haute tension du RCC.</w:t>
      </w:r>
    </w:p>
    <w:p w14:paraId="0EEB775D" w14:textId="04D95A11" w:rsidR="00052612" w:rsidRPr="00524677" w:rsidRDefault="003F3D5F" w:rsidP="00F763E2">
      <w:pPr>
        <w:pStyle w:val="Compact"/>
        <w:numPr>
          <w:ilvl w:val="0"/>
          <w:numId w:val="11"/>
        </w:numPr>
        <w:spacing w:line="360" w:lineRule="auto"/>
        <w:jc w:val="both"/>
        <w:rPr>
          <w:rFonts w:ascii="Times New Roman" w:hAnsi="Times New Roman" w:cs="Times New Roman"/>
        </w:rPr>
      </w:pPr>
      <w:r w:rsidRPr="00524677">
        <w:rPr>
          <w:rFonts w:ascii="Times New Roman" w:hAnsi="Times New Roman" w:cs="Times New Roman"/>
        </w:rPr>
        <w:t xml:space="preserve">La </w:t>
      </w:r>
      <w:r w:rsidRPr="00524677">
        <w:rPr>
          <w:rFonts w:ascii="Times New Roman" w:hAnsi="Times New Roman" w:cs="Times New Roman"/>
          <w:b/>
        </w:rPr>
        <w:t>localisation</w:t>
      </w:r>
      <w:r w:rsidRPr="00524677">
        <w:rPr>
          <w:rFonts w:ascii="Times New Roman" w:hAnsi="Times New Roman" w:cs="Times New Roman"/>
        </w:rPr>
        <w:t xml:space="preserve"> reste le verrou. Les méthodes de réflectométrie (§ </w:t>
      </w:r>
      <w:r w:rsidR="00BB6D8A">
        <w:rPr>
          <w:rFonts w:ascii="Times New Roman" w:hAnsi="Times New Roman" w:cs="Times New Roman"/>
        </w:rPr>
        <w:t>I</w:t>
      </w:r>
      <w:r w:rsidRPr="00524677">
        <w:rPr>
          <w:rFonts w:ascii="Times New Roman" w:hAnsi="Times New Roman" w:cs="Times New Roman"/>
        </w:rPr>
        <w:t xml:space="preserve">I.4) sont écartées comme incompatibles avec l’exploitation 24 h/24, et la voie privilégiée consiste à exploiter la </w:t>
      </w:r>
      <w:r w:rsidRPr="00524677">
        <w:rPr>
          <w:rFonts w:ascii="Times New Roman" w:hAnsi="Times New Roman" w:cs="Times New Roman"/>
          <w:b/>
        </w:rPr>
        <w:t xml:space="preserve">signature </w:t>
      </w:r>
      <w:proofErr w:type="spellStart"/>
      <w:r w:rsidRPr="00524677">
        <w:rPr>
          <w:rFonts w:ascii="Times New Roman" w:hAnsi="Times New Roman" w:cs="Times New Roman"/>
          <w:b/>
        </w:rPr>
        <w:t>impédante</w:t>
      </w:r>
      <w:proofErr w:type="spellEnd"/>
      <w:r w:rsidRPr="00524677">
        <w:rPr>
          <w:rFonts w:ascii="Times New Roman" w:hAnsi="Times New Roman" w:cs="Times New Roman"/>
        </w:rPr>
        <w:t xml:space="preserve"> de la boucle observable depuis la source (§ </w:t>
      </w:r>
      <w:r w:rsidR="00BB6D8A">
        <w:rPr>
          <w:rFonts w:ascii="Times New Roman" w:hAnsi="Times New Roman" w:cs="Times New Roman"/>
        </w:rPr>
        <w:t>I</w:t>
      </w:r>
      <w:r w:rsidRPr="00524677">
        <w:rPr>
          <w:rFonts w:ascii="Times New Roman" w:hAnsi="Times New Roman" w:cs="Times New Roman"/>
        </w:rPr>
        <w:t xml:space="preserve">I.5), apprise sur un jumeau numérique du réseau (§ </w:t>
      </w:r>
      <w:r w:rsidR="00BB6D8A">
        <w:rPr>
          <w:rFonts w:ascii="Times New Roman" w:hAnsi="Times New Roman" w:cs="Times New Roman"/>
        </w:rPr>
        <w:t>I</w:t>
      </w:r>
      <w:r w:rsidRPr="00524677">
        <w:rPr>
          <w:rFonts w:ascii="Times New Roman" w:hAnsi="Times New Roman" w:cs="Times New Roman"/>
        </w:rPr>
        <w:t>I.7).</w:t>
      </w:r>
    </w:p>
    <w:p w14:paraId="7A4EEC32" w14:textId="2160FA58" w:rsidR="00052612" w:rsidRPr="00524677" w:rsidRDefault="003F3D5F" w:rsidP="00F763E2">
      <w:pPr>
        <w:pStyle w:val="Compact"/>
        <w:numPr>
          <w:ilvl w:val="0"/>
          <w:numId w:val="11"/>
        </w:numPr>
        <w:spacing w:line="360" w:lineRule="auto"/>
        <w:jc w:val="both"/>
        <w:rPr>
          <w:rFonts w:ascii="Times New Roman" w:hAnsi="Times New Roman" w:cs="Times New Roman"/>
        </w:rPr>
      </w:pPr>
      <w:r w:rsidRPr="00524677">
        <w:rPr>
          <w:rFonts w:ascii="Times New Roman" w:hAnsi="Times New Roman" w:cs="Times New Roman"/>
        </w:rPr>
        <w:t>L’</w:t>
      </w:r>
      <w:r w:rsidRPr="00524677">
        <w:rPr>
          <w:rFonts w:ascii="Times New Roman" w:hAnsi="Times New Roman" w:cs="Times New Roman"/>
          <w:b/>
        </w:rPr>
        <w:t>apprentissage automatique</w:t>
      </w:r>
      <w:r w:rsidRPr="00524677">
        <w:rPr>
          <w:rFonts w:ascii="Times New Roman" w:hAnsi="Times New Roman" w:cs="Times New Roman"/>
        </w:rPr>
        <w:t xml:space="preserve"> (§ I</w:t>
      </w:r>
      <w:r w:rsidR="00BB6D8A">
        <w:rPr>
          <w:rFonts w:ascii="Times New Roman" w:hAnsi="Times New Roman" w:cs="Times New Roman"/>
        </w:rPr>
        <w:t>I</w:t>
      </w:r>
      <w:r w:rsidRPr="00524677">
        <w:rPr>
          <w:rFonts w:ascii="Times New Roman" w:hAnsi="Times New Roman" w:cs="Times New Roman"/>
        </w:rPr>
        <w:t xml:space="preserve">.6) joue un double rôle : (i) un module de </w:t>
      </w:r>
      <w:r w:rsidRPr="00524677">
        <w:rPr>
          <w:rFonts w:ascii="Times New Roman" w:hAnsi="Times New Roman" w:cs="Times New Roman"/>
          <w:b/>
        </w:rPr>
        <w:t>détection d’anomalie</w:t>
      </w:r>
      <w:r w:rsidRPr="00524677">
        <w:rPr>
          <w:rFonts w:ascii="Times New Roman" w:hAnsi="Times New Roman" w:cs="Times New Roman"/>
        </w:rPr>
        <w:t xml:space="preserve"> non supervisé (</w:t>
      </w:r>
      <w:proofErr w:type="spellStart"/>
      <w:r w:rsidRPr="00524677">
        <w:rPr>
          <w:rFonts w:ascii="Times New Roman" w:hAnsi="Times New Roman" w:cs="Times New Roman"/>
        </w:rPr>
        <w:t>autoencodeur</w:t>
      </w:r>
      <w:proofErr w:type="spellEnd"/>
      <w:r w:rsidRPr="00524677">
        <w:rPr>
          <w:rFonts w:ascii="Times New Roman" w:hAnsi="Times New Roman" w:cs="Times New Roman"/>
        </w:rPr>
        <w:t xml:space="preserve"> ou One-Class SVM) sur les signatures spectrales en temps réel ; (ii) un module de </w:t>
      </w:r>
      <w:r w:rsidRPr="00524677">
        <w:rPr>
          <w:rFonts w:ascii="Times New Roman" w:hAnsi="Times New Roman" w:cs="Times New Roman"/>
          <w:b/>
        </w:rPr>
        <w:t>régression en position</w:t>
      </w:r>
      <w:r w:rsidRPr="00524677">
        <w:rPr>
          <w:rFonts w:ascii="Times New Roman" w:hAnsi="Times New Roman" w:cs="Times New Roman"/>
        </w:rPr>
        <w:t xml:space="preserve"> entraîné sur le jumeau pour localiser une anomalie confirmée.</w:t>
      </w:r>
    </w:p>
    <w:p w14:paraId="215974BA" w14:textId="7FDFBC23" w:rsidR="00052612" w:rsidRPr="00524677" w:rsidRDefault="003F3D5F" w:rsidP="006277DE">
      <w:pPr>
        <w:pStyle w:val="FirstParagraph"/>
      </w:pPr>
      <w:r w:rsidRPr="00524677">
        <w:t xml:space="preserve">La contribution scientifique visée est donc la </w:t>
      </w:r>
      <w:r w:rsidRPr="00524677">
        <w:rPr>
          <w:b/>
        </w:rPr>
        <w:t>composition inédite</w:t>
      </w:r>
      <w:r w:rsidRPr="00524677">
        <w:t xml:space="preserve"> de briques existantes : </w:t>
      </w:r>
      <w:r w:rsidRPr="00524677">
        <w:rPr>
          <w:i/>
        </w:rPr>
        <w:t>EFD + analyse spectrale en ligne + jumeau numérique du circuit série 6,6 A + apprentissage hybride</w:t>
      </w:r>
      <w:r w:rsidRPr="00524677">
        <w:t xml:space="preserve">, appliquée spécifiquement au balisage aéronautique </w:t>
      </w:r>
      <w:r w:rsidR="00095491">
        <w:t>de l’</w:t>
      </w:r>
      <w:r w:rsidRPr="00524677">
        <w:t>ASECNA.</w:t>
      </w:r>
      <w:r w:rsidR="00095491">
        <w:br w:type="page"/>
      </w:r>
    </w:p>
    <w:p w14:paraId="59FE7624" w14:textId="77777777" w:rsidR="00052612" w:rsidRPr="003A09C3" w:rsidRDefault="003F3D5F" w:rsidP="006277DE">
      <w:pPr>
        <w:pStyle w:val="Heading2"/>
        <w:rPr>
          <w:lang w:val="en-US"/>
        </w:rPr>
      </w:pPr>
      <w:bookmarkStart w:id="66" w:name="références"/>
      <w:bookmarkStart w:id="67" w:name="_Toc229131335"/>
      <w:proofErr w:type="spellStart"/>
      <w:r w:rsidRPr="003A09C3">
        <w:rPr>
          <w:lang w:val="en-US"/>
        </w:rPr>
        <w:lastRenderedPageBreak/>
        <w:t>Références</w:t>
      </w:r>
      <w:bookmarkEnd w:id="66"/>
      <w:bookmarkEnd w:id="67"/>
      <w:proofErr w:type="spellEnd"/>
    </w:p>
    <w:p w14:paraId="38E13308" w14:textId="5811F307" w:rsidR="00052612" w:rsidRDefault="003F3D5F" w:rsidP="00BB6D8A">
      <w:pPr>
        <w:pStyle w:val="FirstParagraph"/>
        <w:jc w:val="left"/>
        <w:rPr>
          <w:lang w:val="en-US"/>
        </w:rPr>
      </w:pPr>
      <w:r w:rsidRPr="003A09C3">
        <w:rPr>
          <w:lang w:val="en-US"/>
        </w:rPr>
        <w:t xml:space="preserve">ADB </w:t>
      </w:r>
      <w:proofErr w:type="spellStart"/>
      <w:r w:rsidRPr="003A09C3">
        <w:rPr>
          <w:lang w:val="en-US"/>
        </w:rPr>
        <w:t>Safegate</w:t>
      </w:r>
      <w:proofErr w:type="spellEnd"/>
      <w:r w:rsidRPr="003A09C3">
        <w:rPr>
          <w:lang w:val="en-US"/>
        </w:rPr>
        <w:t xml:space="preserve">. </w:t>
      </w:r>
      <w:r w:rsidRPr="00524677">
        <w:rPr>
          <w:lang w:val="en-US"/>
        </w:rPr>
        <w:t xml:space="preserve">(2019). </w:t>
      </w:r>
      <w:r w:rsidRPr="00524677">
        <w:rPr>
          <w:i/>
          <w:lang w:val="en-US"/>
        </w:rPr>
        <w:t>Airfield solutions — Insulation resistance monitoring system (IRMS) brochure</w:t>
      </w:r>
      <w:r w:rsidRPr="00524677">
        <w:rPr>
          <w:lang w:val="en-US"/>
        </w:rPr>
        <w:t xml:space="preserve"> (</w:t>
      </w:r>
      <w:proofErr w:type="spellStart"/>
      <w:r w:rsidRPr="00524677">
        <w:rPr>
          <w:lang w:val="en-US"/>
        </w:rPr>
        <w:t>réf</w:t>
      </w:r>
      <w:proofErr w:type="spellEnd"/>
      <w:r w:rsidRPr="00524677">
        <w:rPr>
          <w:lang w:val="en-US"/>
        </w:rPr>
        <w:t xml:space="preserve">. 96A0257D). ADB </w:t>
      </w:r>
      <w:proofErr w:type="spellStart"/>
      <w:r w:rsidRPr="00524677">
        <w:rPr>
          <w:lang w:val="en-US"/>
        </w:rPr>
        <w:t>Safegate</w:t>
      </w:r>
      <w:proofErr w:type="spellEnd"/>
      <w:r w:rsidRPr="00524677">
        <w:rPr>
          <w:lang w:val="en-US"/>
        </w:rPr>
        <w:t xml:space="preserve"> BVBA. https://adbsafegate.com/media/t4jctdzi/96a0257d.pdf</w:t>
      </w:r>
    </w:p>
    <w:p w14:paraId="43A527FD" w14:textId="3360924B" w:rsidR="000B6992" w:rsidRPr="003A09C3" w:rsidRDefault="000B6992" w:rsidP="000B6992">
      <w:pPr>
        <w:pStyle w:val="BodyText"/>
        <w:spacing w:line="360" w:lineRule="auto"/>
        <w:rPr>
          <w:rFonts w:ascii="Times New Roman" w:hAnsi="Times New Roman" w:cs="Times New Roman"/>
          <w:lang w:val="en-US"/>
        </w:rPr>
      </w:pPr>
      <w:r w:rsidRPr="000B6992">
        <w:rPr>
          <w:rFonts w:ascii="Times New Roman" w:hAnsi="Times New Roman" w:cs="Times New Roman"/>
          <w:lang w:val="en-US"/>
        </w:rPr>
        <w:t xml:space="preserve">ADB </w:t>
      </w:r>
      <w:proofErr w:type="spellStart"/>
      <w:r w:rsidRPr="000B6992">
        <w:rPr>
          <w:rFonts w:ascii="Times New Roman" w:hAnsi="Times New Roman" w:cs="Times New Roman"/>
          <w:lang w:val="en-US"/>
        </w:rPr>
        <w:t>Safegate</w:t>
      </w:r>
      <w:proofErr w:type="spellEnd"/>
      <w:r w:rsidRPr="000B6992">
        <w:rPr>
          <w:rFonts w:ascii="Times New Roman" w:hAnsi="Times New Roman" w:cs="Times New Roman"/>
          <w:lang w:val="en-US"/>
        </w:rPr>
        <w:t xml:space="preserve">. (2023). </w:t>
      </w:r>
      <w:r w:rsidRPr="000B6992">
        <w:rPr>
          <w:rStyle w:val="Emphasis"/>
          <w:rFonts w:ascii="Times New Roman" w:hAnsi="Times New Roman" w:cs="Times New Roman"/>
          <w:lang w:val="en-US"/>
        </w:rPr>
        <w:t>L-INC360 — Individual Lamp Control &amp; Monitoring System: Datasheet</w:t>
      </w:r>
      <w:r w:rsidRPr="000B6992">
        <w:rPr>
          <w:rFonts w:ascii="Times New Roman" w:hAnsi="Times New Roman" w:cs="Times New Roman"/>
          <w:lang w:val="en-US"/>
        </w:rPr>
        <w:t xml:space="preserve"> (</w:t>
      </w:r>
      <w:proofErr w:type="spellStart"/>
      <w:r w:rsidRPr="000B6992">
        <w:rPr>
          <w:rFonts w:ascii="Times New Roman" w:hAnsi="Times New Roman" w:cs="Times New Roman"/>
          <w:lang w:val="en-US"/>
        </w:rPr>
        <w:t>réf</w:t>
      </w:r>
      <w:proofErr w:type="spellEnd"/>
      <w:r w:rsidRPr="000B6992">
        <w:rPr>
          <w:rFonts w:ascii="Times New Roman" w:hAnsi="Times New Roman" w:cs="Times New Roman"/>
          <w:lang w:val="en-US"/>
        </w:rPr>
        <w:t xml:space="preserve">. DS-3076). ADB </w:t>
      </w:r>
      <w:proofErr w:type="spellStart"/>
      <w:r w:rsidRPr="000B6992">
        <w:rPr>
          <w:rFonts w:ascii="Times New Roman" w:hAnsi="Times New Roman" w:cs="Times New Roman"/>
          <w:lang w:val="en-US"/>
        </w:rPr>
        <w:t>Safegate</w:t>
      </w:r>
      <w:proofErr w:type="spellEnd"/>
      <w:r w:rsidRPr="000B6992">
        <w:rPr>
          <w:rFonts w:ascii="Times New Roman" w:hAnsi="Times New Roman" w:cs="Times New Roman"/>
          <w:lang w:val="en-US"/>
        </w:rPr>
        <w:t xml:space="preserve"> BVBA. </w:t>
      </w:r>
      <w:hyperlink r:id="rId18" w:history="1">
        <w:r w:rsidRPr="000B6992">
          <w:rPr>
            <w:rStyle w:val="Hyperlink"/>
            <w:rFonts w:ascii="Times New Roman" w:hAnsi="Times New Roman" w:cs="Times New Roman"/>
            <w:color w:val="auto"/>
            <w:lang w:val="en-US"/>
          </w:rPr>
          <w:t>https://adbsafegate.com/media/jbllvhwi/ds-3076_linc360.pdf</w:t>
        </w:r>
      </w:hyperlink>
    </w:p>
    <w:p w14:paraId="1AD91F97" w14:textId="2A875466" w:rsidR="000B6992" w:rsidRDefault="000B6992" w:rsidP="000B6992">
      <w:pPr>
        <w:pStyle w:val="BodyText"/>
        <w:spacing w:line="360" w:lineRule="auto"/>
        <w:rPr>
          <w:rFonts w:ascii="Times New Roman" w:hAnsi="Times New Roman" w:cs="Times New Roman"/>
          <w:lang w:val="en-US"/>
        </w:rPr>
      </w:pPr>
      <w:r w:rsidRPr="000B6992">
        <w:rPr>
          <w:rFonts w:ascii="Times New Roman" w:hAnsi="Times New Roman" w:cs="Times New Roman"/>
          <w:lang w:val="en-US"/>
        </w:rPr>
        <w:t>ATG Airports. (</w:t>
      </w:r>
      <w:proofErr w:type="spellStart"/>
      <w:r w:rsidRPr="000B6992">
        <w:rPr>
          <w:rFonts w:ascii="Times New Roman" w:hAnsi="Times New Roman" w:cs="Times New Roman"/>
          <w:lang w:val="en-US"/>
        </w:rPr>
        <w:t>s.d.</w:t>
      </w:r>
      <w:proofErr w:type="spellEnd"/>
      <w:r w:rsidRPr="000B6992">
        <w:rPr>
          <w:rFonts w:ascii="Times New Roman" w:hAnsi="Times New Roman" w:cs="Times New Roman"/>
          <w:lang w:val="en-US"/>
        </w:rPr>
        <w:t xml:space="preserve">). </w:t>
      </w:r>
      <w:proofErr w:type="spellStart"/>
      <w:r w:rsidRPr="000B6992">
        <w:rPr>
          <w:rFonts w:ascii="Times New Roman" w:hAnsi="Times New Roman" w:cs="Times New Roman"/>
          <w:i/>
          <w:iCs/>
          <w:lang w:val="en-US"/>
        </w:rPr>
        <w:t>SmartControl</w:t>
      </w:r>
      <w:proofErr w:type="spellEnd"/>
      <w:r w:rsidRPr="000B6992">
        <w:rPr>
          <w:rFonts w:ascii="Times New Roman" w:hAnsi="Times New Roman" w:cs="Times New Roman"/>
          <w:i/>
          <w:iCs/>
          <w:lang w:val="en-US"/>
        </w:rPr>
        <w:t xml:space="preserve"> — Individual Lamp Control and Monitoring System</w:t>
      </w:r>
      <w:r w:rsidRPr="000B6992">
        <w:rPr>
          <w:rFonts w:ascii="Times New Roman" w:hAnsi="Times New Roman" w:cs="Times New Roman"/>
          <w:lang w:val="en-US"/>
        </w:rPr>
        <w:t xml:space="preserve">. ATG Airports Ltd. </w:t>
      </w:r>
      <w:hyperlink r:id="rId19" w:history="1">
        <w:r w:rsidRPr="000B6992">
          <w:rPr>
            <w:rStyle w:val="Hyperlink"/>
            <w:rFonts w:ascii="Times New Roman" w:hAnsi="Times New Roman" w:cs="Times New Roman"/>
            <w:color w:val="auto"/>
            <w:lang w:val="en-US"/>
          </w:rPr>
          <w:t>https://www.atgairports.com/solutions-and-systems/airfield-control-systems/smgcs/smartcontrol</w:t>
        </w:r>
      </w:hyperlink>
    </w:p>
    <w:p w14:paraId="24BD980F" w14:textId="0429723C" w:rsidR="000B6992" w:rsidRPr="000B6992" w:rsidRDefault="000B6992" w:rsidP="000B6992">
      <w:pPr>
        <w:pStyle w:val="BodyText"/>
        <w:spacing w:line="360" w:lineRule="auto"/>
        <w:rPr>
          <w:rFonts w:ascii="Times New Roman" w:hAnsi="Times New Roman" w:cs="Times New Roman"/>
          <w:lang w:val="en-US"/>
        </w:rPr>
      </w:pPr>
      <w:r w:rsidRPr="000B6992">
        <w:rPr>
          <w:rFonts w:ascii="Times New Roman" w:hAnsi="Times New Roman" w:cs="Times New Roman"/>
          <w:lang w:val="en-US"/>
        </w:rPr>
        <w:t>OCEM Airfield Technology. (</w:t>
      </w:r>
      <w:proofErr w:type="spellStart"/>
      <w:r w:rsidRPr="000B6992">
        <w:rPr>
          <w:rFonts w:ascii="Times New Roman" w:hAnsi="Times New Roman" w:cs="Times New Roman"/>
          <w:lang w:val="en-US"/>
        </w:rPr>
        <w:t>s.d.</w:t>
      </w:r>
      <w:proofErr w:type="spellEnd"/>
      <w:r w:rsidRPr="000B6992">
        <w:rPr>
          <w:rFonts w:ascii="Times New Roman" w:hAnsi="Times New Roman" w:cs="Times New Roman"/>
          <w:lang w:val="en-US"/>
        </w:rPr>
        <w:t xml:space="preserve">). </w:t>
      </w:r>
      <w:r w:rsidRPr="000B6992">
        <w:rPr>
          <w:rFonts w:ascii="Times New Roman" w:hAnsi="Times New Roman" w:cs="Times New Roman"/>
          <w:i/>
          <w:iCs/>
          <w:lang w:val="en-US"/>
        </w:rPr>
        <w:t>ILCMS — Individual Lamp Control and Monitoring System</w:t>
      </w:r>
      <w:r w:rsidRPr="000B6992">
        <w:rPr>
          <w:rFonts w:ascii="Times New Roman" w:hAnsi="Times New Roman" w:cs="Times New Roman"/>
          <w:lang w:val="en-US"/>
        </w:rPr>
        <w:t xml:space="preserve"> [Fiche </w:t>
      </w:r>
      <w:proofErr w:type="spellStart"/>
      <w:r w:rsidRPr="000B6992">
        <w:rPr>
          <w:rFonts w:ascii="Times New Roman" w:hAnsi="Times New Roman" w:cs="Times New Roman"/>
          <w:lang w:val="en-US"/>
        </w:rPr>
        <w:t>produit</w:t>
      </w:r>
      <w:proofErr w:type="spellEnd"/>
      <w:r w:rsidRPr="000B6992">
        <w:rPr>
          <w:rFonts w:ascii="Times New Roman" w:hAnsi="Times New Roman" w:cs="Times New Roman"/>
          <w:lang w:val="en-US"/>
        </w:rPr>
        <w:t xml:space="preserve">]. OCEM Airfield Technology S.p.A. </w:t>
      </w:r>
      <w:hyperlink r:id="rId20" w:history="1">
        <w:r w:rsidRPr="000B6992">
          <w:rPr>
            <w:rStyle w:val="Hyperlink"/>
            <w:rFonts w:ascii="Times New Roman" w:hAnsi="Times New Roman" w:cs="Times New Roman"/>
            <w:color w:val="auto"/>
            <w:lang w:val="en-US"/>
          </w:rPr>
          <w:t>https://ocem.com/en/products/ilcms/</w:t>
        </w:r>
      </w:hyperlink>
    </w:p>
    <w:p w14:paraId="326F89A2" w14:textId="77777777" w:rsidR="00052612" w:rsidRPr="00524677" w:rsidRDefault="003F3D5F" w:rsidP="00371E45">
      <w:pPr>
        <w:pStyle w:val="BodyText"/>
        <w:spacing w:line="360" w:lineRule="auto"/>
        <w:rPr>
          <w:rFonts w:ascii="Times New Roman" w:hAnsi="Times New Roman" w:cs="Times New Roman"/>
          <w:lang w:val="en-US"/>
        </w:rPr>
      </w:pPr>
      <w:r w:rsidRPr="00524677">
        <w:rPr>
          <w:rFonts w:ascii="Times New Roman" w:hAnsi="Times New Roman" w:cs="Times New Roman"/>
          <w:lang w:val="en-US"/>
        </w:rPr>
        <w:t xml:space="preserve">Augier Energy / OCEM. (2019). </w:t>
      </w:r>
      <w:r w:rsidRPr="00524677">
        <w:rPr>
          <w:rFonts w:ascii="Times New Roman" w:hAnsi="Times New Roman" w:cs="Times New Roman"/>
          <w:i/>
          <w:lang w:val="en-US"/>
        </w:rPr>
        <w:t>DIAM 4100 — Thyristor constant current tagging regulator: Installation and maintenance manual</w:t>
      </w:r>
      <w:r w:rsidRPr="00524677">
        <w:rPr>
          <w:rFonts w:ascii="Times New Roman" w:hAnsi="Times New Roman" w:cs="Times New Roman"/>
          <w:lang w:val="en-US"/>
        </w:rPr>
        <w:t xml:space="preserve"> (rev. 1.30, </w:t>
      </w:r>
      <w:proofErr w:type="spellStart"/>
      <w:r w:rsidRPr="00524677">
        <w:rPr>
          <w:rFonts w:ascii="Times New Roman" w:hAnsi="Times New Roman" w:cs="Times New Roman"/>
          <w:lang w:val="en-US"/>
        </w:rPr>
        <w:t>réf</w:t>
      </w:r>
      <w:proofErr w:type="spellEnd"/>
      <w:r w:rsidRPr="00524677">
        <w:rPr>
          <w:rFonts w:ascii="Times New Roman" w:hAnsi="Times New Roman" w:cs="Times New Roman"/>
          <w:lang w:val="en-US"/>
        </w:rPr>
        <w:t>. 6021282). Augier SA / OCEM. https://approachnavigation.com/wp-content/uploads/2020/03/Ocem-Tech-Man-ES-MT-0106_REV1.30_24122019_6021282-DIAM-4100-rev-1-30_EN-2.pdf</w:t>
      </w:r>
    </w:p>
    <w:p w14:paraId="7BFFC984" w14:textId="77777777" w:rsidR="00052612" w:rsidRPr="00524677" w:rsidRDefault="003F3D5F" w:rsidP="00371E45">
      <w:pPr>
        <w:pStyle w:val="BodyText"/>
        <w:spacing w:line="360" w:lineRule="auto"/>
        <w:rPr>
          <w:rFonts w:ascii="Times New Roman" w:hAnsi="Times New Roman" w:cs="Times New Roman"/>
          <w:lang w:val="en-US"/>
        </w:rPr>
      </w:pPr>
      <w:proofErr w:type="spellStart"/>
      <w:r w:rsidRPr="00524677">
        <w:rPr>
          <w:rFonts w:ascii="Times New Roman" w:hAnsi="Times New Roman" w:cs="Times New Roman"/>
          <w:lang w:val="en-US"/>
        </w:rPr>
        <w:t>Auzanneau</w:t>
      </w:r>
      <w:proofErr w:type="spellEnd"/>
      <w:r w:rsidRPr="00524677">
        <w:rPr>
          <w:rFonts w:ascii="Times New Roman" w:hAnsi="Times New Roman" w:cs="Times New Roman"/>
          <w:lang w:val="en-US"/>
        </w:rPr>
        <w:t xml:space="preserve">, F. (2013). Wire troubleshooting and diagnosis: Review and perspectives. </w:t>
      </w:r>
      <w:r w:rsidRPr="00524677">
        <w:rPr>
          <w:rFonts w:ascii="Times New Roman" w:hAnsi="Times New Roman" w:cs="Times New Roman"/>
          <w:i/>
          <w:lang w:val="en-US"/>
        </w:rPr>
        <w:t>Progress in Electromagnetics Research B</w:t>
      </w:r>
      <w:r w:rsidRPr="00524677">
        <w:rPr>
          <w:rFonts w:ascii="Times New Roman" w:hAnsi="Times New Roman" w:cs="Times New Roman"/>
          <w:lang w:val="en-US"/>
        </w:rPr>
        <w:t>, 49, 253–279. https://doi.org/10.2528/PIERB13020115</w:t>
      </w:r>
    </w:p>
    <w:p w14:paraId="1EE2B99A" w14:textId="77777777" w:rsidR="00052612" w:rsidRPr="00524677" w:rsidRDefault="003F3D5F" w:rsidP="00371E45">
      <w:pPr>
        <w:pStyle w:val="BodyText"/>
        <w:spacing w:line="360" w:lineRule="auto"/>
        <w:rPr>
          <w:rFonts w:ascii="Times New Roman" w:hAnsi="Times New Roman" w:cs="Times New Roman"/>
          <w:lang w:val="en-US"/>
        </w:rPr>
      </w:pPr>
      <w:proofErr w:type="spellStart"/>
      <w:r w:rsidRPr="00524677">
        <w:rPr>
          <w:rFonts w:ascii="Times New Roman" w:hAnsi="Times New Roman" w:cs="Times New Roman"/>
          <w:lang w:val="en-US"/>
        </w:rPr>
        <w:t>Chalapathy</w:t>
      </w:r>
      <w:proofErr w:type="spellEnd"/>
      <w:r w:rsidRPr="00524677">
        <w:rPr>
          <w:rFonts w:ascii="Times New Roman" w:hAnsi="Times New Roman" w:cs="Times New Roman"/>
          <w:lang w:val="en-US"/>
        </w:rPr>
        <w:t xml:space="preserve">, R., &amp; Chawla, S. (2019). </w:t>
      </w:r>
      <w:r w:rsidRPr="00524677">
        <w:rPr>
          <w:rFonts w:ascii="Times New Roman" w:hAnsi="Times New Roman" w:cs="Times New Roman"/>
          <w:i/>
          <w:lang w:val="en-US"/>
        </w:rPr>
        <w:t>Deep learning for anomaly detection: A survey</w:t>
      </w:r>
      <w:r w:rsidRPr="00524677">
        <w:rPr>
          <w:rFonts w:ascii="Times New Roman" w:hAnsi="Times New Roman" w:cs="Times New Roman"/>
          <w:lang w:val="en-US"/>
        </w:rPr>
        <w:t xml:space="preserve"> (preprint arXiv:1901.03407). https://arxiv.org/abs/1901.03407</w:t>
      </w:r>
    </w:p>
    <w:p w14:paraId="7AF70B1B" w14:textId="77777777" w:rsidR="00052612" w:rsidRPr="00524677" w:rsidRDefault="003F3D5F" w:rsidP="00371E45">
      <w:pPr>
        <w:pStyle w:val="BodyText"/>
        <w:spacing w:line="360" w:lineRule="auto"/>
        <w:rPr>
          <w:rFonts w:ascii="Times New Roman" w:hAnsi="Times New Roman" w:cs="Times New Roman"/>
          <w:lang w:val="en-US"/>
        </w:rPr>
      </w:pPr>
      <w:r w:rsidRPr="00524677">
        <w:rPr>
          <w:rFonts w:ascii="Times New Roman" w:hAnsi="Times New Roman" w:cs="Times New Roman"/>
          <w:lang w:val="en-US"/>
        </w:rPr>
        <w:t xml:space="preserve">Commission </w:t>
      </w:r>
      <w:proofErr w:type="spellStart"/>
      <w:r w:rsidRPr="00524677">
        <w:rPr>
          <w:rFonts w:ascii="Times New Roman" w:hAnsi="Times New Roman" w:cs="Times New Roman"/>
          <w:lang w:val="en-US"/>
        </w:rPr>
        <w:t>Électrotechnique</w:t>
      </w:r>
      <w:proofErr w:type="spellEnd"/>
      <w:r w:rsidRPr="00524677">
        <w:rPr>
          <w:rFonts w:ascii="Times New Roman" w:hAnsi="Times New Roman" w:cs="Times New Roman"/>
          <w:lang w:val="en-US"/>
        </w:rPr>
        <w:t xml:space="preserve"> </w:t>
      </w:r>
      <w:proofErr w:type="spellStart"/>
      <w:r w:rsidRPr="00524677">
        <w:rPr>
          <w:rFonts w:ascii="Times New Roman" w:hAnsi="Times New Roman" w:cs="Times New Roman"/>
          <w:lang w:val="en-US"/>
        </w:rPr>
        <w:t>Internationale</w:t>
      </w:r>
      <w:proofErr w:type="spellEnd"/>
      <w:r w:rsidRPr="00524677">
        <w:rPr>
          <w:rFonts w:ascii="Times New Roman" w:hAnsi="Times New Roman" w:cs="Times New Roman"/>
          <w:lang w:val="en-US"/>
        </w:rPr>
        <w:t xml:space="preserve">. (2016). </w:t>
      </w:r>
      <w:r w:rsidRPr="00524677">
        <w:rPr>
          <w:rFonts w:ascii="Times New Roman" w:hAnsi="Times New Roman" w:cs="Times New Roman"/>
          <w:i/>
          <w:lang w:val="en-US"/>
        </w:rPr>
        <w:t>IEC 61822:2016 — Electrical installations for lighting and beaconing of aerodromes — Constant current regulators</w:t>
      </w:r>
      <w:r w:rsidRPr="00524677">
        <w:rPr>
          <w:rFonts w:ascii="Times New Roman" w:hAnsi="Times New Roman" w:cs="Times New Roman"/>
          <w:lang w:val="en-US"/>
        </w:rPr>
        <w:t xml:space="preserve">. </w:t>
      </w:r>
      <w:proofErr w:type="gramStart"/>
      <w:r w:rsidRPr="00524677">
        <w:rPr>
          <w:rFonts w:ascii="Times New Roman" w:hAnsi="Times New Roman" w:cs="Times New Roman"/>
          <w:lang w:val="en-US"/>
        </w:rPr>
        <w:t>Genève :</w:t>
      </w:r>
      <w:proofErr w:type="gramEnd"/>
      <w:r w:rsidRPr="00524677">
        <w:rPr>
          <w:rFonts w:ascii="Times New Roman" w:hAnsi="Times New Roman" w:cs="Times New Roman"/>
          <w:lang w:val="en-US"/>
        </w:rPr>
        <w:t xml:space="preserve"> CEI.</w:t>
      </w:r>
    </w:p>
    <w:p w14:paraId="7271F38E" w14:textId="77777777" w:rsidR="00052612" w:rsidRPr="00524677" w:rsidRDefault="003F3D5F" w:rsidP="00371E45">
      <w:pPr>
        <w:pStyle w:val="BodyText"/>
        <w:spacing w:line="360" w:lineRule="auto"/>
        <w:rPr>
          <w:rFonts w:ascii="Times New Roman" w:hAnsi="Times New Roman" w:cs="Times New Roman"/>
          <w:lang w:val="en-US"/>
        </w:rPr>
      </w:pPr>
      <w:r w:rsidRPr="00524677">
        <w:rPr>
          <w:rFonts w:ascii="Times New Roman" w:hAnsi="Times New Roman" w:cs="Times New Roman"/>
          <w:lang w:val="en-US"/>
        </w:rPr>
        <w:t xml:space="preserve">Commission </w:t>
      </w:r>
      <w:proofErr w:type="spellStart"/>
      <w:r w:rsidRPr="00524677">
        <w:rPr>
          <w:rFonts w:ascii="Times New Roman" w:hAnsi="Times New Roman" w:cs="Times New Roman"/>
          <w:lang w:val="en-US"/>
        </w:rPr>
        <w:t>Électrotechnique</w:t>
      </w:r>
      <w:proofErr w:type="spellEnd"/>
      <w:r w:rsidRPr="00524677">
        <w:rPr>
          <w:rFonts w:ascii="Times New Roman" w:hAnsi="Times New Roman" w:cs="Times New Roman"/>
          <w:lang w:val="en-US"/>
        </w:rPr>
        <w:t xml:space="preserve"> </w:t>
      </w:r>
      <w:proofErr w:type="spellStart"/>
      <w:r w:rsidRPr="00524677">
        <w:rPr>
          <w:rFonts w:ascii="Times New Roman" w:hAnsi="Times New Roman" w:cs="Times New Roman"/>
          <w:lang w:val="en-US"/>
        </w:rPr>
        <w:t>Internationale</w:t>
      </w:r>
      <w:proofErr w:type="spellEnd"/>
      <w:r w:rsidRPr="00524677">
        <w:rPr>
          <w:rFonts w:ascii="Times New Roman" w:hAnsi="Times New Roman" w:cs="Times New Roman"/>
          <w:lang w:val="en-US"/>
        </w:rPr>
        <w:t xml:space="preserve">. (2020). </w:t>
      </w:r>
      <w:r w:rsidRPr="00524677">
        <w:rPr>
          <w:rFonts w:ascii="Times New Roman" w:hAnsi="Times New Roman" w:cs="Times New Roman"/>
          <w:i/>
          <w:lang w:val="en-US"/>
        </w:rPr>
        <w:t>IEC 61820-1:2020 — Electrical installations for lighting and beaconing of aerodromes — Part 1: Fundamental principles</w:t>
      </w:r>
      <w:r w:rsidRPr="00524677">
        <w:rPr>
          <w:rFonts w:ascii="Times New Roman" w:hAnsi="Times New Roman" w:cs="Times New Roman"/>
          <w:lang w:val="en-US"/>
        </w:rPr>
        <w:t xml:space="preserve">. </w:t>
      </w:r>
      <w:proofErr w:type="gramStart"/>
      <w:r w:rsidRPr="00524677">
        <w:rPr>
          <w:rFonts w:ascii="Times New Roman" w:hAnsi="Times New Roman" w:cs="Times New Roman"/>
          <w:lang w:val="en-US"/>
        </w:rPr>
        <w:t>Genève :</w:t>
      </w:r>
      <w:proofErr w:type="gramEnd"/>
      <w:r w:rsidRPr="00524677">
        <w:rPr>
          <w:rFonts w:ascii="Times New Roman" w:hAnsi="Times New Roman" w:cs="Times New Roman"/>
          <w:lang w:val="en-US"/>
        </w:rPr>
        <w:t xml:space="preserve"> CEI.</w:t>
      </w:r>
    </w:p>
    <w:p w14:paraId="18998C65" w14:textId="77777777" w:rsidR="00052612" w:rsidRPr="00524677" w:rsidRDefault="003F3D5F" w:rsidP="00371E45">
      <w:pPr>
        <w:pStyle w:val="BodyText"/>
        <w:spacing w:line="360" w:lineRule="auto"/>
        <w:rPr>
          <w:rFonts w:ascii="Times New Roman" w:hAnsi="Times New Roman" w:cs="Times New Roman"/>
          <w:lang w:val="en-US"/>
        </w:rPr>
      </w:pPr>
      <w:r w:rsidRPr="00524677">
        <w:rPr>
          <w:rFonts w:ascii="Times New Roman" w:hAnsi="Times New Roman" w:cs="Times New Roman"/>
          <w:lang w:val="en-US"/>
        </w:rPr>
        <w:lastRenderedPageBreak/>
        <w:t xml:space="preserve">Cui, Y., Zhang, Y., &amp; Liu, S. (2023). Investigating the progression of insulation degradation in power cable based on partial discharge measurements. </w:t>
      </w:r>
      <w:r w:rsidRPr="00524677">
        <w:rPr>
          <w:rFonts w:ascii="Times New Roman" w:hAnsi="Times New Roman" w:cs="Times New Roman"/>
          <w:i/>
          <w:lang w:val="en-US"/>
        </w:rPr>
        <w:t>Electric Power Systems Research</w:t>
      </w:r>
      <w:r w:rsidRPr="00524677">
        <w:rPr>
          <w:rFonts w:ascii="Times New Roman" w:hAnsi="Times New Roman" w:cs="Times New Roman"/>
          <w:lang w:val="en-US"/>
        </w:rPr>
        <w:t>, 218, 109193. https://doi.org/10.1016/j.epsr.2023.109193</w:t>
      </w:r>
    </w:p>
    <w:p w14:paraId="55ABB144" w14:textId="77777777" w:rsidR="00052612" w:rsidRPr="00524677" w:rsidRDefault="003F3D5F" w:rsidP="00371E45">
      <w:pPr>
        <w:pStyle w:val="BodyText"/>
        <w:spacing w:line="360" w:lineRule="auto"/>
        <w:rPr>
          <w:rFonts w:ascii="Times New Roman" w:hAnsi="Times New Roman" w:cs="Times New Roman"/>
          <w:lang w:val="en-US"/>
        </w:rPr>
      </w:pPr>
      <w:r w:rsidRPr="00524677">
        <w:rPr>
          <w:rFonts w:ascii="Times New Roman" w:hAnsi="Times New Roman" w:cs="Times New Roman"/>
          <w:lang w:val="en-US"/>
        </w:rPr>
        <w:t xml:space="preserve">Federal Aviation Administration. (2014). </w:t>
      </w:r>
      <w:r w:rsidRPr="00524677">
        <w:rPr>
          <w:rFonts w:ascii="Times New Roman" w:hAnsi="Times New Roman" w:cs="Times New Roman"/>
          <w:i/>
          <w:lang w:val="en-US"/>
        </w:rPr>
        <w:t>Advisory Circular 150/5340-26C — Maintenance of airport visual aid facilities</w:t>
      </w:r>
      <w:r w:rsidRPr="00524677">
        <w:rPr>
          <w:rFonts w:ascii="Times New Roman" w:hAnsi="Times New Roman" w:cs="Times New Roman"/>
          <w:lang w:val="en-US"/>
        </w:rPr>
        <w:t>. U.S. Department of Transportation. https://www.faa.gov/documentlibrary/media/advisory_circular/150-5340-26c.pdf</w:t>
      </w:r>
    </w:p>
    <w:p w14:paraId="36BC6ED9" w14:textId="77777777" w:rsidR="00052612" w:rsidRPr="00524677" w:rsidRDefault="003F3D5F" w:rsidP="00371E45">
      <w:pPr>
        <w:pStyle w:val="BodyText"/>
        <w:spacing w:line="360" w:lineRule="auto"/>
        <w:rPr>
          <w:rFonts w:ascii="Times New Roman" w:hAnsi="Times New Roman" w:cs="Times New Roman"/>
          <w:lang w:val="en-US"/>
        </w:rPr>
      </w:pPr>
      <w:proofErr w:type="spellStart"/>
      <w:r w:rsidRPr="00524677">
        <w:rPr>
          <w:rFonts w:ascii="Times New Roman" w:hAnsi="Times New Roman" w:cs="Times New Roman"/>
          <w:lang w:val="it-IT"/>
        </w:rPr>
        <w:t>Furse</w:t>
      </w:r>
      <w:proofErr w:type="spellEnd"/>
      <w:r w:rsidRPr="00524677">
        <w:rPr>
          <w:rFonts w:ascii="Times New Roman" w:hAnsi="Times New Roman" w:cs="Times New Roman"/>
          <w:lang w:val="it-IT"/>
        </w:rPr>
        <w:t xml:space="preserve">, C. M., </w:t>
      </w:r>
      <w:proofErr w:type="spellStart"/>
      <w:r w:rsidRPr="00524677">
        <w:rPr>
          <w:rFonts w:ascii="Times New Roman" w:hAnsi="Times New Roman" w:cs="Times New Roman"/>
          <w:lang w:val="it-IT"/>
        </w:rPr>
        <w:t>Kafal</w:t>
      </w:r>
      <w:proofErr w:type="spellEnd"/>
      <w:r w:rsidRPr="00524677">
        <w:rPr>
          <w:rFonts w:ascii="Times New Roman" w:hAnsi="Times New Roman" w:cs="Times New Roman"/>
          <w:lang w:val="it-IT"/>
        </w:rPr>
        <w:t xml:space="preserve">, M., </w:t>
      </w:r>
      <w:proofErr w:type="spellStart"/>
      <w:r w:rsidRPr="00524677">
        <w:rPr>
          <w:rFonts w:ascii="Times New Roman" w:hAnsi="Times New Roman" w:cs="Times New Roman"/>
          <w:lang w:val="it-IT"/>
        </w:rPr>
        <w:t>Razzaghi</w:t>
      </w:r>
      <w:proofErr w:type="spellEnd"/>
      <w:r w:rsidRPr="00524677">
        <w:rPr>
          <w:rFonts w:ascii="Times New Roman" w:hAnsi="Times New Roman" w:cs="Times New Roman"/>
          <w:lang w:val="it-IT"/>
        </w:rPr>
        <w:t xml:space="preserve">, R., &amp; Shin, Y.-J. (2021). </w:t>
      </w:r>
      <w:r w:rsidRPr="00524677">
        <w:rPr>
          <w:rFonts w:ascii="Times New Roman" w:hAnsi="Times New Roman" w:cs="Times New Roman"/>
          <w:lang w:val="en-US"/>
        </w:rPr>
        <w:t xml:space="preserve">Fault diagnosis for electrical systems and power networks: A review. </w:t>
      </w:r>
      <w:r w:rsidRPr="00524677">
        <w:rPr>
          <w:rFonts w:ascii="Times New Roman" w:hAnsi="Times New Roman" w:cs="Times New Roman"/>
          <w:i/>
          <w:lang w:val="en-US"/>
        </w:rPr>
        <w:t>IEEE Sensors Journal</w:t>
      </w:r>
      <w:r w:rsidRPr="00524677">
        <w:rPr>
          <w:rFonts w:ascii="Times New Roman" w:hAnsi="Times New Roman" w:cs="Times New Roman"/>
          <w:lang w:val="en-US"/>
        </w:rPr>
        <w:t>, 21(2), 888–906. https://doi.org/10.1109/JSEN.2020.2987321</w:t>
      </w:r>
    </w:p>
    <w:p w14:paraId="75F538F2" w14:textId="77777777" w:rsidR="00052612" w:rsidRPr="00524677" w:rsidRDefault="003F3D5F" w:rsidP="00371E45">
      <w:pPr>
        <w:pStyle w:val="BodyText"/>
        <w:spacing w:line="360" w:lineRule="auto"/>
        <w:rPr>
          <w:rFonts w:ascii="Times New Roman" w:hAnsi="Times New Roman" w:cs="Times New Roman"/>
          <w:lang w:val="en-US"/>
        </w:rPr>
      </w:pPr>
      <w:r w:rsidRPr="00524677">
        <w:rPr>
          <w:rFonts w:ascii="Times New Roman" w:hAnsi="Times New Roman" w:cs="Times New Roman"/>
          <w:lang w:val="en-US"/>
        </w:rPr>
        <w:t xml:space="preserve">Goodfellow, I., </w:t>
      </w:r>
      <w:proofErr w:type="spellStart"/>
      <w:r w:rsidRPr="00524677">
        <w:rPr>
          <w:rFonts w:ascii="Times New Roman" w:hAnsi="Times New Roman" w:cs="Times New Roman"/>
          <w:lang w:val="en-US"/>
        </w:rPr>
        <w:t>Bengio</w:t>
      </w:r>
      <w:proofErr w:type="spellEnd"/>
      <w:r w:rsidRPr="00524677">
        <w:rPr>
          <w:rFonts w:ascii="Times New Roman" w:hAnsi="Times New Roman" w:cs="Times New Roman"/>
          <w:lang w:val="en-US"/>
        </w:rPr>
        <w:t xml:space="preserve">, Y., &amp; Courville, A. (2016). </w:t>
      </w:r>
      <w:r w:rsidRPr="00524677">
        <w:rPr>
          <w:rFonts w:ascii="Times New Roman" w:hAnsi="Times New Roman" w:cs="Times New Roman"/>
          <w:i/>
          <w:lang w:val="en-US"/>
        </w:rPr>
        <w:t>Deep learning</w:t>
      </w:r>
      <w:r w:rsidRPr="00524677">
        <w:rPr>
          <w:rFonts w:ascii="Times New Roman" w:hAnsi="Times New Roman" w:cs="Times New Roman"/>
          <w:lang w:val="en-US"/>
        </w:rPr>
        <w:t>. MIT Press.</w:t>
      </w:r>
    </w:p>
    <w:p w14:paraId="5B968C01" w14:textId="77777777" w:rsidR="00052612" w:rsidRPr="00524677" w:rsidRDefault="003F3D5F" w:rsidP="00371E45">
      <w:pPr>
        <w:pStyle w:val="BodyText"/>
        <w:spacing w:line="360" w:lineRule="auto"/>
        <w:rPr>
          <w:rFonts w:ascii="Times New Roman" w:hAnsi="Times New Roman" w:cs="Times New Roman"/>
          <w:lang w:val="en-US"/>
        </w:rPr>
      </w:pPr>
      <w:r w:rsidRPr="00524677">
        <w:rPr>
          <w:rFonts w:ascii="Times New Roman" w:hAnsi="Times New Roman" w:cs="Times New Roman"/>
          <w:lang w:val="en-US"/>
        </w:rPr>
        <w:t xml:space="preserve">Grieves, M. W. (2014). Digital twin: Manufacturing excellence through virtual factory replication. </w:t>
      </w:r>
      <w:r w:rsidRPr="00524677">
        <w:rPr>
          <w:rFonts w:ascii="Times New Roman" w:hAnsi="Times New Roman" w:cs="Times New Roman"/>
          <w:i/>
          <w:lang w:val="en-US"/>
        </w:rPr>
        <w:t>White Paper</w:t>
      </w:r>
      <w:r w:rsidRPr="00524677">
        <w:rPr>
          <w:rFonts w:ascii="Times New Roman" w:hAnsi="Times New Roman" w:cs="Times New Roman"/>
          <w:lang w:val="en-US"/>
        </w:rPr>
        <w:t>, Florida Institute of Technology.</w:t>
      </w:r>
    </w:p>
    <w:p w14:paraId="3985F860" w14:textId="77777777" w:rsidR="00052612" w:rsidRPr="00524677" w:rsidRDefault="003F3D5F" w:rsidP="00371E45">
      <w:pPr>
        <w:pStyle w:val="BodyText"/>
        <w:spacing w:line="360" w:lineRule="auto"/>
        <w:rPr>
          <w:rFonts w:ascii="Times New Roman" w:hAnsi="Times New Roman" w:cs="Times New Roman"/>
          <w:lang w:val="en-US"/>
        </w:rPr>
      </w:pPr>
      <w:proofErr w:type="spellStart"/>
      <w:r w:rsidRPr="00524677">
        <w:rPr>
          <w:rFonts w:ascii="Times New Roman" w:hAnsi="Times New Roman" w:cs="Times New Roman"/>
          <w:lang w:val="en-US"/>
        </w:rPr>
        <w:t>Jineeth</w:t>
      </w:r>
      <w:proofErr w:type="spellEnd"/>
      <w:r w:rsidRPr="00524677">
        <w:rPr>
          <w:rFonts w:ascii="Times New Roman" w:hAnsi="Times New Roman" w:cs="Times New Roman"/>
          <w:lang w:val="en-US"/>
        </w:rPr>
        <w:t xml:space="preserve">, J., &amp; </w:t>
      </w:r>
      <w:proofErr w:type="spellStart"/>
      <w:r w:rsidRPr="00524677">
        <w:rPr>
          <w:rFonts w:ascii="Times New Roman" w:hAnsi="Times New Roman" w:cs="Times New Roman"/>
          <w:lang w:val="en-US"/>
        </w:rPr>
        <w:t>Mallepally</w:t>
      </w:r>
      <w:proofErr w:type="spellEnd"/>
      <w:r w:rsidRPr="00524677">
        <w:rPr>
          <w:rFonts w:ascii="Times New Roman" w:hAnsi="Times New Roman" w:cs="Times New Roman"/>
          <w:lang w:val="en-US"/>
        </w:rPr>
        <w:t xml:space="preserve">, R. (2018). Classification of partial discharge sources in XLPE cables by artificial neural networks and support vector machine. </w:t>
      </w:r>
      <w:r w:rsidRPr="00524677">
        <w:rPr>
          <w:rFonts w:ascii="Times New Roman" w:hAnsi="Times New Roman" w:cs="Times New Roman"/>
          <w:i/>
          <w:lang w:val="en-US"/>
        </w:rPr>
        <w:t>2018 IEEE Electrical Insulation Conference (EIC)</w:t>
      </w:r>
      <w:r w:rsidRPr="00524677">
        <w:rPr>
          <w:rFonts w:ascii="Times New Roman" w:hAnsi="Times New Roman" w:cs="Times New Roman"/>
          <w:lang w:val="en-US"/>
        </w:rPr>
        <w:t>, 407–411. https://doi.org/10.1109/EIC.2018.8481124</w:t>
      </w:r>
    </w:p>
    <w:p w14:paraId="639657EF" w14:textId="77777777" w:rsidR="00052612" w:rsidRPr="00524677" w:rsidRDefault="003F3D5F" w:rsidP="00371E45">
      <w:pPr>
        <w:pStyle w:val="BodyText"/>
        <w:spacing w:line="360" w:lineRule="auto"/>
        <w:rPr>
          <w:rFonts w:ascii="Times New Roman" w:hAnsi="Times New Roman" w:cs="Times New Roman"/>
          <w:lang w:val="en-US"/>
        </w:rPr>
      </w:pPr>
      <w:proofErr w:type="spellStart"/>
      <w:r w:rsidRPr="00524677">
        <w:rPr>
          <w:rFonts w:ascii="Times New Roman" w:hAnsi="Times New Roman" w:cs="Times New Roman"/>
          <w:lang w:val="en-US"/>
        </w:rPr>
        <w:t>Koley</w:t>
      </w:r>
      <w:proofErr w:type="spellEnd"/>
      <w:r w:rsidRPr="00524677">
        <w:rPr>
          <w:rFonts w:ascii="Times New Roman" w:hAnsi="Times New Roman" w:cs="Times New Roman"/>
          <w:lang w:val="en-US"/>
        </w:rPr>
        <w:t xml:space="preserve">, E., Verma, K., &amp; Ghosh, S. (2020). A modular neuro–wavelet based non-unit protection scheme for zone identification and fault location in six-phase transmission line. </w:t>
      </w:r>
      <w:r w:rsidRPr="00524677">
        <w:rPr>
          <w:rFonts w:ascii="Times New Roman" w:hAnsi="Times New Roman" w:cs="Times New Roman"/>
          <w:i/>
          <w:lang w:val="en-US"/>
        </w:rPr>
        <w:t>Neural Computing and Applications</w:t>
      </w:r>
      <w:r w:rsidRPr="00524677">
        <w:rPr>
          <w:rFonts w:ascii="Times New Roman" w:hAnsi="Times New Roman" w:cs="Times New Roman"/>
          <w:lang w:val="en-US"/>
        </w:rPr>
        <w:t>, 32, 6315–6332. https://doi.org/10.1007/s00521-019-04130-y</w:t>
      </w:r>
    </w:p>
    <w:p w14:paraId="19B85C98" w14:textId="77777777" w:rsidR="00052612" w:rsidRPr="00524677" w:rsidRDefault="003F3D5F" w:rsidP="00371E45">
      <w:pPr>
        <w:pStyle w:val="BodyText"/>
        <w:spacing w:line="360" w:lineRule="auto"/>
        <w:rPr>
          <w:rFonts w:ascii="Times New Roman" w:hAnsi="Times New Roman" w:cs="Times New Roman"/>
          <w:lang w:val="en-US"/>
        </w:rPr>
      </w:pPr>
      <w:proofErr w:type="spellStart"/>
      <w:r w:rsidRPr="00524677">
        <w:rPr>
          <w:rFonts w:ascii="Times New Roman" w:hAnsi="Times New Roman" w:cs="Times New Roman"/>
          <w:lang w:val="en-US"/>
        </w:rPr>
        <w:t>Lelong</w:t>
      </w:r>
      <w:proofErr w:type="spellEnd"/>
      <w:r w:rsidRPr="00524677">
        <w:rPr>
          <w:rFonts w:ascii="Times New Roman" w:hAnsi="Times New Roman" w:cs="Times New Roman"/>
          <w:lang w:val="en-US"/>
        </w:rPr>
        <w:t xml:space="preserve">, A., &amp; Carrion, M. O. (2009). On-line wire diagnosis using multi-carrier reflectometry (MCTDR). </w:t>
      </w:r>
      <w:r w:rsidRPr="00524677">
        <w:rPr>
          <w:rFonts w:ascii="Times New Roman" w:hAnsi="Times New Roman" w:cs="Times New Roman"/>
          <w:i/>
          <w:lang w:val="en-US"/>
        </w:rPr>
        <w:t>2009 IEEE Sensors</w:t>
      </w:r>
      <w:r w:rsidRPr="00524677">
        <w:rPr>
          <w:rFonts w:ascii="Times New Roman" w:hAnsi="Times New Roman" w:cs="Times New Roman"/>
          <w:lang w:val="en-US"/>
        </w:rPr>
        <w:t>, 751–754. https://doi.org/10.1109/ICSENS.2009.5398248</w:t>
      </w:r>
    </w:p>
    <w:p w14:paraId="50C4F4DB" w14:textId="77777777" w:rsidR="00052612" w:rsidRPr="00524677" w:rsidRDefault="003F3D5F" w:rsidP="00371E45">
      <w:pPr>
        <w:pStyle w:val="BodyText"/>
        <w:spacing w:line="360" w:lineRule="auto"/>
        <w:rPr>
          <w:rFonts w:ascii="Times New Roman" w:hAnsi="Times New Roman" w:cs="Times New Roman"/>
        </w:rPr>
      </w:pPr>
      <w:r w:rsidRPr="00524677">
        <w:rPr>
          <w:rFonts w:ascii="Times New Roman" w:hAnsi="Times New Roman" w:cs="Times New Roman"/>
          <w:lang w:val="en-US"/>
        </w:rPr>
        <w:t xml:space="preserve">Liu, H., Wang, F., &amp; Chen, X. (2023). CNN–SABO–SVM: A novel hybrid algorithm for cable fault diagnosis. </w:t>
      </w:r>
      <w:r w:rsidRPr="00524677">
        <w:rPr>
          <w:rFonts w:ascii="Times New Roman" w:hAnsi="Times New Roman" w:cs="Times New Roman"/>
          <w:i/>
        </w:rPr>
        <w:t>Scientific Reports</w:t>
      </w:r>
      <w:r w:rsidRPr="00524677">
        <w:rPr>
          <w:rFonts w:ascii="Times New Roman" w:hAnsi="Times New Roman" w:cs="Times New Roman"/>
        </w:rPr>
        <w:t>, 15, 32124. https://doi.org/10.1038/s41598-025-32124-0</w:t>
      </w:r>
    </w:p>
    <w:p w14:paraId="2EF253E5" w14:textId="77777777" w:rsidR="00052612" w:rsidRPr="00524677" w:rsidRDefault="003F3D5F" w:rsidP="00371E45">
      <w:pPr>
        <w:pStyle w:val="BodyText"/>
        <w:spacing w:line="360" w:lineRule="auto"/>
        <w:rPr>
          <w:rFonts w:ascii="Times New Roman" w:hAnsi="Times New Roman" w:cs="Times New Roman"/>
          <w:lang w:val="en-US"/>
        </w:rPr>
      </w:pPr>
      <w:proofErr w:type="spellStart"/>
      <w:r w:rsidRPr="00524677">
        <w:rPr>
          <w:rFonts w:ascii="Times New Roman" w:hAnsi="Times New Roman" w:cs="Times New Roman"/>
        </w:rPr>
        <w:t>Nellikkath</w:t>
      </w:r>
      <w:proofErr w:type="spellEnd"/>
      <w:r w:rsidRPr="00524677">
        <w:rPr>
          <w:rFonts w:ascii="Times New Roman" w:hAnsi="Times New Roman" w:cs="Times New Roman"/>
        </w:rPr>
        <w:t xml:space="preserve">, R., &amp; </w:t>
      </w:r>
      <w:proofErr w:type="spellStart"/>
      <w:r w:rsidRPr="00524677">
        <w:rPr>
          <w:rFonts w:ascii="Times New Roman" w:hAnsi="Times New Roman" w:cs="Times New Roman"/>
        </w:rPr>
        <w:t>Chatzivasileiadis</w:t>
      </w:r>
      <w:proofErr w:type="spellEnd"/>
      <w:r w:rsidRPr="00524677">
        <w:rPr>
          <w:rFonts w:ascii="Times New Roman" w:hAnsi="Times New Roman" w:cs="Times New Roman"/>
        </w:rPr>
        <w:t xml:space="preserve">, S. (2022). </w:t>
      </w:r>
      <w:r w:rsidRPr="00524677">
        <w:rPr>
          <w:rFonts w:ascii="Times New Roman" w:hAnsi="Times New Roman" w:cs="Times New Roman"/>
          <w:lang w:val="en-US"/>
        </w:rPr>
        <w:t xml:space="preserve">Physics-informed neural networks for AC optimal power flow. </w:t>
      </w:r>
      <w:r w:rsidRPr="00524677">
        <w:rPr>
          <w:rFonts w:ascii="Times New Roman" w:hAnsi="Times New Roman" w:cs="Times New Roman"/>
          <w:i/>
          <w:lang w:val="en-US"/>
        </w:rPr>
        <w:t>Electric Power Systems Research</w:t>
      </w:r>
      <w:r w:rsidRPr="00524677">
        <w:rPr>
          <w:rFonts w:ascii="Times New Roman" w:hAnsi="Times New Roman" w:cs="Times New Roman"/>
          <w:lang w:val="en-US"/>
        </w:rPr>
        <w:t>, 212, 108412. https://doi.org/10.1016/j.epsr.2022.108412</w:t>
      </w:r>
    </w:p>
    <w:p w14:paraId="218945F8" w14:textId="77777777" w:rsidR="00052612" w:rsidRPr="00524677" w:rsidRDefault="003F3D5F" w:rsidP="00371E45">
      <w:pPr>
        <w:pStyle w:val="BodyText"/>
        <w:spacing w:line="360" w:lineRule="auto"/>
        <w:rPr>
          <w:rFonts w:ascii="Times New Roman" w:hAnsi="Times New Roman" w:cs="Times New Roman"/>
          <w:lang w:val="en-US"/>
        </w:rPr>
      </w:pPr>
      <w:proofErr w:type="spellStart"/>
      <w:r w:rsidRPr="006816FE">
        <w:rPr>
          <w:rFonts w:ascii="Times New Roman" w:hAnsi="Times New Roman" w:cs="Times New Roman"/>
          <w:lang w:val="en-US"/>
        </w:rPr>
        <w:lastRenderedPageBreak/>
        <w:t>Organisation</w:t>
      </w:r>
      <w:proofErr w:type="spellEnd"/>
      <w:r w:rsidRPr="006816FE">
        <w:rPr>
          <w:rFonts w:ascii="Times New Roman" w:hAnsi="Times New Roman" w:cs="Times New Roman"/>
          <w:lang w:val="en-US"/>
        </w:rPr>
        <w:t xml:space="preserve"> de </w:t>
      </w:r>
      <w:proofErr w:type="spellStart"/>
      <w:r w:rsidRPr="006816FE">
        <w:rPr>
          <w:rFonts w:ascii="Times New Roman" w:hAnsi="Times New Roman" w:cs="Times New Roman"/>
          <w:lang w:val="en-US"/>
        </w:rPr>
        <w:t>l’aviation</w:t>
      </w:r>
      <w:proofErr w:type="spellEnd"/>
      <w:r w:rsidRPr="006816FE">
        <w:rPr>
          <w:rFonts w:ascii="Times New Roman" w:hAnsi="Times New Roman" w:cs="Times New Roman"/>
          <w:lang w:val="en-US"/>
        </w:rPr>
        <w:t xml:space="preserve"> civile </w:t>
      </w:r>
      <w:proofErr w:type="spellStart"/>
      <w:r w:rsidRPr="006816FE">
        <w:rPr>
          <w:rFonts w:ascii="Times New Roman" w:hAnsi="Times New Roman" w:cs="Times New Roman"/>
          <w:lang w:val="en-US"/>
        </w:rPr>
        <w:t>internationale</w:t>
      </w:r>
      <w:proofErr w:type="spellEnd"/>
      <w:r w:rsidRPr="006816FE">
        <w:rPr>
          <w:rFonts w:ascii="Times New Roman" w:hAnsi="Times New Roman" w:cs="Times New Roman"/>
          <w:lang w:val="en-US"/>
        </w:rPr>
        <w:t xml:space="preserve">. </w:t>
      </w:r>
      <w:r w:rsidRPr="00524677">
        <w:rPr>
          <w:rFonts w:ascii="Times New Roman" w:hAnsi="Times New Roman" w:cs="Times New Roman"/>
        </w:rPr>
        <w:t xml:space="preserve">(2022). </w:t>
      </w:r>
      <w:r w:rsidRPr="00524677">
        <w:rPr>
          <w:rFonts w:ascii="Times New Roman" w:hAnsi="Times New Roman" w:cs="Times New Roman"/>
          <w:i/>
        </w:rPr>
        <w:t>Annexe 14 à la Convention relative à l’aviation civile internationale — Aérodromes, Volume I : Conception et exploitation technique des aérodromes</w:t>
      </w:r>
      <w:r w:rsidRPr="00524677">
        <w:rPr>
          <w:rFonts w:ascii="Times New Roman" w:hAnsi="Times New Roman" w:cs="Times New Roman"/>
        </w:rPr>
        <w:t xml:space="preserve"> (9ᵉ éd., amendement 18). </w:t>
      </w:r>
      <w:proofErr w:type="gramStart"/>
      <w:r w:rsidRPr="00524677">
        <w:rPr>
          <w:rFonts w:ascii="Times New Roman" w:hAnsi="Times New Roman" w:cs="Times New Roman"/>
          <w:lang w:val="en-US"/>
        </w:rPr>
        <w:t>Montréal :</w:t>
      </w:r>
      <w:proofErr w:type="gramEnd"/>
      <w:r w:rsidRPr="00524677">
        <w:rPr>
          <w:rFonts w:ascii="Times New Roman" w:hAnsi="Times New Roman" w:cs="Times New Roman"/>
          <w:lang w:val="en-US"/>
        </w:rPr>
        <w:t xml:space="preserve"> OACI.</w:t>
      </w:r>
    </w:p>
    <w:p w14:paraId="2A4E0367" w14:textId="77777777" w:rsidR="00052612" w:rsidRPr="00524677" w:rsidRDefault="003F3D5F" w:rsidP="00371E45">
      <w:pPr>
        <w:pStyle w:val="BodyText"/>
        <w:spacing w:line="360" w:lineRule="auto"/>
        <w:rPr>
          <w:rFonts w:ascii="Times New Roman" w:hAnsi="Times New Roman" w:cs="Times New Roman"/>
          <w:lang w:val="en-US"/>
        </w:rPr>
      </w:pPr>
      <w:proofErr w:type="spellStart"/>
      <w:r w:rsidRPr="00524677">
        <w:rPr>
          <w:rFonts w:ascii="Times New Roman" w:hAnsi="Times New Roman" w:cs="Times New Roman"/>
          <w:lang w:val="en-US"/>
        </w:rPr>
        <w:t>Pavlenko</w:t>
      </w:r>
      <w:proofErr w:type="spellEnd"/>
      <w:r w:rsidRPr="00524677">
        <w:rPr>
          <w:rFonts w:ascii="Times New Roman" w:hAnsi="Times New Roman" w:cs="Times New Roman"/>
          <w:lang w:val="en-US"/>
        </w:rPr>
        <w:t xml:space="preserve">, O., </w:t>
      </w:r>
      <w:proofErr w:type="spellStart"/>
      <w:r w:rsidRPr="00524677">
        <w:rPr>
          <w:rFonts w:ascii="Times New Roman" w:hAnsi="Times New Roman" w:cs="Times New Roman"/>
          <w:lang w:val="en-US"/>
        </w:rPr>
        <w:t>Sultanov</w:t>
      </w:r>
      <w:proofErr w:type="spellEnd"/>
      <w:r w:rsidRPr="00524677">
        <w:rPr>
          <w:rFonts w:ascii="Times New Roman" w:hAnsi="Times New Roman" w:cs="Times New Roman"/>
          <w:lang w:val="en-US"/>
        </w:rPr>
        <w:t xml:space="preserve">, M., &amp; </w:t>
      </w:r>
      <w:proofErr w:type="spellStart"/>
      <w:r w:rsidRPr="00524677">
        <w:rPr>
          <w:rFonts w:ascii="Times New Roman" w:hAnsi="Times New Roman" w:cs="Times New Roman"/>
          <w:lang w:val="en-US"/>
        </w:rPr>
        <w:t>Timashova</w:t>
      </w:r>
      <w:proofErr w:type="spellEnd"/>
      <w:r w:rsidRPr="00524677">
        <w:rPr>
          <w:rFonts w:ascii="Times New Roman" w:hAnsi="Times New Roman" w:cs="Times New Roman"/>
          <w:lang w:val="en-US"/>
        </w:rPr>
        <w:t xml:space="preserve">, L. (2024). Single-ended fault location determination on high-voltage overhead power lines with the account for the reactive component of fault impedance. </w:t>
      </w:r>
      <w:r w:rsidRPr="00524677">
        <w:rPr>
          <w:rFonts w:ascii="Times New Roman" w:hAnsi="Times New Roman" w:cs="Times New Roman"/>
          <w:i/>
          <w:lang w:val="en-US"/>
        </w:rPr>
        <w:t>Power Technology and Engineering</w:t>
      </w:r>
      <w:r w:rsidRPr="00524677">
        <w:rPr>
          <w:rFonts w:ascii="Times New Roman" w:hAnsi="Times New Roman" w:cs="Times New Roman"/>
          <w:lang w:val="en-US"/>
        </w:rPr>
        <w:t>, 58(3), 384–392. https://doi.org/10.1007/s10749-024-01821-y</w:t>
      </w:r>
    </w:p>
    <w:p w14:paraId="0DE544C3" w14:textId="77777777" w:rsidR="00052612" w:rsidRPr="00524677" w:rsidRDefault="003F3D5F" w:rsidP="00371E45">
      <w:pPr>
        <w:pStyle w:val="BodyText"/>
        <w:spacing w:line="360" w:lineRule="auto"/>
        <w:rPr>
          <w:rFonts w:ascii="Times New Roman" w:hAnsi="Times New Roman" w:cs="Times New Roman"/>
          <w:lang w:val="en-US"/>
        </w:rPr>
      </w:pPr>
      <w:proofErr w:type="spellStart"/>
      <w:r w:rsidRPr="00524677">
        <w:rPr>
          <w:rFonts w:ascii="Times New Roman" w:hAnsi="Times New Roman" w:cs="Times New Roman"/>
          <w:lang w:val="en-US"/>
        </w:rPr>
        <w:t>Pinpart</w:t>
      </w:r>
      <w:proofErr w:type="spellEnd"/>
      <w:r w:rsidRPr="00524677">
        <w:rPr>
          <w:rFonts w:ascii="Times New Roman" w:hAnsi="Times New Roman" w:cs="Times New Roman"/>
          <w:lang w:val="en-US"/>
        </w:rPr>
        <w:t xml:space="preserve">, T., &amp; Judd, M. D. (2012). Differentiating between partial discharge sources using envelope comparison of ultra-high-frequency signals. </w:t>
      </w:r>
      <w:r w:rsidRPr="00524677">
        <w:rPr>
          <w:rFonts w:ascii="Times New Roman" w:hAnsi="Times New Roman" w:cs="Times New Roman"/>
          <w:i/>
          <w:lang w:val="en-US"/>
        </w:rPr>
        <w:t>IET Science, Measurement &amp; Technology</w:t>
      </w:r>
      <w:r w:rsidRPr="00524677">
        <w:rPr>
          <w:rFonts w:ascii="Times New Roman" w:hAnsi="Times New Roman" w:cs="Times New Roman"/>
          <w:lang w:val="en-US"/>
        </w:rPr>
        <w:t>, 6(3), 147–156. https://doi.org/10.1049/iet-smt.2011.0108</w:t>
      </w:r>
    </w:p>
    <w:p w14:paraId="2F8BA51D" w14:textId="77777777" w:rsidR="00052612" w:rsidRPr="00524677" w:rsidRDefault="003F3D5F" w:rsidP="00371E45">
      <w:pPr>
        <w:pStyle w:val="BodyText"/>
        <w:spacing w:line="360" w:lineRule="auto"/>
        <w:rPr>
          <w:rFonts w:ascii="Times New Roman" w:hAnsi="Times New Roman" w:cs="Times New Roman"/>
          <w:lang w:val="en-US"/>
        </w:rPr>
      </w:pPr>
      <w:proofErr w:type="spellStart"/>
      <w:r w:rsidRPr="00524677">
        <w:rPr>
          <w:rFonts w:ascii="Times New Roman" w:hAnsi="Times New Roman" w:cs="Times New Roman"/>
          <w:lang w:val="en-US"/>
        </w:rPr>
        <w:t>Saha</w:t>
      </w:r>
      <w:proofErr w:type="spellEnd"/>
      <w:r w:rsidRPr="00524677">
        <w:rPr>
          <w:rFonts w:ascii="Times New Roman" w:hAnsi="Times New Roman" w:cs="Times New Roman"/>
          <w:lang w:val="en-US"/>
        </w:rPr>
        <w:t xml:space="preserve">, M. M., </w:t>
      </w:r>
      <w:proofErr w:type="spellStart"/>
      <w:r w:rsidRPr="00524677">
        <w:rPr>
          <w:rFonts w:ascii="Times New Roman" w:hAnsi="Times New Roman" w:cs="Times New Roman"/>
          <w:lang w:val="en-US"/>
        </w:rPr>
        <w:t>Izykowski</w:t>
      </w:r>
      <w:proofErr w:type="spellEnd"/>
      <w:r w:rsidRPr="00524677">
        <w:rPr>
          <w:rFonts w:ascii="Times New Roman" w:hAnsi="Times New Roman" w:cs="Times New Roman"/>
          <w:lang w:val="en-US"/>
        </w:rPr>
        <w:t xml:space="preserve">, J., &amp; </w:t>
      </w:r>
      <w:proofErr w:type="spellStart"/>
      <w:r w:rsidRPr="00524677">
        <w:rPr>
          <w:rFonts w:ascii="Times New Roman" w:hAnsi="Times New Roman" w:cs="Times New Roman"/>
          <w:lang w:val="en-US"/>
        </w:rPr>
        <w:t>Rosolowski</w:t>
      </w:r>
      <w:proofErr w:type="spellEnd"/>
      <w:r w:rsidRPr="00524677">
        <w:rPr>
          <w:rFonts w:ascii="Times New Roman" w:hAnsi="Times New Roman" w:cs="Times New Roman"/>
          <w:lang w:val="en-US"/>
        </w:rPr>
        <w:t xml:space="preserve">, E. (2010). </w:t>
      </w:r>
      <w:r w:rsidRPr="00524677">
        <w:rPr>
          <w:rFonts w:ascii="Times New Roman" w:hAnsi="Times New Roman" w:cs="Times New Roman"/>
          <w:i/>
          <w:lang w:val="en-US"/>
        </w:rPr>
        <w:t>Fault location on power networks</w:t>
      </w:r>
      <w:r w:rsidRPr="00524677">
        <w:rPr>
          <w:rFonts w:ascii="Times New Roman" w:hAnsi="Times New Roman" w:cs="Times New Roman"/>
          <w:lang w:val="en-US"/>
        </w:rPr>
        <w:t>. Springer. https://doi.org/10.1007/978-1-84882-886-5</w:t>
      </w:r>
    </w:p>
    <w:p w14:paraId="1B4A0CD3" w14:textId="77777777" w:rsidR="00052612" w:rsidRPr="00524677" w:rsidRDefault="003F3D5F" w:rsidP="00371E45">
      <w:pPr>
        <w:pStyle w:val="BodyText"/>
        <w:spacing w:line="360" w:lineRule="auto"/>
        <w:rPr>
          <w:rFonts w:ascii="Times New Roman" w:hAnsi="Times New Roman" w:cs="Times New Roman"/>
          <w:lang w:val="en-US"/>
        </w:rPr>
      </w:pPr>
      <w:proofErr w:type="spellStart"/>
      <w:r w:rsidRPr="00524677">
        <w:rPr>
          <w:rFonts w:ascii="Times New Roman" w:hAnsi="Times New Roman" w:cs="Times New Roman"/>
          <w:lang w:val="en-US"/>
        </w:rPr>
        <w:t>Schölkopf</w:t>
      </w:r>
      <w:proofErr w:type="spellEnd"/>
      <w:r w:rsidRPr="00524677">
        <w:rPr>
          <w:rFonts w:ascii="Times New Roman" w:hAnsi="Times New Roman" w:cs="Times New Roman"/>
          <w:lang w:val="en-US"/>
        </w:rPr>
        <w:t xml:space="preserve">, B., Platt, J. C., </w:t>
      </w:r>
      <w:proofErr w:type="spellStart"/>
      <w:r w:rsidRPr="00524677">
        <w:rPr>
          <w:rFonts w:ascii="Times New Roman" w:hAnsi="Times New Roman" w:cs="Times New Roman"/>
          <w:lang w:val="en-US"/>
        </w:rPr>
        <w:t>Shawe</w:t>
      </w:r>
      <w:proofErr w:type="spellEnd"/>
      <w:r w:rsidRPr="00524677">
        <w:rPr>
          <w:rFonts w:ascii="Times New Roman" w:hAnsi="Times New Roman" w:cs="Times New Roman"/>
          <w:lang w:val="en-US"/>
        </w:rPr>
        <w:t xml:space="preserve">-Taylor, J., </w:t>
      </w:r>
      <w:proofErr w:type="spellStart"/>
      <w:r w:rsidRPr="00524677">
        <w:rPr>
          <w:rFonts w:ascii="Times New Roman" w:hAnsi="Times New Roman" w:cs="Times New Roman"/>
          <w:lang w:val="en-US"/>
        </w:rPr>
        <w:t>Smola</w:t>
      </w:r>
      <w:proofErr w:type="spellEnd"/>
      <w:r w:rsidRPr="00524677">
        <w:rPr>
          <w:rFonts w:ascii="Times New Roman" w:hAnsi="Times New Roman" w:cs="Times New Roman"/>
          <w:lang w:val="en-US"/>
        </w:rPr>
        <w:t xml:space="preserve">, A. J., &amp; Williamson, R. C. (2001). Estimating the support of a high-dimensional distribution. </w:t>
      </w:r>
      <w:r w:rsidRPr="00524677">
        <w:rPr>
          <w:rFonts w:ascii="Times New Roman" w:hAnsi="Times New Roman" w:cs="Times New Roman"/>
          <w:i/>
          <w:lang w:val="en-US"/>
        </w:rPr>
        <w:t>Neural Computation</w:t>
      </w:r>
      <w:r w:rsidRPr="00524677">
        <w:rPr>
          <w:rFonts w:ascii="Times New Roman" w:hAnsi="Times New Roman" w:cs="Times New Roman"/>
          <w:lang w:val="en-US"/>
        </w:rPr>
        <w:t>, 13(7), 1443–1471. https://doi.org/10.1162/089976601750264965</w:t>
      </w:r>
    </w:p>
    <w:p w14:paraId="02DAB27A" w14:textId="77777777" w:rsidR="00052612" w:rsidRPr="00524677" w:rsidRDefault="003F3D5F" w:rsidP="00371E45">
      <w:pPr>
        <w:pStyle w:val="BodyText"/>
        <w:spacing w:line="360" w:lineRule="auto"/>
        <w:rPr>
          <w:rFonts w:ascii="Times New Roman" w:hAnsi="Times New Roman" w:cs="Times New Roman"/>
        </w:rPr>
      </w:pPr>
      <w:r w:rsidRPr="00524677">
        <w:rPr>
          <w:rFonts w:ascii="Times New Roman" w:hAnsi="Times New Roman" w:cs="Times New Roman"/>
        </w:rPr>
        <w:t xml:space="preserve">Service Technique de l’Aviation Civile. (2014). </w:t>
      </w:r>
      <w:r w:rsidRPr="00524677">
        <w:rPr>
          <w:rFonts w:ascii="Times New Roman" w:hAnsi="Times New Roman" w:cs="Times New Roman"/>
          <w:i/>
        </w:rPr>
        <w:t>Maintenance du balisage lumineux des aérodromes — Guide technique</w:t>
      </w:r>
      <w:r w:rsidRPr="00524677">
        <w:rPr>
          <w:rFonts w:ascii="Times New Roman" w:hAnsi="Times New Roman" w:cs="Times New Roman"/>
        </w:rPr>
        <w:t>. Direction Générale de l’Aviation Civile. https://www.stac.aviation-civile.gouv.fr/sites/default/files/maintenance_balisage.pdf</w:t>
      </w:r>
    </w:p>
    <w:p w14:paraId="1AFDB229" w14:textId="77777777" w:rsidR="00052612" w:rsidRPr="00524677" w:rsidRDefault="003F3D5F" w:rsidP="00371E45">
      <w:pPr>
        <w:pStyle w:val="BodyText"/>
        <w:spacing w:line="360" w:lineRule="auto"/>
        <w:rPr>
          <w:rFonts w:ascii="Times New Roman" w:hAnsi="Times New Roman" w:cs="Times New Roman"/>
        </w:rPr>
      </w:pPr>
      <w:r w:rsidRPr="00524677">
        <w:rPr>
          <w:rFonts w:ascii="Times New Roman" w:hAnsi="Times New Roman" w:cs="Times New Roman"/>
        </w:rPr>
        <w:t xml:space="preserve">Service Technique de l’Aviation Civile. (2021). </w:t>
      </w:r>
      <w:r w:rsidRPr="00524677">
        <w:rPr>
          <w:rFonts w:ascii="Times New Roman" w:hAnsi="Times New Roman" w:cs="Times New Roman"/>
          <w:i/>
        </w:rPr>
        <w:t>Spécifications techniques des feux de balisage aéronautique</w:t>
      </w:r>
      <w:r w:rsidRPr="00524677">
        <w:rPr>
          <w:rFonts w:ascii="Times New Roman" w:hAnsi="Times New Roman" w:cs="Times New Roman"/>
        </w:rPr>
        <w:t>. Direction Générale de l’Aviation Civile.</w:t>
      </w:r>
    </w:p>
    <w:p w14:paraId="11A89F73" w14:textId="77777777" w:rsidR="00052612" w:rsidRPr="00524677" w:rsidRDefault="003F3D5F" w:rsidP="00371E45">
      <w:pPr>
        <w:pStyle w:val="BodyText"/>
        <w:spacing w:line="360" w:lineRule="auto"/>
        <w:rPr>
          <w:rFonts w:ascii="Times New Roman" w:hAnsi="Times New Roman" w:cs="Times New Roman"/>
          <w:lang w:val="en-US"/>
        </w:rPr>
      </w:pPr>
      <w:r w:rsidRPr="00524677">
        <w:rPr>
          <w:rFonts w:ascii="Times New Roman" w:hAnsi="Times New Roman" w:cs="Times New Roman"/>
        </w:rPr>
        <w:t xml:space="preserve">Shi, X., &amp; Kanoun, O. (2014). A new </w:t>
      </w:r>
      <w:proofErr w:type="spellStart"/>
      <w:r w:rsidRPr="00524677">
        <w:rPr>
          <w:rFonts w:ascii="Times New Roman" w:hAnsi="Times New Roman" w:cs="Times New Roman"/>
        </w:rPr>
        <w:t>algorithm</w:t>
      </w:r>
      <w:proofErr w:type="spellEnd"/>
      <w:r w:rsidRPr="00524677">
        <w:rPr>
          <w:rFonts w:ascii="Times New Roman" w:hAnsi="Times New Roman" w:cs="Times New Roman"/>
        </w:rPr>
        <w:t xml:space="preserve"> for </w:t>
      </w:r>
      <w:proofErr w:type="spellStart"/>
      <w:r w:rsidRPr="00524677">
        <w:rPr>
          <w:rFonts w:ascii="Times New Roman" w:hAnsi="Times New Roman" w:cs="Times New Roman"/>
        </w:rPr>
        <w:t>wire</w:t>
      </w:r>
      <w:proofErr w:type="spellEnd"/>
      <w:r w:rsidRPr="00524677">
        <w:rPr>
          <w:rFonts w:ascii="Times New Roman" w:hAnsi="Times New Roman" w:cs="Times New Roman"/>
        </w:rPr>
        <w:t xml:space="preserve"> </w:t>
      </w:r>
      <w:proofErr w:type="spellStart"/>
      <w:r w:rsidRPr="00524677">
        <w:rPr>
          <w:rFonts w:ascii="Times New Roman" w:hAnsi="Times New Roman" w:cs="Times New Roman"/>
        </w:rPr>
        <w:t>fault</w:t>
      </w:r>
      <w:proofErr w:type="spellEnd"/>
      <w:r w:rsidRPr="00524677">
        <w:rPr>
          <w:rFonts w:ascii="Times New Roman" w:hAnsi="Times New Roman" w:cs="Times New Roman"/>
        </w:rPr>
        <w:t xml:space="preserve"> location </w:t>
      </w:r>
      <w:proofErr w:type="spellStart"/>
      <w:r w:rsidRPr="00524677">
        <w:rPr>
          <w:rFonts w:ascii="Times New Roman" w:hAnsi="Times New Roman" w:cs="Times New Roman"/>
        </w:rPr>
        <w:t>using</w:t>
      </w:r>
      <w:proofErr w:type="spellEnd"/>
      <w:r w:rsidRPr="00524677">
        <w:rPr>
          <w:rFonts w:ascii="Times New Roman" w:hAnsi="Times New Roman" w:cs="Times New Roman"/>
        </w:rPr>
        <w:t xml:space="preserve"> time-</w:t>
      </w:r>
      <w:proofErr w:type="spellStart"/>
      <w:r w:rsidRPr="00524677">
        <w:rPr>
          <w:rFonts w:ascii="Times New Roman" w:hAnsi="Times New Roman" w:cs="Times New Roman"/>
        </w:rPr>
        <w:t>domain</w:t>
      </w:r>
      <w:proofErr w:type="spellEnd"/>
      <w:r w:rsidRPr="00524677">
        <w:rPr>
          <w:rFonts w:ascii="Times New Roman" w:hAnsi="Times New Roman" w:cs="Times New Roman"/>
        </w:rPr>
        <w:t xml:space="preserve"> </w:t>
      </w:r>
      <w:proofErr w:type="spellStart"/>
      <w:r w:rsidRPr="00524677">
        <w:rPr>
          <w:rFonts w:ascii="Times New Roman" w:hAnsi="Times New Roman" w:cs="Times New Roman"/>
        </w:rPr>
        <w:t>reflectometry</w:t>
      </w:r>
      <w:proofErr w:type="spellEnd"/>
      <w:r w:rsidRPr="00524677">
        <w:rPr>
          <w:rFonts w:ascii="Times New Roman" w:hAnsi="Times New Roman" w:cs="Times New Roman"/>
        </w:rPr>
        <w:t xml:space="preserve">. </w:t>
      </w:r>
      <w:r w:rsidRPr="00524677">
        <w:rPr>
          <w:rFonts w:ascii="Times New Roman" w:hAnsi="Times New Roman" w:cs="Times New Roman"/>
          <w:i/>
          <w:lang w:val="en-US"/>
        </w:rPr>
        <w:t>IEEE Sensors Journal</w:t>
      </w:r>
      <w:r w:rsidRPr="00524677">
        <w:rPr>
          <w:rFonts w:ascii="Times New Roman" w:hAnsi="Times New Roman" w:cs="Times New Roman"/>
          <w:lang w:val="en-US"/>
        </w:rPr>
        <w:t>, 14(4), 1171–1178. https://doi.org/10.1109/JSEN.2013.2294193</w:t>
      </w:r>
    </w:p>
    <w:p w14:paraId="0CF9AD03" w14:textId="77777777" w:rsidR="00052612" w:rsidRPr="00524677" w:rsidRDefault="003F3D5F" w:rsidP="00371E45">
      <w:pPr>
        <w:pStyle w:val="BodyText"/>
        <w:spacing w:line="360" w:lineRule="auto"/>
        <w:rPr>
          <w:rFonts w:ascii="Times New Roman" w:hAnsi="Times New Roman" w:cs="Times New Roman"/>
          <w:lang w:val="en-US"/>
        </w:rPr>
      </w:pPr>
      <w:r w:rsidRPr="00524677">
        <w:rPr>
          <w:rFonts w:ascii="Times New Roman" w:hAnsi="Times New Roman" w:cs="Times New Roman"/>
          <w:lang w:val="en-US"/>
        </w:rPr>
        <w:t xml:space="preserve">Sian, H.-W., </w:t>
      </w:r>
      <w:proofErr w:type="spellStart"/>
      <w:r w:rsidRPr="00524677">
        <w:rPr>
          <w:rFonts w:ascii="Times New Roman" w:hAnsi="Times New Roman" w:cs="Times New Roman"/>
          <w:lang w:val="en-US"/>
        </w:rPr>
        <w:t>Kuo</w:t>
      </w:r>
      <w:proofErr w:type="spellEnd"/>
      <w:r w:rsidRPr="00524677">
        <w:rPr>
          <w:rFonts w:ascii="Times New Roman" w:hAnsi="Times New Roman" w:cs="Times New Roman"/>
          <w:lang w:val="en-US"/>
        </w:rPr>
        <w:t xml:space="preserve">, C.-C., &amp; Lu, S.-D. (2023). A novel fault diagnosis method of power cable based on convolutional probabilistic neural network with discrete wavelet transform and symmetrized dot pattern. </w:t>
      </w:r>
      <w:r w:rsidRPr="00524677">
        <w:rPr>
          <w:rFonts w:ascii="Times New Roman" w:hAnsi="Times New Roman" w:cs="Times New Roman"/>
          <w:i/>
          <w:lang w:val="en-US"/>
        </w:rPr>
        <w:t>IET Science, Measurement &amp; Technology</w:t>
      </w:r>
      <w:r w:rsidRPr="00524677">
        <w:rPr>
          <w:rFonts w:ascii="Times New Roman" w:hAnsi="Times New Roman" w:cs="Times New Roman"/>
          <w:lang w:val="en-US"/>
        </w:rPr>
        <w:t>, 17(4), 173–186. https://doi.org/10.1049/smt2.12130</w:t>
      </w:r>
    </w:p>
    <w:p w14:paraId="616F0256" w14:textId="02BD07A3" w:rsidR="00052612" w:rsidRPr="0003749C" w:rsidRDefault="003F3D5F" w:rsidP="00371E45">
      <w:pPr>
        <w:pStyle w:val="BodyText"/>
        <w:spacing w:line="360" w:lineRule="auto"/>
        <w:rPr>
          <w:rFonts w:ascii="Times New Roman" w:hAnsi="Times New Roman" w:cs="Times New Roman"/>
          <w:lang w:val="en-US"/>
        </w:rPr>
      </w:pPr>
      <w:r w:rsidRPr="00524677">
        <w:rPr>
          <w:rFonts w:ascii="Times New Roman" w:hAnsi="Times New Roman" w:cs="Times New Roman"/>
          <w:lang w:val="en-US"/>
        </w:rPr>
        <w:lastRenderedPageBreak/>
        <w:t xml:space="preserve">Tolani, S., </w:t>
      </w:r>
      <w:proofErr w:type="spellStart"/>
      <w:r w:rsidRPr="00524677">
        <w:rPr>
          <w:rFonts w:ascii="Times New Roman" w:hAnsi="Times New Roman" w:cs="Times New Roman"/>
          <w:lang w:val="en-US"/>
        </w:rPr>
        <w:t>Pattanaik</w:t>
      </w:r>
      <w:proofErr w:type="spellEnd"/>
      <w:r w:rsidRPr="00524677">
        <w:rPr>
          <w:rFonts w:ascii="Times New Roman" w:hAnsi="Times New Roman" w:cs="Times New Roman"/>
          <w:lang w:val="en-US"/>
        </w:rPr>
        <w:t xml:space="preserve">, S., &amp; Panda, G. (2024). Sequential data-based fault location for single-line-to-ground fault in a T-connection power line. </w:t>
      </w:r>
      <w:r w:rsidRPr="0003749C">
        <w:rPr>
          <w:rFonts w:ascii="Times New Roman" w:hAnsi="Times New Roman" w:cs="Times New Roman"/>
          <w:i/>
          <w:lang w:val="en-US"/>
        </w:rPr>
        <w:t>Energies</w:t>
      </w:r>
      <w:r w:rsidRPr="0003749C">
        <w:rPr>
          <w:rFonts w:ascii="Times New Roman" w:hAnsi="Times New Roman" w:cs="Times New Roman"/>
          <w:lang w:val="en-US"/>
        </w:rPr>
        <w:t>, 17(12), 2975. https://doi.org/10.3390/en17122975</w:t>
      </w:r>
    </w:p>
    <w:p w14:paraId="023D3388" w14:textId="5BCCADD6" w:rsidR="006816FE" w:rsidRDefault="0003749C" w:rsidP="00095491">
      <w:pPr>
        <w:pStyle w:val="BodyText"/>
        <w:spacing w:line="360" w:lineRule="auto"/>
        <w:rPr>
          <w:rStyle w:val="Hyperlink"/>
          <w:rFonts w:ascii="Times New Roman" w:hAnsi="Times New Roman" w:cs="Times New Roman"/>
          <w:color w:val="auto"/>
          <w:lang w:val="en-US"/>
        </w:rPr>
      </w:pPr>
      <w:r w:rsidRPr="0003749C">
        <w:rPr>
          <w:rFonts w:ascii="Times New Roman" w:hAnsi="Times New Roman" w:cs="Times New Roman"/>
          <w:lang w:val="en-US"/>
        </w:rPr>
        <w:t xml:space="preserve">Hampton, N. (2016). Medium voltage cable system issues. </w:t>
      </w:r>
      <w:r w:rsidRPr="0003749C">
        <w:rPr>
          <w:rFonts w:ascii="Times New Roman" w:hAnsi="Times New Roman" w:cs="Times New Roman"/>
          <w:i/>
          <w:iCs/>
          <w:lang w:val="en-US"/>
        </w:rPr>
        <w:t>Cable diagnostic focused initiative Phase II report</w:t>
      </w:r>
      <w:r w:rsidRPr="0003749C">
        <w:rPr>
          <w:rFonts w:ascii="Times New Roman" w:hAnsi="Times New Roman" w:cs="Times New Roman"/>
          <w:lang w:val="en-US"/>
        </w:rPr>
        <w:t xml:space="preserve">, Chapter 2. NEETRAC, Georgia Tech. </w:t>
      </w:r>
      <w:hyperlink r:id="rId21" w:history="1">
        <w:r w:rsidRPr="0003749C">
          <w:rPr>
            <w:rStyle w:val="Hyperlink"/>
            <w:rFonts w:ascii="Times New Roman" w:hAnsi="Times New Roman" w:cs="Times New Roman"/>
            <w:color w:val="auto"/>
            <w:lang w:val="en-US"/>
          </w:rPr>
          <w:t>https://www.academia.edu/90829976/Medium_Voltage_Cable_System_Issues</w:t>
        </w:r>
      </w:hyperlink>
      <w:r w:rsidR="006816FE">
        <w:rPr>
          <w:rStyle w:val="Hyperlink"/>
          <w:rFonts w:ascii="Times New Roman" w:hAnsi="Times New Roman" w:cs="Times New Roman"/>
          <w:color w:val="auto"/>
          <w:lang w:val="en-US"/>
        </w:rPr>
        <w:br w:type="page"/>
      </w:r>
    </w:p>
    <w:p w14:paraId="4CE0C04A" w14:textId="78A941C0" w:rsidR="006816FE" w:rsidRPr="006816FE" w:rsidRDefault="006816FE" w:rsidP="006816FE">
      <w:pPr>
        <w:pStyle w:val="Heading1"/>
      </w:pPr>
      <w:bookmarkStart w:id="68" w:name="_Toc229131336"/>
      <w:r w:rsidRPr="006816FE">
        <w:lastRenderedPageBreak/>
        <w:t>Lexique</w:t>
      </w:r>
      <w:bookmarkEnd w:id="68"/>
    </w:p>
    <w:p w14:paraId="4B772B21" w14:textId="139EC463" w:rsidR="006816FE" w:rsidRPr="006816FE" w:rsidRDefault="006816FE" w:rsidP="006816FE">
      <w:pPr>
        <w:pStyle w:val="FirstParagraph"/>
        <w:rPr>
          <w:b/>
          <w:bCs/>
          <w:lang w:val="fr-FR"/>
        </w:rPr>
      </w:pPr>
      <w:r w:rsidRPr="006816FE">
        <w:rPr>
          <w:b/>
          <w:bCs/>
          <w:lang w:val="fr-FR"/>
        </w:rPr>
        <w:t>A. Institutions et Normes</w:t>
      </w:r>
    </w:p>
    <w:p w14:paraId="35BE7146" w14:textId="77777777" w:rsidR="006816FE" w:rsidRPr="003A09C3" w:rsidRDefault="006816FE" w:rsidP="006816FE">
      <w:pPr>
        <w:pStyle w:val="FirstParagraph"/>
        <w:rPr>
          <w:lang w:val="fr-FR"/>
        </w:rPr>
      </w:pPr>
      <w:r w:rsidRPr="006816FE">
        <w:rPr>
          <w:b/>
          <w:bCs/>
          <w:lang w:val="fr-FR"/>
        </w:rPr>
        <w:t xml:space="preserve">ASECNA </w:t>
      </w:r>
      <w:r w:rsidRPr="003A09C3">
        <w:rPr>
          <w:lang w:val="fr-FR"/>
        </w:rPr>
        <w:t>: Agence pour la Sécurité de la Navigation Aérienne en Afrique et à Madagascar. Organisme assurant la gestion de l'espace aérien et la maintenance des infrastructures (dont le balisage) sur le site d'étude (Aéroport de Douala).</w:t>
      </w:r>
    </w:p>
    <w:p w14:paraId="660C4D90" w14:textId="77777777" w:rsidR="006816FE" w:rsidRPr="003A09C3" w:rsidRDefault="006816FE" w:rsidP="006816FE">
      <w:pPr>
        <w:pStyle w:val="FirstParagraph"/>
        <w:rPr>
          <w:lang w:val="fr-FR"/>
        </w:rPr>
      </w:pPr>
      <w:r w:rsidRPr="006816FE">
        <w:rPr>
          <w:b/>
          <w:bCs/>
          <w:lang w:val="fr-FR"/>
        </w:rPr>
        <w:t>CEI (ou IEC)</w:t>
      </w:r>
      <w:r w:rsidRPr="003A09C3">
        <w:rPr>
          <w:lang w:val="fr-FR"/>
        </w:rPr>
        <w:t xml:space="preserve"> : Commission Électrotechnique Internationale. Organisation internationale de normalisation définissant les standards électriques (</w:t>
      </w:r>
      <w:proofErr w:type="gramStart"/>
      <w:r w:rsidRPr="003A09C3">
        <w:rPr>
          <w:lang w:val="fr-FR"/>
        </w:rPr>
        <w:t>ex:</w:t>
      </w:r>
      <w:proofErr w:type="gramEnd"/>
      <w:r w:rsidRPr="003A09C3">
        <w:rPr>
          <w:lang w:val="fr-FR"/>
        </w:rPr>
        <w:t xml:space="preserve"> CEI 61822 pour les régulateurs de balisage).</w:t>
      </w:r>
    </w:p>
    <w:p w14:paraId="010883EE" w14:textId="77777777" w:rsidR="006816FE" w:rsidRPr="003A09C3" w:rsidRDefault="006816FE" w:rsidP="006816FE">
      <w:pPr>
        <w:pStyle w:val="FirstParagraph"/>
        <w:rPr>
          <w:lang w:val="fr-FR"/>
        </w:rPr>
      </w:pPr>
      <w:r w:rsidRPr="006816FE">
        <w:rPr>
          <w:b/>
          <w:bCs/>
          <w:lang w:val="fr-FR"/>
        </w:rPr>
        <w:t>FAA : </w:t>
      </w:r>
      <w:proofErr w:type="spellStart"/>
      <w:r w:rsidRPr="006816FE">
        <w:rPr>
          <w:b/>
          <w:bCs/>
          <w:lang w:val="fr-FR"/>
        </w:rPr>
        <w:t>Federal</w:t>
      </w:r>
      <w:proofErr w:type="spellEnd"/>
      <w:r w:rsidRPr="006816FE">
        <w:rPr>
          <w:b/>
          <w:bCs/>
          <w:lang w:val="fr-FR"/>
        </w:rPr>
        <w:t xml:space="preserve"> Aviation Administration.</w:t>
      </w:r>
      <w:r w:rsidRPr="003A09C3">
        <w:rPr>
          <w:lang w:val="fr-FR"/>
        </w:rPr>
        <w:t xml:space="preserve"> Agence gouvernementale américaine dont les circulaires d'information (Advisory </w:t>
      </w:r>
      <w:proofErr w:type="spellStart"/>
      <w:r w:rsidRPr="003A09C3">
        <w:rPr>
          <w:lang w:val="fr-FR"/>
        </w:rPr>
        <w:t>Circulars</w:t>
      </w:r>
      <w:proofErr w:type="spellEnd"/>
      <w:r w:rsidRPr="003A09C3">
        <w:rPr>
          <w:lang w:val="fr-FR"/>
        </w:rPr>
        <w:t>) font souvent office de standard mondial technique pour les équipements de balisage.</w:t>
      </w:r>
    </w:p>
    <w:p w14:paraId="3EB9E32E" w14:textId="77777777" w:rsidR="006816FE" w:rsidRPr="003A09C3" w:rsidRDefault="006816FE" w:rsidP="006816FE">
      <w:pPr>
        <w:pStyle w:val="FirstParagraph"/>
        <w:rPr>
          <w:lang w:val="fr-FR"/>
        </w:rPr>
      </w:pPr>
      <w:r w:rsidRPr="006816FE">
        <w:rPr>
          <w:b/>
          <w:bCs/>
          <w:lang w:val="fr-FR"/>
        </w:rPr>
        <w:t>OACI (ou ICAO) : Organisation de l'Aviation Civile Internationale.</w:t>
      </w:r>
      <w:r w:rsidRPr="003A09C3">
        <w:rPr>
          <w:lang w:val="fr-FR"/>
        </w:rPr>
        <w:t xml:space="preserve"> Agence de l'ONU édictant les normes et pratiques recommandées pour la sécurité aérienne (notamment l'Annexe 14 pour les aérodromes).</w:t>
      </w:r>
    </w:p>
    <w:p w14:paraId="7C4D2B82" w14:textId="77777777" w:rsidR="006816FE" w:rsidRPr="003A09C3" w:rsidRDefault="006816FE" w:rsidP="006816FE">
      <w:pPr>
        <w:pStyle w:val="FirstParagraph"/>
        <w:rPr>
          <w:lang w:val="fr-FR"/>
        </w:rPr>
      </w:pPr>
      <w:r w:rsidRPr="006816FE">
        <w:rPr>
          <w:b/>
          <w:bCs/>
          <w:lang w:val="fr-FR"/>
        </w:rPr>
        <w:t>STAC : Service Technique de l'Aviation Civile.</w:t>
      </w:r>
      <w:r w:rsidRPr="003A09C3">
        <w:rPr>
          <w:lang w:val="fr-FR"/>
        </w:rPr>
        <w:t xml:space="preserve"> Organisme technique français publiant des guides de référence stricts sur la conception et la maintenance du balisage, appliqués par l'ASECNA.</w:t>
      </w:r>
    </w:p>
    <w:p w14:paraId="378B10B0" w14:textId="77777777" w:rsidR="006816FE" w:rsidRPr="006816FE" w:rsidRDefault="006816FE" w:rsidP="006816FE">
      <w:pPr>
        <w:pStyle w:val="FirstParagraph"/>
        <w:rPr>
          <w:b/>
          <w:bCs/>
          <w:lang w:val="fr-FR"/>
        </w:rPr>
      </w:pPr>
      <w:r w:rsidRPr="006816FE">
        <w:rPr>
          <w:b/>
          <w:bCs/>
          <w:lang w:val="fr-FR"/>
        </w:rPr>
        <w:t>B. Équipements et Réseaux Aéroportuaires</w:t>
      </w:r>
    </w:p>
    <w:p w14:paraId="6D0C1085" w14:textId="77777777" w:rsidR="006816FE" w:rsidRPr="003A09C3" w:rsidRDefault="006816FE" w:rsidP="006816FE">
      <w:pPr>
        <w:pStyle w:val="FirstParagraph"/>
        <w:rPr>
          <w:lang w:val="fr-FR"/>
        </w:rPr>
      </w:pPr>
      <w:r w:rsidRPr="006816FE">
        <w:rPr>
          <w:b/>
          <w:bCs/>
          <w:lang w:val="en-US"/>
        </w:rPr>
        <w:t xml:space="preserve">ALCMS / </w:t>
      </w:r>
      <w:proofErr w:type="gramStart"/>
      <w:r w:rsidRPr="006816FE">
        <w:rPr>
          <w:b/>
          <w:bCs/>
          <w:lang w:val="en-US"/>
        </w:rPr>
        <w:t>SCADA</w:t>
      </w:r>
      <w:r w:rsidRPr="003A09C3">
        <w:rPr>
          <w:lang w:val="en-US"/>
        </w:rPr>
        <w:t xml:space="preserve"> :</w:t>
      </w:r>
      <w:proofErr w:type="gramEnd"/>
      <w:r w:rsidRPr="003A09C3">
        <w:rPr>
          <w:lang w:val="en-US"/>
        </w:rPr>
        <w:t> </w:t>
      </w:r>
      <w:r w:rsidRPr="003A09C3">
        <w:rPr>
          <w:i/>
          <w:iCs/>
          <w:lang w:val="en-US"/>
        </w:rPr>
        <w:t>Airfield Lighting Control and Monitoring System / Supervisory Control and Data Acquisition</w:t>
      </w:r>
      <w:r w:rsidRPr="003A09C3">
        <w:rPr>
          <w:lang w:val="en-US"/>
        </w:rPr>
        <w:t xml:space="preserve">. </w:t>
      </w:r>
      <w:r w:rsidRPr="003A09C3">
        <w:rPr>
          <w:lang w:val="fr-FR"/>
        </w:rPr>
        <w:t>Système informatique centralisé situé dans la tour de contrôle, permettant à l'opérateur de piloter l'allumage des pistes et de recevoir les alarmes.</w:t>
      </w:r>
    </w:p>
    <w:p w14:paraId="02E29D54" w14:textId="77777777" w:rsidR="006816FE" w:rsidRPr="003A09C3" w:rsidRDefault="006816FE" w:rsidP="006816FE">
      <w:pPr>
        <w:pStyle w:val="FirstParagraph"/>
        <w:rPr>
          <w:lang w:val="fr-FR"/>
        </w:rPr>
      </w:pPr>
      <w:r w:rsidRPr="006816FE">
        <w:rPr>
          <w:b/>
          <w:bCs/>
          <w:lang w:val="fr-FR"/>
        </w:rPr>
        <w:t>Boucle Série :</w:t>
      </w:r>
      <w:r w:rsidRPr="003A09C3">
        <w:rPr>
          <w:lang w:val="fr-FR"/>
        </w:rPr>
        <w:t> Topologie électrique de l'alimentation du balisage. Les lampes sont connectées en série, ce qui garantit qu'elles sont toutes parcourues par le même courant (donc même brillance), quelle que soit la longueur du câble.</w:t>
      </w:r>
    </w:p>
    <w:p w14:paraId="4ABA5F47" w14:textId="77777777" w:rsidR="006816FE" w:rsidRPr="003A09C3" w:rsidRDefault="006816FE" w:rsidP="006816FE">
      <w:pPr>
        <w:pStyle w:val="FirstParagraph"/>
        <w:rPr>
          <w:lang w:val="fr-FR"/>
        </w:rPr>
      </w:pPr>
      <w:r w:rsidRPr="006816FE">
        <w:rPr>
          <w:b/>
          <w:bCs/>
          <w:lang w:val="fr-FR"/>
        </w:rPr>
        <w:t xml:space="preserve">DIAM4100 </w:t>
      </w:r>
      <w:r w:rsidRPr="003A09C3">
        <w:rPr>
          <w:lang w:val="fr-FR"/>
        </w:rPr>
        <w:t>: Modèle de régulateur à courant constant (RCC) fabriqué par l'équipementier OCEM/Augier, actuellement déployé sur l'aéroport de Douala.</w:t>
      </w:r>
    </w:p>
    <w:p w14:paraId="6AE616BC" w14:textId="77777777" w:rsidR="006816FE" w:rsidRPr="003A09C3" w:rsidRDefault="006816FE" w:rsidP="006816FE">
      <w:pPr>
        <w:pStyle w:val="FirstParagraph"/>
        <w:rPr>
          <w:lang w:val="fr-FR"/>
        </w:rPr>
      </w:pPr>
      <w:r w:rsidRPr="006816FE">
        <w:rPr>
          <w:b/>
          <w:bCs/>
          <w:lang w:val="en-US"/>
        </w:rPr>
        <w:lastRenderedPageBreak/>
        <w:t xml:space="preserve">EFD / </w:t>
      </w:r>
      <w:proofErr w:type="gramStart"/>
      <w:r w:rsidRPr="006816FE">
        <w:rPr>
          <w:b/>
          <w:bCs/>
          <w:lang w:val="en-US"/>
        </w:rPr>
        <w:t>IRMS</w:t>
      </w:r>
      <w:r w:rsidRPr="003A09C3">
        <w:rPr>
          <w:lang w:val="en-US"/>
        </w:rPr>
        <w:t xml:space="preserve"> :</w:t>
      </w:r>
      <w:proofErr w:type="gramEnd"/>
      <w:r w:rsidRPr="003A09C3">
        <w:rPr>
          <w:lang w:val="en-US"/>
        </w:rPr>
        <w:t> </w:t>
      </w:r>
      <w:r w:rsidRPr="003A09C3">
        <w:rPr>
          <w:i/>
          <w:iCs/>
          <w:lang w:val="en-US"/>
        </w:rPr>
        <w:t>Earth Fault Detector / Insulation Resistance Monitoring System</w:t>
      </w:r>
      <w:r w:rsidRPr="003A09C3">
        <w:rPr>
          <w:lang w:val="en-US"/>
        </w:rPr>
        <w:t xml:space="preserve">. </w:t>
      </w:r>
      <w:r w:rsidRPr="003A09C3">
        <w:rPr>
          <w:lang w:val="fr-FR"/>
        </w:rPr>
        <w:t>Module électronique intégré au régulateur mesurant la résistance globale d'isolement de la boucle par l'injection d'une tension continue (DC).</w:t>
      </w:r>
    </w:p>
    <w:p w14:paraId="18032961" w14:textId="77777777" w:rsidR="006816FE" w:rsidRPr="003A09C3" w:rsidRDefault="006816FE" w:rsidP="006816FE">
      <w:pPr>
        <w:pStyle w:val="FirstParagraph"/>
        <w:rPr>
          <w:lang w:val="fr-FR"/>
        </w:rPr>
      </w:pPr>
      <w:proofErr w:type="gramStart"/>
      <w:r w:rsidRPr="006816FE">
        <w:rPr>
          <w:b/>
          <w:bCs/>
          <w:lang w:val="en-US"/>
        </w:rPr>
        <w:t>ILCMS :</w:t>
      </w:r>
      <w:proofErr w:type="gramEnd"/>
      <w:r w:rsidRPr="003A09C3">
        <w:rPr>
          <w:lang w:val="en-US"/>
        </w:rPr>
        <w:t> </w:t>
      </w:r>
      <w:r w:rsidRPr="003A09C3">
        <w:rPr>
          <w:i/>
          <w:iCs/>
          <w:lang w:val="en-US"/>
        </w:rPr>
        <w:t>Individual Lamp Control and Monitoring System</w:t>
      </w:r>
      <w:r w:rsidRPr="003A09C3">
        <w:rPr>
          <w:lang w:val="en-US"/>
        </w:rPr>
        <w:t xml:space="preserve">. </w:t>
      </w:r>
      <w:r w:rsidRPr="003A09C3">
        <w:rPr>
          <w:lang w:val="fr-FR"/>
        </w:rPr>
        <w:t>Système avancé plaçant un module de communication CPL dans chaque regard pour commander et surveiller chaque lampe individuellement.</w:t>
      </w:r>
    </w:p>
    <w:p w14:paraId="4C57241C" w14:textId="77777777" w:rsidR="006816FE" w:rsidRPr="003A09C3" w:rsidRDefault="006816FE" w:rsidP="006816FE">
      <w:pPr>
        <w:pStyle w:val="FirstParagraph"/>
        <w:rPr>
          <w:lang w:val="fr-FR"/>
        </w:rPr>
      </w:pPr>
      <w:r w:rsidRPr="006816FE">
        <w:rPr>
          <w:b/>
          <w:bCs/>
          <w:lang w:val="fr-FR"/>
        </w:rPr>
        <w:t>LFD :</w:t>
      </w:r>
      <w:r w:rsidRPr="003A09C3">
        <w:rPr>
          <w:lang w:val="fr-FR"/>
        </w:rPr>
        <w:t> </w:t>
      </w:r>
      <w:proofErr w:type="spellStart"/>
      <w:r w:rsidRPr="003A09C3">
        <w:rPr>
          <w:i/>
          <w:iCs/>
          <w:lang w:val="fr-FR"/>
        </w:rPr>
        <w:t>Lamp</w:t>
      </w:r>
      <w:proofErr w:type="spellEnd"/>
      <w:r w:rsidRPr="003A09C3">
        <w:rPr>
          <w:i/>
          <w:iCs/>
          <w:lang w:val="fr-FR"/>
        </w:rPr>
        <w:t xml:space="preserve"> </w:t>
      </w:r>
      <w:proofErr w:type="spellStart"/>
      <w:r w:rsidRPr="003A09C3">
        <w:rPr>
          <w:i/>
          <w:iCs/>
          <w:lang w:val="fr-FR"/>
        </w:rPr>
        <w:t>Fault</w:t>
      </w:r>
      <w:proofErr w:type="spellEnd"/>
      <w:r w:rsidRPr="003A09C3">
        <w:rPr>
          <w:i/>
          <w:iCs/>
          <w:lang w:val="fr-FR"/>
        </w:rPr>
        <w:t xml:space="preserve"> Detector</w:t>
      </w:r>
      <w:r w:rsidRPr="003A09C3">
        <w:rPr>
          <w:lang w:val="fr-FR"/>
        </w:rPr>
        <w:t>. Module du régulateur estimant le nombre de lampes grillées sur la boucle en mesurant le déphasage tension/courant.</w:t>
      </w:r>
    </w:p>
    <w:p w14:paraId="46113704" w14:textId="77777777" w:rsidR="006816FE" w:rsidRPr="003A09C3" w:rsidRDefault="006816FE" w:rsidP="006816FE">
      <w:pPr>
        <w:pStyle w:val="FirstParagraph"/>
        <w:rPr>
          <w:lang w:val="fr-FR"/>
        </w:rPr>
      </w:pPr>
      <w:r w:rsidRPr="006816FE">
        <w:rPr>
          <w:b/>
          <w:bCs/>
          <w:lang w:val="fr-FR"/>
        </w:rPr>
        <w:t>RCC (ou CCR)</w:t>
      </w:r>
      <w:r w:rsidRPr="003A09C3">
        <w:rPr>
          <w:lang w:val="fr-FR"/>
        </w:rPr>
        <w:t xml:space="preserve"> : Régulateur à Courant Constant (</w:t>
      </w:r>
      <w:r w:rsidRPr="003A09C3">
        <w:rPr>
          <w:i/>
          <w:iCs/>
          <w:lang w:val="fr-FR"/>
        </w:rPr>
        <w:t xml:space="preserve">Constant </w:t>
      </w:r>
      <w:proofErr w:type="spellStart"/>
      <w:r w:rsidRPr="003A09C3">
        <w:rPr>
          <w:i/>
          <w:iCs/>
          <w:lang w:val="fr-FR"/>
        </w:rPr>
        <w:t>Current</w:t>
      </w:r>
      <w:proofErr w:type="spellEnd"/>
      <w:r w:rsidRPr="003A09C3">
        <w:rPr>
          <w:i/>
          <w:iCs/>
          <w:lang w:val="fr-FR"/>
        </w:rPr>
        <w:t xml:space="preserve"> </w:t>
      </w:r>
      <w:proofErr w:type="spellStart"/>
      <w:r w:rsidRPr="003A09C3">
        <w:rPr>
          <w:i/>
          <w:iCs/>
          <w:lang w:val="fr-FR"/>
        </w:rPr>
        <w:t>Regulator</w:t>
      </w:r>
      <w:proofErr w:type="spellEnd"/>
      <w:r w:rsidRPr="003A09C3">
        <w:rPr>
          <w:lang w:val="fr-FR"/>
        </w:rPr>
        <w:t>). Armoire électrique de puissance maintenant un courant de sortie fixe (généralement 6,6 A) indépendamment de la charge.</w:t>
      </w:r>
    </w:p>
    <w:p w14:paraId="1D785D10" w14:textId="77777777" w:rsidR="006816FE" w:rsidRPr="003A09C3" w:rsidRDefault="006816FE" w:rsidP="006816FE">
      <w:pPr>
        <w:pStyle w:val="FirstParagraph"/>
        <w:rPr>
          <w:lang w:val="fr-FR"/>
        </w:rPr>
      </w:pPr>
      <w:r w:rsidRPr="006816FE">
        <w:rPr>
          <w:b/>
          <w:bCs/>
          <w:lang w:val="fr-FR"/>
        </w:rPr>
        <w:t>TI :</w:t>
      </w:r>
      <w:r w:rsidRPr="003A09C3">
        <w:rPr>
          <w:lang w:val="fr-FR"/>
        </w:rPr>
        <w:t> Transformateur d'Isolement. Transformateur saturable placé dans chaque regard. Il isole galvaniquement la lampe de la haute tension de la boucle et maintient la continuité du circuit série si la lampe grille.</w:t>
      </w:r>
    </w:p>
    <w:p w14:paraId="2D96E2AA" w14:textId="77777777" w:rsidR="006816FE" w:rsidRPr="006816FE" w:rsidRDefault="006816FE" w:rsidP="006816FE">
      <w:pPr>
        <w:pStyle w:val="FirstParagraph"/>
        <w:rPr>
          <w:b/>
          <w:bCs/>
          <w:lang w:val="fr-FR"/>
        </w:rPr>
      </w:pPr>
      <w:r w:rsidRPr="006816FE">
        <w:rPr>
          <w:b/>
          <w:bCs/>
          <w:lang w:val="fr-FR"/>
        </w:rPr>
        <w:t>C. Électrotechnique et Physique des Câbles</w:t>
      </w:r>
    </w:p>
    <w:p w14:paraId="108261E9" w14:textId="77777777" w:rsidR="006816FE" w:rsidRPr="003A09C3" w:rsidRDefault="006816FE" w:rsidP="006816FE">
      <w:pPr>
        <w:pStyle w:val="FirstParagraph"/>
        <w:rPr>
          <w:lang w:val="fr-FR"/>
        </w:rPr>
      </w:pPr>
      <w:r w:rsidRPr="006816FE">
        <w:rPr>
          <w:b/>
          <w:bCs/>
          <w:lang w:val="fr-FR"/>
        </w:rPr>
        <w:t>Amorçage (Défaut franc)</w:t>
      </w:r>
      <w:r w:rsidRPr="003A09C3">
        <w:rPr>
          <w:lang w:val="fr-FR"/>
        </w:rPr>
        <w:t xml:space="preserve"> : Défaillance totale de l'isolant créant un arc électrique ou un court-circuit direct entre le câble (l'âme en cuivre) et la terre.</w:t>
      </w:r>
    </w:p>
    <w:p w14:paraId="74F2EC6D" w14:textId="77777777" w:rsidR="006816FE" w:rsidRPr="003A09C3" w:rsidRDefault="006816FE" w:rsidP="006816FE">
      <w:pPr>
        <w:pStyle w:val="FirstParagraph"/>
        <w:rPr>
          <w:lang w:val="fr-FR"/>
        </w:rPr>
      </w:pPr>
      <w:r w:rsidRPr="006816FE">
        <w:rPr>
          <w:b/>
          <w:bCs/>
          <w:lang w:val="fr-FR"/>
        </w:rPr>
        <w:t xml:space="preserve">Défaut </w:t>
      </w:r>
      <w:proofErr w:type="spellStart"/>
      <w:r w:rsidRPr="006816FE">
        <w:rPr>
          <w:b/>
          <w:bCs/>
          <w:lang w:val="fr-FR"/>
        </w:rPr>
        <w:t>incipient</w:t>
      </w:r>
      <w:proofErr w:type="spellEnd"/>
      <w:r w:rsidRPr="006816FE">
        <w:rPr>
          <w:b/>
          <w:bCs/>
          <w:lang w:val="fr-FR"/>
        </w:rPr>
        <w:t xml:space="preserve"> (ou naissant) :</w:t>
      </w:r>
      <w:r w:rsidRPr="003A09C3">
        <w:rPr>
          <w:lang w:val="fr-FR"/>
        </w:rPr>
        <w:t> Dégradation précoce de l'isolant (</w:t>
      </w:r>
      <w:proofErr w:type="spellStart"/>
      <w:r w:rsidRPr="003A09C3">
        <w:rPr>
          <w:lang w:val="fr-FR"/>
        </w:rPr>
        <w:t>micro-fissure</w:t>
      </w:r>
      <w:proofErr w:type="spellEnd"/>
      <w:r w:rsidRPr="003A09C3">
        <w:rPr>
          <w:lang w:val="fr-FR"/>
        </w:rPr>
        <w:t>, début d'humidité) qui n'a pas encore provoqué de court-circuit, mais dont les propriétés électriques commencent à dériver.</w:t>
      </w:r>
    </w:p>
    <w:p w14:paraId="26650810" w14:textId="77777777" w:rsidR="006816FE" w:rsidRPr="003A09C3" w:rsidRDefault="006816FE" w:rsidP="006816FE">
      <w:pPr>
        <w:pStyle w:val="FirstParagraph"/>
        <w:rPr>
          <w:lang w:val="fr-FR"/>
        </w:rPr>
      </w:pPr>
      <w:r w:rsidRPr="006816FE">
        <w:rPr>
          <w:b/>
          <w:bCs/>
          <w:lang w:val="fr-FR"/>
        </w:rPr>
        <w:t>Défaut réactif (Capacitif/Inductif) :</w:t>
      </w:r>
      <w:r w:rsidRPr="003A09C3">
        <w:rPr>
          <w:lang w:val="fr-FR"/>
        </w:rPr>
        <w:t> Dégradation de l'isolant modifiant sa capacité ou son inductance (</w:t>
      </w:r>
      <w:proofErr w:type="gramStart"/>
      <w:r w:rsidRPr="003A09C3">
        <w:rPr>
          <w:lang w:val="fr-FR"/>
        </w:rPr>
        <w:t>ex:</w:t>
      </w:r>
      <w:proofErr w:type="gramEnd"/>
      <w:r w:rsidRPr="003A09C3">
        <w:rPr>
          <w:lang w:val="fr-FR"/>
        </w:rPr>
        <w:t xml:space="preserve"> accumulation d'eau formant un condensateur parasite) sans faire chuter immédiatement la résistance en courant continu.</w:t>
      </w:r>
    </w:p>
    <w:p w14:paraId="0CF30809" w14:textId="77777777" w:rsidR="006816FE" w:rsidRPr="003A09C3" w:rsidRDefault="006816FE" w:rsidP="006816FE">
      <w:pPr>
        <w:pStyle w:val="FirstParagraph"/>
        <w:rPr>
          <w:lang w:val="fr-FR"/>
        </w:rPr>
      </w:pPr>
      <w:r w:rsidRPr="006816FE">
        <w:rPr>
          <w:b/>
          <w:bCs/>
          <w:lang w:val="fr-FR"/>
        </w:rPr>
        <w:t>Dichotomie (Méthode de) :</w:t>
      </w:r>
      <w:r w:rsidRPr="003A09C3">
        <w:rPr>
          <w:lang w:val="fr-FR"/>
        </w:rPr>
        <w:t> Méthode manuelle de recherche de défaut consistant à ouvrir le circuit en son milieu, tester chaque moitié, puis diviser la moitié défaillante à nouveau en deux, jusqu'à trouver le regard en défaut.</w:t>
      </w:r>
    </w:p>
    <w:p w14:paraId="6287F9EA" w14:textId="77777777" w:rsidR="006816FE" w:rsidRPr="003A09C3" w:rsidRDefault="006816FE" w:rsidP="006816FE">
      <w:pPr>
        <w:pStyle w:val="FirstParagraph"/>
        <w:rPr>
          <w:lang w:val="fr-FR"/>
        </w:rPr>
      </w:pPr>
      <w:r w:rsidRPr="006816FE">
        <w:rPr>
          <w:b/>
          <w:bCs/>
          <w:lang w:val="fr-FR"/>
        </w:rPr>
        <w:lastRenderedPageBreak/>
        <w:t>Impédance vue de la source</w:t>
      </w:r>
      <w:r w:rsidRPr="003A09C3">
        <w:rPr>
          <w:lang w:val="fr-FR"/>
        </w:rPr>
        <w:t xml:space="preserve"> : Modélisation mathématique du réseau consistant à observer l'impédance globale équivalente (</w:t>
      </w:r>
      <w:proofErr w:type="spellStart"/>
      <w:r w:rsidRPr="003A09C3">
        <w:rPr>
          <w:i/>
          <w:iCs/>
          <w:lang w:val="fr-FR"/>
        </w:rPr>
        <w:t>Zvue</w:t>
      </w:r>
      <w:proofErr w:type="spellEnd"/>
      <w:r w:rsidRPr="003A09C3">
        <w:rPr>
          <w:lang w:val="fr-FR"/>
        </w:rPr>
        <w:t>) de toute la boucle depuis son point d'alimentation (le régulateur).</w:t>
      </w:r>
    </w:p>
    <w:p w14:paraId="158B6C23" w14:textId="77777777" w:rsidR="006816FE" w:rsidRPr="003A09C3" w:rsidRDefault="006816FE" w:rsidP="006816FE">
      <w:pPr>
        <w:pStyle w:val="FirstParagraph"/>
        <w:rPr>
          <w:lang w:val="fr-FR"/>
        </w:rPr>
      </w:pPr>
      <w:proofErr w:type="spellStart"/>
      <w:proofErr w:type="gramStart"/>
      <w:r w:rsidRPr="006816FE">
        <w:rPr>
          <w:b/>
          <w:bCs/>
          <w:i/>
          <w:iCs/>
          <w:lang w:val="fr-FR"/>
        </w:rPr>
        <w:t>Riso</w:t>
      </w:r>
      <w:proofErr w:type="spellEnd"/>
      <w:r w:rsidRPr="006816FE">
        <w:rPr>
          <w:b/>
          <w:bCs/>
          <w:lang w:val="fr-FR"/>
        </w:rPr>
        <w:t>(</w:t>
      </w:r>
      <w:proofErr w:type="gramEnd"/>
      <w:r w:rsidRPr="006816FE">
        <w:rPr>
          <w:b/>
          <w:bCs/>
          <w:lang w:val="fr-FR"/>
        </w:rPr>
        <w:t>Résistance d'isolement) :</w:t>
      </w:r>
      <w:r w:rsidRPr="003A09C3">
        <w:rPr>
          <w:lang w:val="fr-FR"/>
        </w:rPr>
        <w:t> Valeur ohmique mesurant la qualité de l'isolant (la gaine) entre l'âme conductrice du câble et la terre. Plus elle est haute, plus le câble est sain.</w:t>
      </w:r>
    </w:p>
    <w:p w14:paraId="20C0444C" w14:textId="77777777" w:rsidR="006816FE" w:rsidRPr="003A09C3" w:rsidRDefault="006816FE" w:rsidP="006816FE">
      <w:pPr>
        <w:pStyle w:val="FirstParagraph"/>
        <w:rPr>
          <w:lang w:val="fr-FR"/>
        </w:rPr>
      </w:pPr>
      <w:r w:rsidRPr="006816FE">
        <w:rPr>
          <w:b/>
          <w:bCs/>
          <w:lang w:val="en-US"/>
        </w:rPr>
        <w:t xml:space="preserve">SCR / </w:t>
      </w:r>
      <w:proofErr w:type="gramStart"/>
      <w:r w:rsidRPr="006816FE">
        <w:rPr>
          <w:b/>
          <w:bCs/>
          <w:lang w:val="en-US"/>
        </w:rPr>
        <w:t>Thyristor :</w:t>
      </w:r>
      <w:proofErr w:type="gramEnd"/>
      <w:r w:rsidRPr="003A09C3">
        <w:rPr>
          <w:lang w:val="en-US"/>
        </w:rPr>
        <w:t> </w:t>
      </w:r>
      <w:r w:rsidRPr="003A09C3">
        <w:rPr>
          <w:i/>
          <w:iCs/>
          <w:lang w:val="en-US"/>
        </w:rPr>
        <w:t>Silicon Controlled Rectifier</w:t>
      </w:r>
      <w:r w:rsidRPr="003A09C3">
        <w:rPr>
          <w:lang w:val="en-US"/>
        </w:rPr>
        <w:t xml:space="preserve">. </w:t>
      </w:r>
      <w:r w:rsidRPr="003A09C3">
        <w:rPr>
          <w:lang w:val="fr-FR"/>
        </w:rPr>
        <w:t>Composant électronique de puissance utilisé dans les régulateurs pour hacher la tension alternative d'entrée par découpage d'angle de phase.</w:t>
      </w:r>
    </w:p>
    <w:p w14:paraId="0B08D953" w14:textId="77777777" w:rsidR="006816FE" w:rsidRPr="003A09C3" w:rsidRDefault="006816FE" w:rsidP="006816FE">
      <w:pPr>
        <w:pStyle w:val="FirstParagraph"/>
        <w:rPr>
          <w:lang w:val="fr-FR"/>
        </w:rPr>
      </w:pPr>
      <w:r w:rsidRPr="006816FE">
        <w:rPr>
          <w:b/>
          <w:bCs/>
          <w:lang w:val="fr-FR"/>
        </w:rPr>
        <w:t xml:space="preserve">THD </w:t>
      </w:r>
      <w:r w:rsidRPr="003A09C3">
        <w:rPr>
          <w:lang w:val="fr-FR"/>
        </w:rPr>
        <w:t>: </w:t>
      </w:r>
      <w:r w:rsidRPr="003A09C3">
        <w:rPr>
          <w:i/>
          <w:iCs/>
          <w:lang w:val="fr-FR"/>
        </w:rPr>
        <w:t xml:space="preserve">Total </w:t>
      </w:r>
      <w:proofErr w:type="spellStart"/>
      <w:r w:rsidRPr="003A09C3">
        <w:rPr>
          <w:i/>
          <w:iCs/>
          <w:lang w:val="fr-FR"/>
        </w:rPr>
        <w:t>Harmonic</w:t>
      </w:r>
      <w:proofErr w:type="spellEnd"/>
      <w:r w:rsidRPr="003A09C3">
        <w:rPr>
          <w:i/>
          <w:iCs/>
          <w:lang w:val="fr-FR"/>
        </w:rPr>
        <w:t xml:space="preserve"> </w:t>
      </w:r>
      <w:proofErr w:type="spellStart"/>
      <w:r w:rsidRPr="003A09C3">
        <w:rPr>
          <w:i/>
          <w:iCs/>
          <w:lang w:val="fr-FR"/>
        </w:rPr>
        <w:t>Distortion</w:t>
      </w:r>
      <w:proofErr w:type="spellEnd"/>
      <w:r w:rsidRPr="003A09C3">
        <w:rPr>
          <w:lang w:val="fr-FR"/>
        </w:rPr>
        <w:t> (Taux de Distorsion Harmonique). Indicateur mesurant la "pollution" d'un signal électrique par rapport à une sinusoïde parfaite.</w:t>
      </w:r>
    </w:p>
    <w:p w14:paraId="6D860417" w14:textId="77777777" w:rsidR="006816FE" w:rsidRPr="006816FE" w:rsidRDefault="006816FE" w:rsidP="006816FE">
      <w:pPr>
        <w:pStyle w:val="FirstParagraph"/>
        <w:rPr>
          <w:b/>
          <w:bCs/>
          <w:lang w:val="fr-FR"/>
        </w:rPr>
      </w:pPr>
      <w:r w:rsidRPr="006816FE">
        <w:rPr>
          <w:b/>
          <w:bCs/>
          <w:lang w:val="fr-FR"/>
        </w:rPr>
        <w:t>D. Traitement du Signal</w:t>
      </w:r>
    </w:p>
    <w:p w14:paraId="4957D65F" w14:textId="77777777" w:rsidR="006816FE" w:rsidRPr="003A09C3" w:rsidRDefault="006816FE" w:rsidP="006816FE">
      <w:pPr>
        <w:pStyle w:val="FirstParagraph"/>
        <w:rPr>
          <w:lang w:val="fr-FR"/>
        </w:rPr>
      </w:pPr>
      <w:r w:rsidRPr="006816FE">
        <w:rPr>
          <w:b/>
          <w:bCs/>
          <w:lang w:val="fr-FR"/>
        </w:rPr>
        <w:t>FFT / TFD</w:t>
      </w:r>
      <w:r w:rsidRPr="003A09C3">
        <w:rPr>
          <w:lang w:val="fr-FR"/>
        </w:rPr>
        <w:t xml:space="preserve"> : </w:t>
      </w:r>
      <w:r w:rsidRPr="003A09C3">
        <w:rPr>
          <w:i/>
          <w:iCs/>
          <w:lang w:val="fr-FR"/>
        </w:rPr>
        <w:t xml:space="preserve">Fast Fourier </w:t>
      </w:r>
      <w:proofErr w:type="spellStart"/>
      <w:r w:rsidRPr="003A09C3">
        <w:rPr>
          <w:i/>
          <w:iCs/>
          <w:lang w:val="fr-FR"/>
        </w:rPr>
        <w:t>Transform</w:t>
      </w:r>
      <w:proofErr w:type="spellEnd"/>
      <w:r w:rsidRPr="003A09C3">
        <w:rPr>
          <w:lang w:val="fr-FR"/>
        </w:rPr>
        <w:t> / Transformée de Fourier Discrète. Algorithme mathématique décomposant un signal électrique temporel en une somme de fréquences (spectre).</w:t>
      </w:r>
    </w:p>
    <w:p w14:paraId="49C7E9A1" w14:textId="77777777" w:rsidR="006816FE" w:rsidRPr="003A09C3" w:rsidRDefault="006816FE" w:rsidP="006816FE">
      <w:pPr>
        <w:pStyle w:val="FirstParagraph"/>
        <w:rPr>
          <w:lang w:val="fr-FR"/>
        </w:rPr>
      </w:pPr>
      <w:r w:rsidRPr="006816FE">
        <w:rPr>
          <w:b/>
          <w:bCs/>
          <w:lang w:val="fr-FR"/>
        </w:rPr>
        <w:t>Onde migrante</w:t>
      </w:r>
      <w:r w:rsidRPr="003A09C3">
        <w:rPr>
          <w:lang w:val="fr-FR"/>
        </w:rPr>
        <w:t xml:space="preserve"> (</w:t>
      </w:r>
      <w:r w:rsidRPr="003A09C3">
        <w:rPr>
          <w:i/>
          <w:iCs/>
          <w:lang w:val="fr-FR"/>
        </w:rPr>
        <w:t xml:space="preserve">Traveling </w:t>
      </w:r>
      <w:proofErr w:type="spellStart"/>
      <w:r w:rsidRPr="003A09C3">
        <w:rPr>
          <w:i/>
          <w:iCs/>
          <w:lang w:val="fr-FR"/>
        </w:rPr>
        <w:t>Wave</w:t>
      </w:r>
      <w:proofErr w:type="spellEnd"/>
      <w:r w:rsidRPr="003A09C3">
        <w:rPr>
          <w:lang w:val="fr-FR"/>
        </w:rPr>
        <w:t>) : Phénomène physique lié à la propagation à très haute vitesse d'une perturbation électrique le long d'un câble, utilisé pour la détection de défauts en très haute tension.</w:t>
      </w:r>
    </w:p>
    <w:p w14:paraId="155AADA4" w14:textId="77777777" w:rsidR="006816FE" w:rsidRPr="003A09C3" w:rsidRDefault="006816FE" w:rsidP="006816FE">
      <w:pPr>
        <w:pStyle w:val="FirstParagraph"/>
        <w:rPr>
          <w:lang w:val="fr-FR"/>
        </w:rPr>
      </w:pPr>
      <w:r w:rsidRPr="006816FE">
        <w:rPr>
          <w:b/>
          <w:bCs/>
          <w:lang w:val="fr-FR"/>
        </w:rPr>
        <w:t>Ondelettes (DWT / CWT) :</w:t>
      </w:r>
      <w:r w:rsidRPr="003A09C3">
        <w:rPr>
          <w:lang w:val="fr-FR"/>
        </w:rPr>
        <w:t> Transformée mathématique permettant d'analyser un signal à la fois dans le temps et dans les fréquences, très efficace pour repérer des événements électriques brefs et transitoires.</w:t>
      </w:r>
    </w:p>
    <w:p w14:paraId="52C4327C" w14:textId="77777777" w:rsidR="006816FE" w:rsidRPr="003A09C3" w:rsidRDefault="006816FE" w:rsidP="006816FE">
      <w:pPr>
        <w:pStyle w:val="FirstParagraph"/>
        <w:rPr>
          <w:lang w:val="fr-FR"/>
        </w:rPr>
      </w:pPr>
      <w:r w:rsidRPr="006816FE">
        <w:rPr>
          <w:b/>
          <w:bCs/>
          <w:lang w:val="fr-FR"/>
        </w:rPr>
        <w:t>Réflectométrie (TDR / FDR)</w:t>
      </w:r>
      <w:r w:rsidRPr="003A09C3">
        <w:rPr>
          <w:lang w:val="fr-FR"/>
        </w:rPr>
        <w:t xml:space="preserve"> : Technique de localisation consistant à envoyer une impulsion (Radar) dans un câble et à mesurer le temps de retour de l'écho renvoyé par un défaut.</w:t>
      </w:r>
    </w:p>
    <w:p w14:paraId="4BD1AAF1" w14:textId="77777777" w:rsidR="006816FE" w:rsidRPr="003A09C3" w:rsidRDefault="006816FE" w:rsidP="006816FE">
      <w:pPr>
        <w:pStyle w:val="FirstParagraph"/>
        <w:rPr>
          <w:lang w:val="fr-FR"/>
        </w:rPr>
      </w:pPr>
      <w:proofErr w:type="gramStart"/>
      <w:r w:rsidRPr="006816FE">
        <w:rPr>
          <w:b/>
          <w:bCs/>
          <w:lang w:val="en-US"/>
        </w:rPr>
        <w:t>MCTDR :</w:t>
      </w:r>
      <w:proofErr w:type="gramEnd"/>
      <w:r w:rsidRPr="003A09C3">
        <w:rPr>
          <w:lang w:val="en-US"/>
        </w:rPr>
        <w:t> </w:t>
      </w:r>
      <w:r w:rsidRPr="003A09C3">
        <w:rPr>
          <w:i/>
          <w:iCs/>
          <w:lang w:val="en-US"/>
        </w:rPr>
        <w:t>Multi-Carrier Time Domain Reflectometry</w:t>
      </w:r>
      <w:r w:rsidRPr="003A09C3">
        <w:rPr>
          <w:lang w:val="en-US"/>
        </w:rPr>
        <w:t xml:space="preserve">. </w:t>
      </w:r>
      <w:r w:rsidRPr="003A09C3">
        <w:rPr>
          <w:lang w:val="fr-FR"/>
        </w:rPr>
        <w:t>Variante de réflectométrie utilisant plusieurs fréquences porteuses, permettant théoriquement de surveiller un câble pendant qu'il est sous tension.</w:t>
      </w:r>
    </w:p>
    <w:p w14:paraId="4597CEF8" w14:textId="77777777" w:rsidR="006816FE" w:rsidRPr="003A09C3" w:rsidRDefault="006816FE" w:rsidP="006816FE">
      <w:pPr>
        <w:pStyle w:val="FirstParagraph"/>
        <w:rPr>
          <w:lang w:val="fr-FR"/>
        </w:rPr>
      </w:pPr>
      <w:proofErr w:type="gramStart"/>
      <w:r w:rsidRPr="006816FE">
        <w:rPr>
          <w:b/>
          <w:bCs/>
          <w:lang w:val="en-US"/>
        </w:rPr>
        <w:t>STFT</w:t>
      </w:r>
      <w:r w:rsidRPr="003A09C3">
        <w:rPr>
          <w:lang w:val="en-US"/>
        </w:rPr>
        <w:t xml:space="preserve"> :</w:t>
      </w:r>
      <w:proofErr w:type="gramEnd"/>
      <w:r w:rsidRPr="003A09C3">
        <w:rPr>
          <w:lang w:val="en-US"/>
        </w:rPr>
        <w:t> </w:t>
      </w:r>
      <w:r w:rsidRPr="003A09C3">
        <w:rPr>
          <w:i/>
          <w:iCs/>
          <w:lang w:val="en-US"/>
        </w:rPr>
        <w:t>Short-Time Fourier Transform</w:t>
      </w:r>
      <w:r w:rsidRPr="003A09C3">
        <w:rPr>
          <w:lang w:val="en-US"/>
        </w:rPr>
        <w:t xml:space="preserve">. </w:t>
      </w:r>
      <w:r w:rsidRPr="003A09C3">
        <w:rPr>
          <w:lang w:val="fr-FR"/>
        </w:rPr>
        <w:t>Transformée de Fourier à court terme, utilisant une fenêtre glissante pour analyser des signaux non stationnaires.</w:t>
      </w:r>
    </w:p>
    <w:p w14:paraId="6BEBDDC0" w14:textId="77777777" w:rsidR="006816FE" w:rsidRPr="006816FE" w:rsidRDefault="006816FE" w:rsidP="006816FE">
      <w:pPr>
        <w:pStyle w:val="FirstParagraph"/>
        <w:rPr>
          <w:b/>
          <w:bCs/>
          <w:lang w:val="fr-FR"/>
        </w:rPr>
      </w:pPr>
      <w:r w:rsidRPr="006816FE">
        <w:rPr>
          <w:b/>
          <w:bCs/>
          <w:lang w:val="fr-FR"/>
        </w:rPr>
        <w:t>E. Intelligence Artificielle et Informatique</w:t>
      </w:r>
    </w:p>
    <w:p w14:paraId="52A710E6" w14:textId="77777777" w:rsidR="006816FE" w:rsidRPr="003A09C3" w:rsidRDefault="006816FE" w:rsidP="006816FE">
      <w:pPr>
        <w:pStyle w:val="FirstParagraph"/>
        <w:rPr>
          <w:lang w:val="fr-FR"/>
        </w:rPr>
      </w:pPr>
      <w:proofErr w:type="spellStart"/>
      <w:r w:rsidRPr="006816FE">
        <w:rPr>
          <w:b/>
          <w:bCs/>
          <w:lang w:val="fr-FR"/>
        </w:rPr>
        <w:lastRenderedPageBreak/>
        <w:t>Autoencodeur</w:t>
      </w:r>
      <w:proofErr w:type="spellEnd"/>
      <w:r w:rsidRPr="003A09C3">
        <w:rPr>
          <w:lang w:val="fr-FR"/>
        </w:rPr>
        <w:t xml:space="preserve"> : Type de réseau de neurones artificiels utilisé en apprentissage non supervisé. Il apprend à reconstruire des données "saines" et détecte les anomalies lorsque l'erreur de reconstruction augmente.</w:t>
      </w:r>
    </w:p>
    <w:p w14:paraId="6E403506" w14:textId="77777777" w:rsidR="006816FE" w:rsidRPr="003A09C3" w:rsidRDefault="006816FE" w:rsidP="006816FE">
      <w:pPr>
        <w:pStyle w:val="FirstParagraph"/>
        <w:rPr>
          <w:lang w:val="fr-FR"/>
        </w:rPr>
      </w:pPr>
      <w:r w:rsidRPr="006816FE">
        <w:rPr>
          <w:b/>
          <w:bCs/>
          <w:lang w:val="fr-FR"/>
        </w:rPr>
        <w:t>CNN 1D</w:t>
      </w:r>
      <w:r w:rsidRPr="003A09C3">
        <w:rPr>
          <w:lang w:val="fr-FR"/>
        </w:rPr>
        <w:t xml:space="preserve"> : </w:t>
      </w:r>
      <w:proofErr w:type="spellStart"/>
      <w:r w:rsidRPr="003A09C3">
        <w:rPr>
          <w:i/>
          <w:iCs/>
          <w:lang w:val="fr-FR"/>
        </w:rPr>
        <w:t>Convolutional</w:t>
      </w:r>
      <w:proofErr w:type="spellEnd"/>
      <w:r w:rsidRPr="003A09C3">
        <w:rPr>
          <w:i/>
          <w:iCs/>
          <w:lang w:val="fr-FR"/>
        </w:rPr>
        <w:t xml:space="preserve"> Neural Network 1D</w:t>
      </w:r>
      <w:r w:rsidRPr="003A09C3">
        <w:rPr>
          <w:lang w:val="fr-FR"/>
        </w:rPr>
        <w:t>. Réseau de neurones convolutifs unidimensionnel. Il est particulièrement adapté pour analyser automatiquement des séries temporelles (comme des ondes de courant) sans avoir à extraire manuellement les caractéristiques.</w:t>
      </w:r>
    </w:p>
    <w:p w14:paraId="303F0F7B" w14:textId="77777777" w:rsidR="006816FE" w:rsidRPr="003A09C3" w:rsidRDefault="006816FE" w:rsidP="006816FE">
      <w:pPr>
        <w:pStyle w:val="FirstParagraph"/>
        <w:rPr>
          <w:lang w:val="fr-FR"/>
        </w:rPr>
      </w:pPr>
      <w:r w:rsidRPr="006816FE">
        <w:rPr>
          <w:b/>
          <w:bCs/>
          <w:lang w:val="fr-FR"/>
        </w:rPr>
        <w:t>Edge AI</w:t>
      </w:r>
      <w:r w:rsidRPr="003A09C3">
        <w:rPr>
          <w:lang w:val="fr-FR"/>
        </w:rPr>
        <w:t xml:space="preserve"> : Intelligence Artificielle embarquée. Fait de faire tourner des algorithmes de Machine Learning directement sur des petits microcontrôleurs proches du capteur, sans envoyer les données dans le Cloud.</w:t>
      </w:r>
    </w:p>
    <w:p w14:paraId="7E41B586" w14:textId="77777777" w:rsidR="006816FE" w:rsidRPr="003A09C3" w:rsidRDefault="006816FE" w:rsidP="006816FE">
      <w:pPr>
        <w:pStyle w:val="FirstParagraph"/>
        <w:rPr>
          <w:lang w:val="fr-FR"/>
        </w:rPr>
      </w:pPr>
      <w:r w:rsidRPr="006816FE">
        <w:rPr>
          <w:b/>
          <w:bCs/>
          <w:lang w:val="fr-FR"/>
        </w:rPr>
        <w:t>Ingénierie d'attributs (</w:t>
      </w:r>
      <w:proofErr w:type="spellStart"/>
      <w:r w:rsidRPr="006816FE">
        <w:rPr>
          <w:b/>
          <w:bCs/>
          <w:i/>
          <w:iCs/>
          <w:lang w:val="fr-FR"/>
        </w:rPr>
        <w:t>Feature</w:t>
      </w:r>
      <w:proofErr w:type="spellEnd"/>
      <w:r w:rsidRPr="006816FE">
        <w:rPr>
          <w:b/>
          <w:bCs/>
          <w:i/>
          <w:iCs/>
          <w:lang w:val="fr-FR"/>
        </w:rPr>
        <w:t xml:space="preserve"> Engineering</w:t>
      </w:r>
      <w:r w:rsidRPr="006816FE">
        <w:rPr>
          <w:b/>
          <w:bCs/>
          <w:lang w:val="fr-FR"/>
        </w:rPr>
        <w:t>)</w:t>
      </w:r>
      <w:r w:rsidRPr="003A09C3">
        <w:rPr>
          <w:lang w:val="fr-FR"/>
        </w:rPr>
        <w:t xml:space="preserve"> : Processus manuel consistant à calculer et extraire des variables mathématiques pertinentes (moyenne, THD, énergie) à partir d'un signal brut pour nourrir un algorithme classique d'IA.</w:t>
      </w:r>
    </w:p>
    <w:p w14:paraId="39DDDFB3" w14:textId="77777777" w:rsidR="006816FE" w:rsidRPr="003A09C3" w:rsidRDefault="006816FE" w:rsidP="006816FE">
      <w:pPr>
        <w:pStyle w:val="FirstParagraph"/>
        <w:rPr>
          <w:lang w:val="fr-FR"/>
        </w:rPr>
      </w:pPr>
      <w:r w:rsidRPr="006816FE">
        <w:rPr>
          <w:b/>
          <w:bCs/>
          <w:lang w:val="fr-FR"/>
        </w:rPr>
        <w:t>Jumeau Numérique (</w:t>
      </w:r>
      <w:r w:rsidRPr="006816FE">
        <w:rPr>
          <w:b/>
          <w:bCs/>
          <w:i/>
          <w:iCs/>
          <w:lang w:val="fr-FR"/>
        </w:rPr>
        <w:t xml:space="preserve">Digital </w:t>
      </w:r>
      <w:proofErr w:type="spellStart"/>
      <w:r w:rsidRPr="006816FE">
        <w:rPr>
          <w:b/>
          <w:bCs/>
          <w:i/>
          <w:iCs/>
          <w:lang w:val="fr-FR"/>
        </w:rPr>
        <w:t>Twin</w:t>
      </w:r>
      <w:proofErr w:type="spellEnd"/>
      <w:r w:rsidRPr="006816FE">
        <w:rPr>
          <w:b/>
          <w:bCs/>
          <w:lang w:val="fr-FR"/>
        </w:rPr>
        <w:t>)</w:t>
      </w:r>
      <w:r w:rsidRPr="003A09C3">
        <w:rPr>
          <w:lang w:val="fr-FR"/>
        </w:rPr>
        <w:t xml:space="preserve"> : Réplique informatique et mathématique fidèle d'un système physique (ici, la boucle de balisage), utilisée pour simuler des défauts sans endommager le matériel réel.</w:t>
      </w:r>
    </w:p>
    <w:p w14:paraId="0FDB9FFC" w14:textId="77777777" w:rsidR="006816FE" w:rsidRPr="003A09C3" w:rsidRDefault="006816FE" w:rsidP="006816FE">
      <w:pPr>
        <w:pStyle w:val="FirstParagraph"/>
        <w:rPr>
          <w:lang w:val="fr-FR"/>
        </w:rPr>
      </w:pPr>
      <w:r w:rsidRPr="006816FE">
        <w:rPr>
          <w:b/>
          <w:bCs/>
          <w:lang w:val="fr-FR"/>
        </w:rPr>
        <w:t>One-Class SVM :</w:t>
      </w:r>
      <w:r w:rsidRPr="003A09C3">
        <w:rPr>
          <w:lang w:val="fr-FR"/>
        </w:rPr>
        <w:t> Algorithme de Machine Learning non supervisé entraîné uniquement sur des données saines, utilisé pour la détection d'anomalies inédites.</w:t>
      </w:r>
    </w:p>
    <w:p w14:paraId="779544BC" w14:textId="77777777" w:rsidR="006816FE" w:rsidRPr="003A09C3" w:rsidRDefault="006816FE" w:rsidP="006816FE">
      <w:pPr>
        <w:pStyle w:val="FirstParagraph"/>
        <w:rPr>
          <w:lang w:val="fr-FR"/>
        </w:rPr>
      </w:pPr>
      <w:proofErr w:type="gramStart"/>
      <w:r w:rsidRPr="006816FE">
        <w:rPr>
          <w:b/>
          <w:bCs/>
          <w:lang w:val="en-US"/>
        </w:rPr>
        <w:t xml:space="preserve">PINN </w:t>
      </w:r>
      <w:r w:rsidRPr="003A09C3">
        <w:rPr>
          <w:lang w:val="en-US"/>
        </w:rPr>
        <w:t>:</w:t>
      </w:r>
      <w:proofErr w:type="gramEnd"/>
      <w:r w:rsidRPr="003A09C3">
        <w:rPr>
          <w:lang w:val="en-US"/>
        </w:rPr>
        <w:t> </w:t>
      </w:r>
      <w:r w:rsidRPr="003A09C3">
        <w:rPr>
          <w:i/>
          <w:iCs/>
          <w:lang w:val="en-US"/>
        </w:rPr>
        <w:t>Physics-Informed Neural Network</w:t>
      </w:r>
      <w:r w:rsidRPr="003A09C3">
        <w:rPr>
          <w:lang w:val="en-US"/>
        </w:rPr>
        <w:t xml:space="preserve">. </w:t>
      </w:r>
      <w:r w:rsidRPr="003A09C3">
        <w:rPr>
          <w:lang w:val="fr-FR"/>
        </w:rPr>
        <w:t>Nouvelle architecture d'IA qui intègre les équations de la physique classique (</w:t>
      </w:r>
      <w:proofErr w:type="gramStart"/>
      <w:r w:rsidRPr="003A09C3">
        <w:rPr>
          <w:lang w:val="fr-FR"/>
        </w:rPr>
        <w:t>ex:</w:t>
      </w:r>
      <w:proofErr w:type="gramEnd"/>
      <w:r w:rsidRPr="003A09C3">
        <w:rPr>
          <w:lang w:val="fr-FR"/>
        </w:rPr>
        <w:t xml:space="preserve"> les lois de l'électromagnétisme) dans son apprentissage pour réduire son besoin en données réelles.</w:t>
      </w:r>
    </w:p>
    <w:p w14:paraId="347AD75C" w14:textId="77777777" w:rsidR="006816FE" w:rsidRPr="003A09C3" w:rsidRDefault="006816FE" w:rsidP="006816FE">
      <w:pPr>
        <w:pStyle w:val="FirstParagraph"/>
        <w:rPr>
          <w:lang w:val="fr-FR"/>
        </w:rPr>
      </w:pPr>
      <w:r w:rsidRPr="006816FE">
        <w:rPr>
          <w:b/>
          <w:bCs/>
          <w:lang w:val="fr-FR"/>
        </w:rPr>
        <w:t>RF (</w:t>
      </w:r>
      <w:proofErr w:type="spellStart"/>
      <w:r w:rsidRPr="006816FE">
        <w:rPr>
          <w:b/>
          <w:bCs/>
          <w:lang w:val="fr-FR"/>
        </w:rPr>
        <w:t>Random</w:t>
      </w:r>
      <w:proofErr w:type="spellEnd"/>
      <w:r w:rsidRPr="006816FE">
        <w:rPr>
          <w:b/>
          <w:bCs/>
          <w:lang w:val="fr-FR"/>
        </w:rPr>
        <w:t xml:space="preserve"> Forest)</w:t>
      </w:r>
      <w:r w:rsidRPr="003A09C3">
        <w:rPr>
          <w:lang w:val="fr-FR"/>
        </w:rPr>
        <w:t xml:space="preserve"> : Forêt aléatoire. Algorithme d'apprentissage automatique supervisé combinant de multiples arbres de décision, très robuste pour la classification de signatures électriques.</w:t>
      </w:r>
    </w:p>
    <w:p w14:paraId="67A4B006" w14:textId="77777777" w:rsidR="006816FE" w:rsidRPr="003A09C3" w:rsidRDefault="006816FE" w:rsidP="006816FE">
      <w:pPr>
        <w:pStyle w:val="FirstParagraph"/>
        <w:rPr>
          <w:lang w:val="fr-FR"/>
        </w:rPr>
      </w:pPr>
      <w:r w:rsidRPr="006816FE">
        <w:rPr>
          <w:b/>
          <w:bCs/>
          <w:lang w:val="fr-FR"/>
        </w:rPr>
        <w:t>SVM</w:t>
      </w:r>
      <w:r w:rsidRPr="003A09C3">
        <w:rPr>
          <w:lang w:val="fr-FR"/>
        </w:rPr>
        <w:t xml:space="preserve"> : </w:t>
      </w:r>
      <w:r w:rsidRPr="003A09C3">
        <w:rPr>
          <w:i/>
          <w:iCs/>
          <w:lang w:val="fr-FR"/>
        </w:rPr>
        <w:t xml:space="preserve">Support </w:t>
      </w:r>
      <w:proofErr w:type="spellStart"/>
      <w:r w:rsidRPr="003A09C3">
        <w:rPr>
          <w:i/>
          <w:iCs/>
          <w:lang w:val="fr-FR"/>
        </w:rPr>
        <w:t>Vector</w:t>
      </w:r>
      <w:proofErr w:type="spellEnd"/>
      <w:r w:rsidRPr="003A09C3">
        <w:rPr>
          <w:i/>
          <w:iCs/>
          <w:lang w:val="fr-FR"/>
        </w:rPr>
        <w:t xml:space="preserve"> Machine</w:t>
      </w:r>
      <w:r w:rsidRPr="003A09C3">
        <w:rPr>
          <w:lang w:val="fr-FR"/>
        </w:rPr>
        <w:t> (Séparateur à vaste marge). Algorithme de classification statistique cherchant à tracer la frontière mathématique optimale entre différentes catégories de défauts.</w:t>
      </w:r>
    </w:p>
    <w:p w14:paraId="5635DF41" w14:textId="77777777" w:rsidR="00052612" w:rsidRPr="006816FE" w:rsidRDefault="00052612" w:rsidP="00095491">
      <w:pPr>
        <w:pStyle w:val="BodyText"/>
        <w:spacing w:line="360" w:lineRule="auto"/>
        <w:rPr>
          <w:rFonts w:ascii="Times New Roman" w:hAnsi="Times New Roman" w:cs="Times New Roman"/>
          <w:lang w:val="fr-FR"/>
        </w:rPr>
      </w:pPr>
    </w:p>
    <w:sectPr w:rsidR="00052612" w:rsidRPr="006816FE">
      <w:pgSz w:w="12240" w:h="15840"/>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KSSS" w:date="2026-04-18T20:20:00Z" w:initials="K">
    <w:p w14:paraId="6BB9D03F" w14:textId="77777777" w:rsidR="008D3B49" w:rsidRDefault="008D3B49">
      <w:pPr>
        <w:pStyle w:val="CommentText"/>
      </w:pPr>
      <w:r>
        <w:rPr>
          <w:rStyle w:val="CommentReference"/>
        </w:rPr>
        <w:annotationRef/>
      </w:r>
    </w:p>
    <w:p w14:paraId="394C6E4B" w14:textId="77777777" w:rsidR="008D3B49" w:rsidRDefault="008D3B49">
      <w:pPr>
        <w:pStyle w:val="CommentText"/>
      </w:pPr>
      <w:r>
        <w:t>CEI (Commission Électrotechnique Internationale)</w:t>
      </w:r>
    </w:p>
    <w:p w14:paraId="032DAE43" w14:textId="77777777" w:rsidR="008D3B49" w:rsidRDefault="008D3B49">
      <w:pPr>
        <w:pStyle w:val="CommentText"/>
      </w:pPr>
      <w:r>
        <w:t xml:space="preserve"> • IEC 61821 – Maintenance des circuits série à courant constant pour le balisage aéronautique au sol (Maintenance of </w:t>
      </w:r>
      <w:proofErr w:type="spellStart"/>
      <w:r>
        <w:t>aeronautical</w:t>
      </w:r>
      <w:proofErr w:type="spellEnd"/>
      <w:r>
        <w:t xml:space="preserve"> </w:t>
      </w:r>
      <w:proofErr w:type="spellStart"/>
      <w:r>
        <w:t>ground</w:t>
      </w:r>
      <w:proofErr w:type="spellEnd"/>
      <w:r>
        <w:t xml:space="preserve"> </w:t>
      </w:r>
      <w:proofErr w:type="spellStart"/>
      <w:r>
        <w:t>lighting</w:t>
      </w:r>
      <w:proofErr w:type="spellEnd"/>
      <w:r>
        <w:t xml:space="preserve"> constant </w:t>
      </w:r>
      <w:proofErr w:type="spellStart"/>
      <w:r>
        <w:t>current</w:t>
      </w:r>
      <w:proofErr w:type="spellEnd"/>
      <w:r>
        <w:t xml:space="preserve"> </w:t>
      </w:r>
      <w:proofErr w:type="spellStart"/>
      <w:r>
        <w:t>series</w:t>
      </w:r>
      <w:proofErr w:type="spellEnd"/>
      <w:r>
        <w:t xml:space="preserve"> circuits</w:t>
      </w:r>
      <w:proofErr w:type="gramStart"/>
      <w:r>
        <w:t>);</w:t>
      </w:r>
      <w:proofErr w:type="gramEnd"/>
      <w:r>
        <w:t xml:space="preserve"> </w:t>
      </w:r>
    </w:p>
    <w:p w14:paraId="5CD90A36" w14:textId="77777777" w:rsidR="008D3B49" w:rsidRDefault="008D3B49">
      <w:pPr>
        <w:pStyle w:val="CommentText"/>
      </w:pPr>
      <w:r>
        <w:t xml:space="preserve">• IEC 61822 – Régulateurs à courant constant (Constant </w:t>
      </w:r>
      <w:proofErr w:type="spellStart"/>
      <w:r>
        <w:t>current</w:t>
      </w:r>
      <w:proofErr w:type="spellEnd"/>
      <w:r>
        <w:t xml:space="preserve"> </w:t>
      </w:r>
      <w:proofErr w:type="spellStart"/>
      <w:r>
        <w:t>regulators</w:t>
      </w:r>
      <w:proofErr w:type="spellEnd"/>
      <w:proofErr w:type="gramStart"/>
      <w:r>
        <w:t>);</w:t>
      </w:r>
      <w:proofErr w:type="gramEnd"/>
      <w:r>
        <w:t xml:space="preserve"> </w:t>
      </w:r>
    </w:p>
    <w:p w14:paraId="27D15394" w14:textId="77777777" w:rsidR="008D3B49" w:rsidRDefault="008D3B49">
      <w:pPr>
        <w:pStyle w:val="CommentText"/>
      </w:pPr>
      <w:r>
        <w:t xml:space="preserve">• IEC 61823 – Transformateurs d’isolement (AGL </w:t>
      </w:r>
      <w:proofErr w:type="spellStart"/>
      <w:r>
        <w:t>series</w:t>
      </w:r>
      <w:proofErr w:type="spellEnd"/>
      <w:r>
        <w:t xml:space="preserve"> </w:t>
      </w:r>
      <w:proofErr w:type="spellStart"/>
      <w:r>
        <w:t>transformers</w:t>
      </w:r>
      <w:proofErr w:type="spellEnd"/>
      <w:proofErr w:type="gramStart"/>
      <w:r>
        <w:t>);</w:t>
      </w:r>
      <w:proofErr w:type="gramEnd"/>
      <w:r>
        <w:t xml:space="preserve"> </w:t>
      </w:r>
    </w:p>
    <w:p w14:paraId="60A62EBA" w14:textId="77777777" w:rsidR="008D3B49" w:rsidRDefault="008D3B49">
      <w:pPr>
        <w:pStyle w:val="CommentText"/>
      </w:pPr>
      <w:r>
        <w:t>• IEC 62870 Installations électriques pour l’éclairage et le balisage des aérodromes – Circuits secondaires de sécurité dans des circuits sérient – Exigences générales de sécurité</w:t>
      </w:r>
    </w:p>
    <w:p w14:paraId="69B3D678" w14:textId="77777777" w:rsidR="008D3B49" w:rsidRDefault="008D3B49">
      <w:pPr>
        <w:pStyle w:val="CommentText"/>
      </w:pPr>
      <w:r>
        <w:t xml:space="preserve"> • IEC TS 61827 – Caractéristiques des feux encastrés et hors sol utilisés sur les aérodromes et les hélistations (</w:t>
      </w:r>
      <w:proofErr w:type="spellStart"/>
      <w:r>
        <w:t>Characteristics</w:t>
      </w:r>
      <w:proofErr w:type="spellEnd"/>
      <w:r>
        <w:t xml:space="preserve"> of </w:t>
      </w:r>
      <w:proofErr w:type="spellStart"/>
      <w:r>
        <w:t>inset</w:t>
      </w:r>
      <w:proofErr w:type="spellEnd"/>
      <w:r>
        <w:t xml:space="preserve"> and </w:t>
      </w:r>
      <w:proofErr w:type="spellStart"/>
      <w:r>
        <w:t>elevated</w:t>
      </w:r>
      <w:proofErr w:type="spellEnd"/>
      <w:r>
        <w:t xml:space="preserve"> luminaires </w:t>
      </w:r>
      <w:proofErr w:type="spellStart"/>
      <w:r>
        <w:t>used</w:t>
      </w:r>
      <w:proofErr w:type="spellEnd"/>
      <w:r>
        <w:t xml:space="preserve"> on </w:t>
      </w:r>
      <w:proofErr w:type="spellStart"/>
      <w:r>
        <w:t>aerodromes</w:t>
      </w:r>
      <w:proofErr w:type="spellEnd"/>
      <w:r>
        <w:t xml:space="preserve"> and </w:t>
      </w:r>
      <w:proofErr w:type="spellStart"/>
      <w:r>
        <w:t>heliports</w:t>
      </w:r>
      <w:proofErr w:type="spellEnd"/>
      <w:proofErr w:type="gramStart"/>
      <w:r>
        <w:t>);</w:t>
      </w:r>
      <w:proofErr w:type="gramEnd"/>
    </w:p>
    <w:p w14:paraId="5397CD5F" w14:textId="625B7567" w:rsidR="008D3B49" w:rsidRDefault="008D3B49">
      <w:pPr>
        <w:pStyle w:val="CommentText"/>
      </w:pPr>
      <w:r>
        <w:t xml:space="preserve"> • IEC TS 62143 Systèmes de balisage aéronautique au sol – Lignes directrices pour l'établissement d'une méthodologie pour le cycle de vie de sécurité (</w:t>
      </w:r>
      <w:proofErr w:type="spellStart"/>
      <w:r>
        <w:t>Aeronautical</w:t>
      </w:r>
      <w:proofErr w:type="spellEnd"/>
      <w:r>
        <w:t xml:space="preserve"> </w:t>
      </w:r>
      <w:proofErr w:type="spellStart"/>
      <w:r>
        <w:t>ground</w:t>
      </w:r>
      <w:proofErr w:type="spellEnd"/>
      <w:r>
        <w:t xml:space="preserve"> </w:t>
      </w:r>
      <w:proofErr w:type="spellStart"/>
      <w:r>
        <w:t>lighting</w:t>
      </w:r>
      <w:proofErr w:type="spellEnd"/>
      <w:r>
        <w:t xml:space="preserve"> </w:t>
      </w:r>
      <w:proofErr w:type="spellStart"/>
      <w:r>
        <w:t>systems</w:t>
      </w:r>
      <w:proofErr w:type="spellEnd"/>
      <w:r>
        <w:t xml:space="preserve"> – Guidelines for the </w:t>
      </w:r>
      <w:proofErr w:type="spellStart"/>
      <w:r>
        <w:t>development</w:t>
      </w:r>
      <w:proofErr w:type="spellEnd"/>
      <w:r>
        <w:t xml:space="preserve"> of a </w:t>
      </w:r>
      <w:proofErr w:type="spellStart"/>
      <w:r>
        <w:t>safety</w:t>
      </w:r>
      <w:proofErr w:type="spellEnd"/>
      <w:r>
        <w:t xml:space="preserve"> </w:t>
      </w:r>
      <w:proofErr w:type="spellStart"/>
      <w:r>
        <w:t>lifecycle</w:t>
      </w:r>
      <w:proofErr w:type="spellEnd"/>
      <w:r>
        <w:t xml:space="preserve"> </w:t>
      </w:r>
      <w:proofErr w:type="spellStart"/>
      <w:r>
        <w:t>methodology</w:t>
      </w:r>
      <w:proofErr w:type="spellEnd"/>
      <w:r>
        <w:t>).</w:t>
      </w:r>
    </w:p>
  </w:comment>
  <w:comment w:id="11" w:author="KSSS" w:date="2026-04-18T23:02:00Z" w:initials="K">
    <w:p w14:paraId="4F92ACD3" w14:textId="03C59FF9" w:rsidR="00EF7F6A" w:rsidRPr="00EF7F6A" w:rsidRDefault="00EF7F6A" w:rsidP="00150129">
      <w:pPr>
        <w:pStyle w:val="CommentText"/>
        <w:rPr>
          <w:rFonts w:eastAsiaTheme="minorEastAsia"/>
          <w:lang w:val="fr-FR"/>
        </w:rPr>
      </w:pPr>
      <w:r>
        <w:rPr>
          <w:rStyle w:val="CommentReference"/>
        </w:rPr>
        <w:annotationRef/>
      </w:r>
      <w:r w:rsidR="00150129">
        <w:t xml:space="preserve">En fonctionnement normal, le TI est vu comme une </w:t>
      </w:r>
      <w:r w:rsidR="00150129">
        <w:rPr>
          <w:b/>
          <w:bCs/>
        </w:rPr>
        <w:t>charge principalement résistive</w:t>
      </w:r>
      <w:r w:rsidR="00150129">
        <w:t xml:space="preserve"> (puissance active de la lampe). Lorsqu'une lampe est grillée, le secondaire passe en circuit ouvert et le courant primaire sature le noyau, transformant le TI en une </w:t>
      </w:r>
      <w:r w:rsidR="00150129">
        <w:rPr>
          <w:b/>
          <w:bCs/>
        </w:rPr>
        <w:t>inductance non-linéaire saturée</w:t>
      </w:r>
      <w:r w:rsidR="00150129">
        <w:t>. Ce changement de régime modifie la signature électrique de la boucle, ce qui se traduit par un saut de déphasage</w:t>
      </w:r>
      <w:r>
        <w:rPr>
          <w:rFonts w:eastAsiaTheme="minorEastAsia"/>
          <w:lang w:val="fr-FR"/>
        </w:rPr>
        <w:t xml:space="preserve"> </w:t>
      </w:r>
      <m:oMath>
        <m:r>
          <m:rPr>
            <m:sty m:val="p"/>
          </m:rPr>
          <w:rPr>
            <w:rFonts w:ascii="Cambria Math" w:eastAsiaTheme="minorEastAsia" w:hAnsi="Cambria Math"/>
            <w:lang w:val="fr-FR"/>
          </w:rPr>
          <m:t>Δ</m:t>
        </m:r>
        <m:r>
          <w:rPr>
            <w:rFonts w:ascii="Cambria Math" w:eastAsiaTheme="minorEastAsia" w:hAnsi="Cambria Math"/>
            <w:lang w:val="fr-FR"/>
          </w:rPr>
          <m:t>ϕ</m:t>
        </m:r>
      </m:oMath>
      <w:r w:rsidR="00150129">
        <w:rPr>
          <w:rFonts w:eastAsiaTheme="minorEastAsia"/>
          <w:iCs/>
          <w:lang w:val="fr-FR"/>
        </w:rPr>
        <w:t xml:space="preserve"> </w:t>
      </w:r>
      <w:r w:rsidR="00150129">
        <w:t>détecté par le RCC.</w:t>
      </w:r>
    </w:p>
  </w:comment>
  <w:comment w:id="19" w:author="KSSS" w:date="2026-04-19T01:36:00Z" w:initials="K">
    <w:p w14:paraId="710FAE7D" w14:textId="77777777" w:rsidR="005A21EA" w:rsidRPr="005A21EA" w:rsidRDefault="005A21EA" w:rsidP="005A21EA">
      <w:pPr>
        <w:pStyle w:val="CommentText"/>
        <w:rPr>
          <w:lang w:val="fr-FR"/>
        </w:rPr>
      </w:pPr>
      <w:r>
        <w:rPr>
          <w:rStyle w:val="CommentReference"/>
        </w:rPr>
        <w:annotationRef/>
      </w:r>
      <w:r w:rsidRPr="005A21EA">
        <w:rPr>
          <w:lang w:val="fr-FR"/>
        </w:rPr>
        <w:t>En régime permanent, le THD d'une boucle saine est stable. La dérivée est nulle ($</w:t>
      </w:r>
      <w:proofErr w:type="spellStart"/>
      <w:r w:rsidRPr="005A21EA">
        <w:rPr>
          <w:lang w:val="fr-FR"/>
        </w:rPr>
        <w:t>dTHD</w:t>
      </w:r>
      <w:proofErr w:type="spellEnd"/>
      <w:r w:rsidRPr="005A21EA">
        <w:rPr>
          <w:lang w:val="fr-FR"/>
        </w:rPr>
        <w:t>/</w:t>
      </w:r>
      <w:proofErr w:type="spellStart"/>
      <w:r w:rsidRPr="005A21EA">
        <w:rPr>
          <w:lang w:val="fr-FR"/>
        </w:rPr>
        <w:t>dt</w:t>
      </w:r>
      <w:proofErr w:type="spellEnd"/>
      <w:r w:rsidRPr="005A21EA">
        <w:rPr>
          <w:lang w:val="fr-FR"/>
        </w:rPr>
        <w:t xml:space="preserve"> \approx 0$).</w:t>
      </w:r>
    </w:p>
    <w:p w14:paraId="01A5F118" w14:textId="77777777" w:rsidR="005A21EA" w:rsidRPr="005A21EA" w:rsidRDefault="005A21EA" w:rsidP="005A21EA">
      <w:pPr>
        <w:pStyle w:val="CommentText"/>
        <w:rPr>
          <w:lang w:val="fr-FR"/>
        </w:rPr>
      </w:pPr>
      <w:r w:rsidRPr="005A21EA">
        <w:rPr>
          <w:lang w:val="fr-FR"/>
        </w:rPr>
        <w:t xml:space="preserve">Dès qu'une dégradation s'amorce (un défaut </w:t>
      </w:r>
      <w:proofErr w:type="spellStart"/>
      <w:r w:rsidRPr="005A21EA">
        <w:rPr>
          <w:lang w:val="fr-FR"/>
        </w:rPr>
        <w:t>incipient</w:t>
      </w:r>
      <w:proofErr w:type="spellEnd"/>
      <w:r w:rsidRPr="005A21EA">
        <w:rPr>
          <w:lang w:val="fr-FR"/>
        </w:rPr>
        <w:t>), plusieurs phénomènes physiques instables se produisent :</w:t>
      </w:r>
    </w:p>
    <w:p w14:paraId="561EC69C" w14:textId="77777777" w:rsidR="005A21EA" w:rsidRPr="005A21EA" w:rsidRDefault="005A21EA" w:rsidP="005A21EA">
      <w:pPr>
        <w:pStyle w:val="CommentText"/>
        <w:numPr>
          <w:ilvl w:val="0"/>
          <w:numId w:val="14"/>
        </w:numPr>
        <w:rPr>
          <w:lang w:val="fr-FR"/>
        </w:rPr>
      </w:pPr>
      <w:r w:rsidRPr="005A21EA">
        <w:rPr>
          <w:b/>
          <w:bCs/>
          <w:lang w:val="fr-FR"/>
        </w:rPr>
        <w:t>Micro-amorçages :</w:t>
      </w:r>
      <w:r w:rsidRPr="005A21EA">
        <w:rPr>
          <w:lang w:val="fr-FR"/>
        </w:rPr>
        <w:t xml:space="preserve"> L'isolant craque de manière intermittente, créant des pics de courant très brefs et non-périodiques.</w:t>
      </w:r>
    </w:p>
    <w:p w14:paraId="75B644E8" w14:textId="77777777" w:rsidR="005A21EA" w:rsidRPr="005A21EA" w:rsidRDefault="005A21EA" w:rsidP="005A21EA">
      <w:pPr>
        <w:pStyle w:val="CommentText"/>
        <w:numPr>
          <w:ilvl w:val="0"/>
          <w:numId w:val="14"/>
        </w:numPr>
        <w:rPr>
          <w:lang w:val="fr-FR"/>
        </w:rPr>
      </w:pPr>
      <w:r w:rsidRPr="005A21EA">
        <w:rPr>
          <w:b/>
          <w:bCs/>
          <w:lang w:val="fr-FR"/>
        </w:rPr>
        <w:t>Saturation asymétrique :</w:t>
      </w:r>
      <w:r w:rsidRPr="005A21EA">
        <w:rPr>
          <w:lang w:val="fr-FR"/>
        </w:rPr>
        <w:t xml:space="preserve"> Un TI qui commence à faillir peut saturer de façon irrégulière d'une alternance à l'autre.</w:t>
      </w:r>
    </w:p>
    <w:p w14:paraId="6C7E75B5" w14:textId="77777777" w:rsidR="005A21EA" w:rsidRPr="005A21EA" w:rsidRDefault="005A21EA" w:rsidP="005A21EA">
      <w:pPr>
        <w:pStyle w:val="CommentText"/>
        <w:rPr>
          <w:lang w:val="fr-FR"/>
        </w:rPr>
      </w:pPr>
      <w:r w:rsidRPr="005A21EA">
        <w:rPr>
          <w:lang w:val="fr-FR"/>
        </w:rPr>
        <w:t xml:space="preserve">Ces instabilités "agitent" le spectre harmonique. Même si la valeur absolue du THD ne change que de </w:t>
      </w:r>
      <w:r w:rsidRPr="005A21EA">
        <w:rPr>
          <w:b/>
          <w:bCs/>
          <w:lang w:val="fr-FR"/>
        </w:rPr>
        <w:t>0,1 %</w:t>
      </w:r>
      <w:r w:rsidRPr="005A21EA">
        <w:rPr>
          <w:lang w:val="fr-FR"/>
        </w:rPr>
        <w:t xml:space="preserve">, sa </w:t>
      </w:r>
      <w:r w:rsidRPr="005A21EA">
        <w:rPr>
          <w:b/>
          <w:bCs/>
          <w:lang w:val="fr-FR"/>
        </w:rPr>
        <w:t>vitesse de variation</w:t>
      </w:r>
      <w:r w:rsidRPr="005A21EA">
        <w:rPr>
          <w:lang w:val="fr-FR"/>
        </w:rPr>
        <w:t xml:space="preserve"> (la dérivée) va montrer des pics d'activité. C'est le signe que le système a perdu sa stabilité linéaire.</w:t>
      </w:r>
    </w:p>
    <w:p w14:paraId="577624B3" w14:textId="4A76A3A7" w:rsidR="005A21EA" w:rsidRPr="005A21EA" w:rsidRDefault="005A21EA" w:rsidP="005A21EA">
      <w:pPr>
        <w:pStyle w:val="CommentText"/>
        <w:rPr>
          <w:lang w:val="fr-FR"/>
        </w:rPr>
      </w:pPr>
    </w:p>
    <w:p w14:paraId="2A22402A" w14:textId="6A6AD2D9" w:rsidR="005A21EA" w:rsidRPr="005A21EA" w:rsidRDefault="005A21EA">
      <w:pPr>
        <w:pStyle w:val="CommentText"/>
        <w:rPr>
          <w:lang w:val="fr-FR"/>
        </w:rPr>
      </w:pPr>
    </w:p>
  </w:comment>
  <w:comment w:id="20" w:author="KSSS" w:date="2026-04-19T01:41:00Z" w:initials="K">
    <w:p w14:paraId="31AD13E4" w14:textId="762253AF" w:rsidR="005A21EA" w:rsidRDefault="005A21EA">
      <w:pPr>
        <w:pStyle w:val="CommentText"/>
      </w:pPr>
      <w:r>
        <w:rPr>
          <w:rStyle w:val="CommentReference"/>
        </w:rPr>
        <w:annotationRef/>
      </w:r>
      <w:r>
        <w:t xml:space="preserve">Un </w:t>
      </w:r>
      <w:r>
        <w:rPr>
          <w:b/>
          <w:bCs/>
        </w:rPr>
        <w:t>banc d’essai XLPE</w:t>
      </w:r>
      <w:r>
        <w:t xml:space="preserve"> est une installation de laboratoire ou de test industriel conçue spécifiquement pour évaluer la qualité, la résistance et le vieillissement des câbles isolés au </w:t>
      </w:r>
      <w:r>
        <w:rPr>
          <w:b/>
          <w:bCs/>
        </w:rPr>
        <w:t>polyéthylène réticulé</w:t>
      </w:r>
      <w:r>
        <w:t xml:space="preserve"> (XLPE, pour </w:t>
      </w:r>
      <w:r>
        <w:rPr>
          <w:i/>
          <w:iCs/>
        </w:rPr>
        <w:t>Cross-</w:t>
      </w:r>
      <w:proofErr w:type="spellStart"/>
      <w:r>
        <w:rPr>
          <w:i/>
          <w:iCs/>
        </w:rPr>
        <w:t>Linked</w:t>
      </w:r>
      <w:proofErr w:type="spellEnd"/>
      <w:r>
        <w:rPr>
          <w:i/>
          <w:iCs/>
        </w:rPr>
        <w:t xml:space="preserve"> </w:t>
      </w:r>
      <w:proofErr w:type="spellStart"/>
      <w:r>
        <w:rPr>
          <w:i/>
          <w:iCs/>
        </w:rPr>
        <w:t>Polyethylene</w:t>
      </w:r>
      <w:proofErr w:type="spellEnd"/>
      <w:r>
        <w:t>).</w:t>
      </w:r>
    </w:p>
  </w:comment>
  <w:comment w:id="61" w:author="KSSS" w:date="2026-04-19T09:17:00Z" w:initials="K">
    <w:p w14:paraId="64F398BB" w14:textId="63F31AE2" w:rsidR="00B92F47" w:rsidRDefault="00B92F47">
      <w:pPr>
        <w:pStyle w:val="CommentText"/>
      </w:pPr>
      <w:r>
        <w:rPr>
          <w:rStyle w:val="CommentReference"/>
        </w:rPr>
        <w:annotationRef/>
      </w:r>
      <w:r>
        <w:t xml:space="preserve">L'idée intuitive. Un jumeau numérique bien construit ne représente pas la boucle comme un « point » mais comme un système spatialement distribué : le modèle tient en compte que les grandeurs physiques dépendent de la position </w:t>
      </w:r>
      <w:r>
        <w:rPr>
          <w:rStyle w:val="katex-mathml"/>
        </w:rPr>
        <w:t xml:space="preserve">xx </w:t>
      </w:r>
      <w:r>
        <w:rPr>
          <w:rStyle w:val="mord"/>
        </w:rPr>
        <w:t>x</w:t>
      </w:r>
      <w:r>
        <w:t xml:space="preserve"> le long du câble.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97CD5F" w15:done="0"/>
  <w15:commentEx w15:paraId="4F92ACD3" w15:done="0"/>
  <w15:commentEx w15:paraId="2A22402A" w15:done="0"/>
  <w15:commentEx w15:paraId="31AD13E4" w15:done="0"/>
  <w15:commentEx w15:paraId="64F398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E6616" w16cex:dateUtc="2026-04-18T18:20:00Z"/>
  <w16cex:commentExtensible w16cex:durableId="2D8E8C0E" w16cex:dateUtc="2026-04-18T21:02:00Z"/>
  <w16cex:commentExtensible w16cex:durableId="2D8EB02A" w16cex:dateUtc="2026-04-18T23:36:00Z"/>
  <w16cex:commentExtensible w16cex:durableId="2D8EB13C" w16cex:dateUtc="2026-04-18T23:41:00Z"/>
  <w16cex:commentExtensible w16cex:durableId="2D8F1C28" w16cex:dateUtc="2026-04-19T0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97CD5F" w16cid:durableId="2D8E6616"/>
  <w16cid:commentId w16cid:paraId="4F92ACD3" w16cid:durableId="2D8E8C0E"/>
  <w16cid:commentId w16cid:paraId="2A22402A" w16cid:durableId="2D8EB02A"/>
  <w16cid:commentId w16cid:paraId="31AD13E4" w16cid:durableId="2D8EB13C"/>
  <w16cid:commentId w16cid:paraId="64F398BB" w16cid:durableId="2D8F1C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55CD1" w14:textId="77777777" w:rsidR="004E66EE" w:rsidRDefault="004E66EE">
      <w:pPr>
        <w:spacing w:after="0"/>
      </w:pPr>
      <w:r>
        <w:separator/>
      </w:r>
    </w:p>
  </w:endnote>
  <w:endnote w:type="continuationSeparator" w:id="0">
    <w:p w14:paraId="4826EED9" w14:textId="77777777" w:rsidR="004E66EE" w:rsidRDefault="004E66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73E6F" w14:textId="77777777" w:rsidR="004E66EE" w:rsidRDefault="004E66EE">
      <w:r>
        <w:separator/>
      </w:r>
    </w:p>
  </w:footnote>
  <w:footnote w:type="continuationSeparator" w:id="0">
    <w:p w14:paraId="4D4365E0" w14:textId="77777777" w:rsidR="004E66EE" w:rsidRDefault="004E66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8270662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DD7694"/>
    <w:multiLevelType w:val="multilevel"/>
    <w:tmpl w:val="C198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236E2"/>
    <w:multiLevelType w:val="multilevel"/>
    <w:tmpl w:val="9BE0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413B1"/>
    <w:multiLevelType w:val="multilevel"/>
    <w:tmpl w:val="500C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AE401"/>
    <w:multiLevelType w:val="multilevel"/>
    <w:tmpl w:val="DDEC2A0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2D392A67"/>
    <w:multiLevelType w:val="multilevel"/>
    <w:tmpl w:val="DF2C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C025E"/>
    <w:multiLevelType w:val="multilevel"/>
    <w:tmpl w:val="1D2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423F9"/>
    <w:multiLevelType w:val="hybridMultilevel"/>
    <w:tmpl w:val="5D1A22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6F1938"/>
    <w:multiLevelType w:val="multilevel"/>
    <w:tmpl w:val="4E8E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276D66"/>
    <w:multiLevelType w:val="multilevel"/>
    <w:tmpl w:val="7A7E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2270F"/>
    <w:multiLevelType w:val="multilevel"/>
    <w:tmpl w:val="5C04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C33EB"/>
    <w:multiLevelType w:val="hybridMultilevel"/>
    <w:tmpl w:val="179E71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1315DCA"/>
    <w:multiLevelType w:val="multilevel"/>
    <w:tmpl w:val="50E6E8C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4"/>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2"/>
  </w:num>
  <w:num w:numId="5">
    <w:abstractNumId w:val="12"/>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12"/>
  </w:num>
  <w:num w:numId="9">
    <w:abstractNumId w:val="12"/>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2"/>
  </w:num>
  <w:num w:numId="13">
    <w:abstractNumId w:val="9"/>
  </w:num>
  <w:num w:numId="14">
    <w:abstractNumId w:val="1"/>
  </w:num>
  <w:num w:numId="15">
    <w:abstractNumId w:val="7"/>
  </w:num>
  <w:num w:numId="16">
    <w:abstractNumId w:val="11"/>
  </w:num>
  <w:num w:numId="17">
    <w:abstractNumId w:val="6"/>
  </w:num>
  <w:num w:numId="18">
    <w:abstractNumId w:val="10"/>
  </w:num>
  <w:num w:numId="19">
    <w:abstractNumId w:val="3"/>
  </w:num>
  <w:num w:numId="20">
    <w:abstractNumId w:val="5"/>
  </w:num>
  <w:num w:numId="2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SSS">
    <w15:presenceInfo w15:providerId="None" w15:userId="KSS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13E18"/>
    <w:rsid w:val="0003749C"/>
    <w:rsid w:val="00052612"/>
    <w:rsid w:val="00095491"/>
    <w:rsid w:val="000B6992"/>
    <w:rsid w:val="00150129"/>
    <w:rsid w:val="001E072E"/>
    <w:rsid w:val="001F63B3"/>
    <w:rsid w:val="00352E20"/>
    <w:rsid w:val="0036721E"/>
    <w:rsid w:val="003700DD"/>
    <w:rsid w:val="00371E45"/>
    <w:rsid w:val="003A09C3"/>
    <w:rsid w:val="003D0F97"/>
    <w:rsid w:val="003F3D5F"/>
    <w:rsid w:val="004E29B3"/>
    <w:rsid w:val="004E66EE"/>
    <w:rsid w:val="00524677"/>
    <w:rsid w:val="00590D07"/>
    <w:rsid w:val="00590DD7"/>
    <w:rsid w:val="005A21EA"/>
    <w:rsid w:val="006277DE"/>
    <w:rsid w:val="006816FE"/>
    <w:rsid w:val="006A3D00"/>
    <w:rsid w:val="00731ADD"/>
    <w:rsid w:val="00784D58"/>
    <w:rsid w:val="0087088E"/>
    <w:rsid w:val="008D3B49"/>
    <w:rsid w:val="008D6863"/>
    <w:rsid w:val="0092510E"/>
    <w:rsid w:val="00A9015A"/>
    <w:rsid w:val="00B86B75"/>
    <w:rsid w:val="00B92F47"/>
    <w:rsid w:val="00BB6D8A"/>
    <w:rsid w:val="00BC48D5"/>
    <w:rsid w:val="00BF14EE"/>
    <w:rsid w:val="00BF3954"/>
    <w:rsid w:val="00C167F3"/>
    <w:rsid w:val="00C36279"/>
    <w:rsid w:val="00DF04E8"/>
    <w:rsid w:val="00E315A3"/>
    <w:rsid w:val="00EA325D"/>
    <w:rsid w:val="00EF7F6A"/>
    <w:rsid w:val="00F56B14"/>
    <w:rsid w:val="00F763E2"/>
    <w:rsid w:val="00F95AE4"/>
    <w:rsid w:val="00FB30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F54D6"/>
  <w15:docId w15:val="{4FA732F8-C56A-4502-A79A-975598EC7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277DE"/>
    <w:pPr>
      <w:keepNext/>
      <w:keepLines/>
      <w:spacing w:before="480" w:after="0" w:line="360" w:lineRule="auto"/>
      <w:jc w:val="both"/>
      <w:outlineLvl w:val="0"/>
    </w:pPr>
    <w:rPr>
      <w:rFonts w:ascii="Times New Roman" w:eastAsiaTheme="majorEastAsia" w:hAnsi="Times New Roman" w:cs="Times New Roman"/>
      <w:b/>
      <w:bCs/>
      <w:sz w:val="32"/>
      <w:szCs w:val="32"/>
    </w:rPr>
  </w:style>
  <w:style w:type="paragraph" w:styleId="Heading2">
    <w:name w:val="heading 2"/>
    <w:basedOn w:val="Normal"/>
    <w:next w:val="BodyText"/>
    <w:uiPriority w:val="9"/>
    <w:unhideWhenUsed/>
    <w:qFormat/>
    <w:rsid w:val="006277DE"/>
    <w:pPr>
      <w:keepNext/>
      <w:keepLines/>
      <w:spacing w:before="200" w:after="0" w:line="360" w:lineRule="auto"/>
      <w:jc w:val="both"/>
      <w:outlineLvl w:val="1"/>
    </w:pPr>
    <w:rPr>
      <w:rFonts w:ascii="Times New Roman" w:eastAsiaTheme="majorEastAsia" w:hAnsi="Times New Roman" w:cs="Times New Roman"/>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rsid w:val="006277DE"/>
    <w:pPr>
      <w:spacing w:line="360" w:lineRule="auto"/>
      <w:jc w:val="both"/>
    </w:pPr>
    <w:rPr>
      <w:rFonts w:ascii="Times New Roman" w:hAnsi="Times New Roman" w:cs="Times New Roman"/>
    </w:r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F763E2"/>
    <w:pPr>
      <w:spacing w:after="100"/>
    </w:pPr>
  </w:style>
  <w:style w:type="paragraph" w:styleId="TOC2">
    <w:name w:val="toc 2"/>
    <w:basedOn w:val="Normal"/>
    <w:next w:val="Normal"/>
    <w:autoRedefine/>
    <w:uiPriority w:val="39"/>
    <w:unhideWhenUsed/>
    <w:rsid w:val="00F763E2"/>
    <w:pPr>
      <w:spacing w:after="100"/>
      <w:ind w:left="240"/>
    </w:pPr>
  </w:style>
  <w:style w:type="paragraph" w:styleId="TOC3">
    <w:name w:val="toc 3"/>
    <w:basedOn w:val="Normal"/>
    <w:next w:val="Normal"/>
    <w:autoRedefine/>
    <w:uiPriority w:val="39"/>
    <w:unhideWhenUsed/>
    <w:rsid w:val="00F763E2"/>
    <w:pPr>
      <w:spacing w:after="100"/>
      <w:ind w:left="480"/>
    </w:pPr>
  </w:style>
  <w:style w:type="character" w:styleId="CommentReference">
    <w:name w:val="annotation reference"/>
    <w:basedOn w:val="DefaultParagraphFont"/>
    <w:semiHidden/>
    <w:unhideWhenUsed/>
    <w:rsid w:val="008D3B49"/>
    <w:rPr>
      <w:sz w:val="16"/>
      <w:szCs w:val="16"/>
    </w:rPr>
  </w:style>
  <w:style w:type="paragraph" w:styleId="CommentText">
    <w:name w:val="annotation text"/>
    <w:basedOn w:val="Normal"/>
    <w:link w:val="CommentTextChar"/>
    <w:unhideWhenUsed/>
    <w:rsid w:val="008D3B49"/>
    <w:rPr>
      <w:sz w:val="20"/>
      <w:szCs w:val="20"/>
    </w:rPr>
  </w:style>
  <w:style w:type="character" w:customStyle="1" w:styleId="CommentTextChar">
    <w:name w:val="Comment Text Char"/>
    <w:basedOn w:val="DefaultParagraphFont"/>
    <w:link w:val="CommentText"/>
    <w:rsid w:val="008D3B49"/>
    <w:rPr>
      <w:sz w:val="20"/>
      <w:szCs w:val="20"/>
    </w:rPr>
  </w:style>
  <w:style w:type="paragraph" w:styleId="CommentSubject">
    <w:name w:val="annotation subject"/>
    <w:basedOn w:val="CommentText"/>
    <w:next w:val="CommentText"/>
    <w:link w:val="CommentSubjectChar"/>
    <w:semiHidden/>
    <w:unhideWhenUsed/>
    <w:rsid w:val="008D3B49"/>
    <w:rPr>
      <w:b/>
      <w:bCs/>
    </w:rPr>
  </w:style>
  <w:style w:type="character" w:customStyle="1" w:styleId="CommentSubjectChar">
    <w:name w:val="Comment Subject Char"/>
    <w:basedOn w:val="CommentTextChar"/>
    <w:link w:val="CommentSubject"/>
    <w:semiHidden/>
    <w:rsid w:val="008D3B49"/>
    <w:rPr>
      <w:b/>
      <w:bCs/>
      <w:sz w:val="20"/>
      <w:szCs w:val="20"/>
    </w:rPr>
  </w:style>
  <w:style w:type="character" w:styleId="UnresolvedMention">
    <w:name w:val="Unresolved Mention"/>
    <w:basedOn w:val="DefaultParagraphFont"/>
    <w:uiPriority w:val="99"/>
    <w:semiHidden/>
    <w:unhideWhenUsed/>
    <w:rsid w:val="0003749C"/>
    <w:rPr>
      <w:color w:val="605E5C"/>
      <w:shd w:val="clear" w:color="auto" w:fill="E1DFDD"/>
    </w:rPr>
  </w:style>
  <w:style w:type="character" w:styleId="PlaceholderText">
    <w:name w:val="Placeholder Text"/>
    <w:basedOn w:val="DefaultParagraphFont"/>
    <w:semiHidden/>
    <w:rsid w:val="00EF7F6A"/>
    <w:rPr>
      <w:color w:val="808080"/>
    </w:rPr>
  </w:style>
  <w:style w:type="character" w:styleId="Emphasis">
    <w:name w:val="Emphasis"/>
    <w:basedOn w:val="DefaultParagraphFont"/>
    <w:uiPriority w:val="20"/>
    <w:qFormat/>
    <w:rsid w:val="000B6992"/>
    <w:rPr>
      <w:i/>
      <w:iCs/>
    </w:rPr>
  </w:style>
  <w:style w:type="paragraph" w:styleId="NormalWeb">
    <w:name w:val="Normal (Web)"/>
    <w:basedOn w:val="Normal"/>
    <w:semiHidden/>
    <w:unhideWhenUsed/>
    <w:rsid w:val="005A21EA"/>
    <w:rPr>
      <w:rFonts w:ascii="Times New Roman" w:hAnsi="Times New Roman" w:cs="Times New Roman"/>
    </w:rPr>
  </w:style>
  <w:style w:type="character" w:customStyle="1" w:styleId="katex-mathml">
    <w:name w:val="katex-mathml"/>
    <w:basedOn w:val="DefaultParagraphFont"/>
    <w:rsid w:val="00B92F47"/>
  </w:style>
  <w:style w:type="character" w:customStyle="1" w:styleId="mord">
    <w:name w:val="mord"/>
    <w:basedOn w:val="DefaultParagraphFont"/>
    <w:rsid w:val="00B92F47"/>
  </w:style>
  <w:style w:type="character" w:customStyle="1" w:styleId="vlist-s">
    <w:name w:val="vlist-s"/>
    <w:basedOn w:val="DefaultParagraphFont"/>
    <w:rsid w:val="00B92F47"/>
  </w:style>
  <w:style w:type="character" w:customStyle="1" w:styleId="mopen">
    <w:name w:val="mopen"/>
    <w:basedOn w:val="DefaultParagraphFont"/>
    <w:rsid w:val="00B92F47"/>
  </w:style>
  <w:style w:type="character" w:customStyle="1" w:styleId="mclose">
    <w:name w:val="mclose"/>
    <w:basedOn w:val="DefaultParagraphFont"/>
    <w:rsid w:val="00B92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240409">
      <w:bodyDiv w:val="1"/>
      <w:marLeft w:val="0"/>
      <w:marRight w:val="0"/>
      <w:marTop w:val="0"/>
      <w:marBottom w:val="0"/>
      <w:divBdr>
        <w:top w:val="none" w:sz="0" w:space="0" w:color="auto"/>
        <w:left w:val="none" w:sz="0" w:space="0" w:color="auto"/>
        <w:bottom w:val="none" w:sz="0" w:space="0" w:color="auto"/>
        <w:right w:val="none" w:sz="0" w:space="0" w:color="auto"/>
      </w:divBdr>
    </w:div>
    <w:div w:id="363135487">
      <w:bodyDiv w:val="1"/>
      <w:marLeft w:val="0"/>
      <w:marRight w:val="0"/>
      <w:marTop w:val="0"/>
      <w:marBottom w:val="0"/>
      <w:divBdr>
        <w:top w:val="none" w:sz="0" w:space="0" w:color="auto"/>
        <w:left w:val="none" w:sz="0" w:space="0" w:color="auto"/>
        <w:bottom w:val="none" w:sz="0" w:space="0" w:color="auto"/>
        <w:right w:val="none" w:sz="0" w:space="0" w:color="auto"/>
      </w:divBdr>
    </w:div>
    <w:div w:id="994914686">
      <w:bodyDiv w:val="1"/>
      <w:marLeft w:val="0"/>
      <w:marRight w:val="0"/>
      <w:marTop w:val="0"/>
      <w:marBottom w:val="0"/>
      <w:divBdr>
        <w:top w:val="none" w:sz="0" w:space="0" w:color="auto"/>
        <w:left w:val="none" w:sz="0" w:space="0" w:color="auto"/>
        <w:bottom w:val="none" w:sz="0" w:space="0" w:color="auto"/>
        <w:right w:val="none" w:sz="0" w:space="0" w:color="auto"/>
      </w:divBdr>
    </w:div>
    <w:div w:id="1220752246">
      <w:bodyDiv w:val="1"/>
      <w:marLeft w:val="0"/>
      <w:marRight w:val="0"/>
      <w:marTop w:val="0"/>
      <w:marBottom w:val="0"/>
      <w:divBdr>
        <w:top w:val="none" w:sz="0" w:space="0" w:color="auto"/>
        <w:left w:val="none" w:sz="0" w:space="0" w:color="auto"/>
        <w:bottom w:val="none" w:sz="0" w:space="0" w:color="auto"/>
        <w:right w:val="none" w:sz="0" w:space="0" w:color="auto"/>
      </w:divBdr>
    </w:div>
    <w:div w:id="1515269336">
      <w:bodyDiv w:val="1"/>
      <w:marLeft w:val="0"/>
      <w:marRight w:val="0"/>
      <w:marTop w:val="0"/>
      <w:marBottom w:val="0"/>
      <w:divBdr>
        <w:top w:val="none" w:sz="0" w:space="0" w:color="auto"/>
        <w:left w:val="none" w:sz="0" w:space="0" w:color="auto"/>
        <w:bottom w:val="none" w:sz="0" w:space="0" w:color="auto"/>
        <w:right w:val="none" w:sz="0" w:space="0" w:color="auto"/>
      </w:divBdr>
    </w:div>
    <w:div w:id="1998993523">
      <w:bodyDiv w:val="1"/>
      <w:marLeft w:val="0"/>
      <w:marRight w:val="0"/>
      <w:marTop w:val="0"/>
      <w:marBottom w:val="0"/>
      <w:divBdr>
        <w:top w:val="none" w:sz="0" w:space="0" w:color="auto"/>
        <w:left w:val="none" w:sz="0" w:space="0" w:color="auto"/>
        <w:bottom w:val="none" w:sz="0" w:space="0" w:color="auto"/>
        <w:right w:val="none" w:sz="0" w:space="0" w:color="auto"/>
      </w:divBdr>
    </w:div>
    <w:div w:id="21382530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yperlink" Target="https://adbsafegate.com/media/jbllvhwi/ds-3076_linc360.pdf" TargetMode="External"/><Relationship Id="rId3" Type="http://schemas.openxmlformats.org/officeDocument/2006/relationships/settings" Target="settings.xml"/><Relationship Id="rId21" Type="http://schemas.openxmlformats.org/officeDocument/2006/relationships/hyperlink" Target="https://www.academia.edu/90829976/Medium_Voltage_Cable_System_Issues" TargetMode="Externa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ocem.com/en/products/ilcm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hyperlink" Target="https://www.atgairports.com/solutions-and-systems/airfield-control-systems/smgcs/smartcontrol"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7671</Words>
  <Characters>42194</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Chapitre I — État de l’art</vt:lpstr>
    </vt:vector>
  </TitlesOfParts>
  <Company/>
  <LinksUpToDate>false</LinksUpToDate>
  <CharactersWithSpaces>49766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I — État de l’art</dc:title>
  <dc:creator>KSSS</dc:creator>
  <cp:keywords/>
  <cp:lastModifiedBy>KSSS</cp:lastModifiedBy>
  <cp:revision>7</cp:revision>
  <cp:lastPrinted>2026-04-19T08:37:00Z</cp:lastPrinted>
  <dcterms:created xsi:type="dcterms:W3CDTF">2026-04-19T08:18:00Z</dcterms:created>
  <dcterms:modified xsi:type="dcterms:W3CDTF">2026-05-08T09:14:00Z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Solutions existantes pour la surveillance, l’alerte et la localisation des défauts d’isolement sur réseau d’alimentation de balisage</vt:lpwstr>
  </property>
</Properties>
</file>