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auto"/>
          <w:sz w:val="24"/>
          <w:szCs w:val="24"/>
        </w:rPr>
        <w:id w:val="1034307767"/>
        <w:docPartObj>
          <w:docPartGallery w:val="Table of Contents"/>
          <w:docPartUnique/>
        </w:docPartObj>
      </w:sdtPr>
      <w:sdtEndPr/>
      <w:sdtContent>
        <w:p w14:paraId="376FD7FE" w14:textId="77777777" w:rsidR="00097F96" w:rsidRPr="00A53093" w:rsidRDefault="00006368" w:rsidP="00A53093">
          <w:pPr>
            <w:pStyle w:val="TOCHeading"/>
            <w:jc w:val="both"/>
            <w:rPr>
              <w:rFonts w:ascii="Times New Roman" w:hAnsi="Times New Roman" w:cs="Times New Roman"/>
              <w:color w:val="auto"/>
            </w:rPr>
          </w:pPr>
          <w:r w:rsidRPr="00A53093">
            <w:rPr>
              <w:rFonts w:ascii="Times New Roman" w:hAnsi="Times New Roman" w:cs="Times New Roman"/>
              <w:color w:val="auto"/>
            </w:rPr>
            <w:t>Table of Contents</w:t>
          </w:r>
        </w:p>
        <w:p w14:paraId="2DA55E8D" w14:textId="78F8453F" w:rsidR="00DB3A33" w:rsidRDefault="00006368">
          <w:pPr>
            <w:pStyle w:val="TOC1"/>
            <w:tabs>
              <w:tab w:val="right" w:leader="dot" w:pos="9396"/>
            </w:tabs>
            <w:rPr>
              <w:rFonts w:eastAsiaTheme="minorEastAsia"/>
              <w:noProof/>
              <w:sz w:val="22"/>
              <w:szCs w:val="22"/>
              <w:lang w:val="fr-FR" w:eastAsia="fr-FR"/>
            </w:rPr>
          </w:pPr>
          <w:r w:rsidRPr="00A53093">
            <w:rPr>
              <w:rFonts w:ascii="Times New Roman" w:hAnsi="Times New Roman" w:cs="Times New Roman"/>
            </w:rPr>
            <w:fldChar w:fldCharType="begin"/>
          </w:r>
          <w:r w:rsidRPr="00A53093">
            <w:rPr>
              <w:rFonts w:ascii="Times New Roman" w:hAnsi="Times New Roman" w:cs="Times New Roman"/>
            </w:rPr>
            <w:instrText>TOC \o "1-3" \h \z \u</w:instrText>
          </w:r>
          <w:r w:rsidRPr="00A53093">
            <w:rPr>
              <w:rFonts w:ascii="Times New Roman" w:hAnsi="Times New Roman" w:cs="Times New Roman"/>
            </w:rPr>
            <w:fldChar w:fldCharType="separate"/>
          </w:r>
          <w:hyperlink w:anchor="_Toc227494136" w:history="1">
            <w:r w:rsidR="00DB3A33" w:rsidRPr="0017266B">
              <w:rPr>
                <w:rStyle w:val="Hyperlink"/>
                <w:rFonts w:ascii="Times New Roman" w:hAnsi="Times New Roman" w:cs="Times New Roman"/>
                <w:noProof/>
              </w:rPr>
              <w:t>CHAPITRE I. ARCHITECTURE DU RÉSEAU DE BALISAGE ASECNA</w:t>
            </w:r>
            <w:r w:rsidR="00DB3A33">
              <w:rPr>
                <w:noProof/>
                <w:webHidden/>
              </w:rPr>
              <w:tab/>
            </w:r>
            <w:r w:rsidR="00DB3A33">
              <w:rPr>
                <w:noProof/>
                <w:webHidden/>
              </w:rPr>
              <w:fldChar w:fldCharType="begin"/>
            </w:r>
            <w:r w:rsidR="00DB3A33">
              <w:rPr>
                <w:noProof/>
                <w:webHidden/>
              </w:rPr>
              <w:instrText xml:space="preserve"> PAGEREF _Toc227494136 \h </w:instrText>
            </w:r>
            <w:r w:rsidR="00DB3A33">
              <w:rPr>
                <w:noProof/>
                <w:webHidden/>
              </w:rPr>
            </w:r>
            <w:r w:rsidR="00DB3A33">
              <w:rPr>
                <w:noProof/>
                <w:webHidden/>
              </w:rPr>
              <w:fldChar w:fldCharType="separate"/>
            </w:r>
            <w:r w:rsidR="00DB3A33">
              <w:rPr>
                <w:noProof/>
                <w:webHidden/>
              </w:rPr>
              <w:t>2</w:t>
            </w:r>
            <w:r w:rsidR="00DB3A33">
              <w:rPr>
                <w:noProof/>
                <w:webHidden/>
              </w:rPr>
              <w:fldChar w:fldCharType="end"/>
            </w:r>
          </w:hyperlink>
        </w:p>
        <w:p w14:paraId="3C291A78" w14:textId="122D1430" w:rsidR="00DB3A33" w:rsidRDefault="00DB3A33">
          <w:pPr>
            <w:pStyle w:val="TOC2"/>
            <w:tabs>
              <w:tab w:val="right" w:leader="dot" w:pos="9396"/>
            </w:tabs>
            <w:rPr>
              <w:rFonts w:eastAsiaTheme="minorEastAsia"/>
              <w:noProof/>
              <w:sz w:val="22"/>
              <w:szCs w:val="22"/>
              <w:lang w:val="fr-FR" w:eastAsia="fr-FR"/>
            </w:rPr>
          </w:pPr>
          <w:hyperlink w:anchor="_Toc227494137" w:history="1">
            <w:r w:rsidRPr="0017266B">
              <w:rPr>
                <w:rStyle w:val="Hyperlink"/>
                <w:rFonts w:ascii="Times New Roman" w:hAnsi="Times New Roman" w:cs="Times New Roman"/>
                <w:noProof/>
              </w:rPr>
              <w:t>I.1. Introduction</w:t>
            </w:r>
            <w:r>
              <w:rPr>
                <w:noProof/>
                <w:webHidden/>
              </w:rPr>
              <w:tab/>
            </w:r>
            <w:r>
              <w:rPr>
                <w:noProof/>
                <w:webHidden/>
              </w:rPr>
              <w:fldChar w:fldCharType="begin"/>
            </w:r>
            <w:r>
              <w:rPr>
                <w:noProof/>
                <w:webHidden/>
              </w:rPr>
              <w:instrText xml:space="preserve"> PAGEREF _Toc227494137 \h </w:instrText>
            </w:r>
            <w:r>
              <w:rPr>
                <w:noProof/>
                <w:webHidden/>
              </w:rPr>
            </w:r>
            <w:r>
              <w:rPr>
                <w:noProof/>
                <w:webHidden/>
              </w:rPr>
              <w:fldChar w:fldCharType="separate"/>
            </w:r>
            <w:r>
              <w:rPr>
                <w:noProof/>
                <w:webHidden/>
              </w:rPr>
              <w:t>2</w:t>
            </w:r>
            <w:r>
              <w:rPr>
                <w:noProof/>
                <w:webHidden/>
              </w:rPr>
              <w:fldChar w:fldCharType="end"/>
            </w:r>
          </w:hyperlink>
        </w:p>
        <w:p w14:paraId="0FE93FDE" w14:textId="38F7C3CE" w:rsidR="00DB3A33" w:rsidRDefault="00DB3A33">
          <w:pPr>
            <w:pStyle w:val="TOC2"/>
            <w:tabs>
              <w:tab w:val="right" w:leader="dot" w:pos="9396"/>
            </w:tabs>
            <w:rPr>
              <w:rFonts w:eastAsiaTheme="minorEastAsia"/>
              <w:noProof/>
              <w:sz w:val="22"/>
              <w:szCs w:val="22"/>
              <w:lang w:val="fr-FR" w:eastAsia="fr-FR"/>
            </w:rPr>
          </w:pPr>
          <w:hyperlink w:anchor="_Toc227494138" w:history="1">
            <w:r w:rsidRPr="0017266B">
              <w:rPr>
                <w:rStyle w:val="Hyperlink"/>
                <w:rFonts w:ascii="Times New Roman" w:hAnsi="Times New Roman" w:cs="Times New Roman"/>
                <w:noProof/>
              </w:rPr>
              <w:t>I.2. Topologie physique de l’installation (vue macro)</w:t>
            </w:r>
            <w:r>
              <w:rPr>
                <w:noProof/>
                <w:webHidden/>
              </w:rPr>
              <w:tab/>
            </w:r>
            <w:r>
              <w:rPr>
                <w:noProof/>
                <w:webHidden/>
              </w:rPr>
              <w:fldChar w:fldCharType="begin"/>
            </w:r>
            <w:r>
              <w:rPr>
                <w:noProof/>
                <w:webHidden/>
              </w:rPr>
              <w:instrText xml:space="preserve"> PAGEREF _Toc227494138 \h </w:instrText>
            </w:r>
            <w:r>
              <w:rPr>
                <w:noProof/>
                <w:webHidden/>
              </w:rPr>
            </w:r>
            <w:r>
              <w:rPr>
                <w:noProof/>
                <w:webHidden/>
              </w:rPr>
              <w:fldChar w:fldCharType="separate"/>
            </w:r>
            <w:r>
              <w:rPr>
                <w:noProof/>
                <w:webHidden/>
              </w:rPr>
              <w:t>2</w:t>
            </w:r>
            <w:r>
              <w:rPr>
                <w:noProof/>
                <w:webHidden/>
              </w:rPr>
              <w:fldChar w:fldCharType="end"/>
            </w:r>
          </w:hyperlink>
        </w:p>
        <w:p w14:paraId="0243EC10" w14:textId="734924A5" w:rsidR="00DB3A33" w:rsidRDefault="00DB3A33">
          <w:pPr>
            <w:pStyle w:val="TOC3"/>
            <w:tabs>
              <w:tab w:val="right" w:leader="dot" w:pos="9396"/>
            </w:tabs>
            <w:rPr>
              <w:rFonts w:eastAsiaTheme="minorEastAsia"/>
              <w:noProof/>
              <w:sz w:val="22"/>
              <w:szCs w:val="22"/>
              <w:lang w:val="fr-FR" w:eastAsia="fr-FR"/>
            </w:rPr>
          </w:pPr>
          <w:hyperlink w:anchor="_Toc227494139" w:history="1">
            <w:r w:rsidRPr="0017266B">
              <w:rPr>
                <w:rStyle w:val="Hyperlink"/>
                <w:rFonts w:ascii="Times New Roman" w:hAnsi="Times New Roman" w:cs="Times New Roman"/>
                <w:noProof/>
              </w:rPr>
              <w:t>I.2.1. Découpage fonctionnel par boucles</w:t>
            </w:r>
            <w:r>
              <w:rPr>
                <w:noProof/>
                <w:webHidden/>
              </w:rPr>
              <w:tab/>
            </w:r>
            <w:r>
              <w:rPr>
                <w:noProof/>
                <w:webHidden/>
              </w:rPr>
              <w:fldChar w:fldCharType="begin"/>
            </w:r>
            <w:r>
              <w:rPr>
                <w:noProof/>
                <w:webHidden/>
              </w:rPr>
              <w:instrText xml:space="preserve"> PAGEREF _Toc227494139 \h </w:instrText>
            </w:r>
            <w:r>
              <w:rPr>
                <w:noProof/>
                <w:webHidden/>
              </w:rPr>
            </w:r>
            <w:r>
              <w:rPr>
                <w:noProof/>
                <w:webHidden/>
              </w:rPr>
              <w:fldChar w:fldCharType="separate"/>
            </w:r>
            <w:r>
              <w:rPr>
                <w:noProof/>
                <w:webHidden/>
              </w:rPr>
              <w:t>2</w:t>
            </w:r>
            <w:r>
              <w:rPr>
                <w:noProof/>
                <w:webHidden/>
              </w:rPr>
              <w:fldChar w:fldCharType="end"/>
            </w:r>
          </w:hyperlink>
        </w:p>
        <w:p w14:paraId="02C3CF13" w14:textId="7C24E288" w:rsidR="00DB3A33" w:rsidRDefault="00DB3A33">
          <w:pPr>
            <w:pStyle w:val="TOC3"/>
            <w:tabs>
              <w:tab w:val="right" w:leader="dot" w:pos="9396"/>
            </w:tabs>
            <w:rPr>
              <w:rFonts w:eastAsiaTheme="minorEastAsia"/>
              <w:noProof/>
              <w:sz w:val="22"/>
              <w:szCs w:val="22"/>
              <w:lang w:val="fr-FR" w:eastAsia="fr-FR"/>
            </w:rPr>
          </w:pPr>
          <w:hyperlink w:anchor="_Toc227494140" w:history="1">
            <w:r w:rsidRPr="0017266B">
              <w:rPr>
                <w:rStyle w:val="Hyperlink"/>
                <w:rFonts w:ascii="Times New Roman" w:hAnsi="Times New Roman" w:cs="Times New Roman"/>
                <w:noProof/>
              </w:rPr>
              <w:t>I.2.2. Éléments constitutifs d’une boucle</w:t>
            </w:r>
            <w:r>
              <w:rPr>
                <w:noProof/>
                <w:webHidden/>
              </w:rPr>
              <w:tab/>
            </w:r>
            <w:r>
              <w:rPr>
                <w:noProof/>
                <w:webHidden/>
              </w:rPr>
              <w:fldChar w:fldCharType="begin"/>
            </w:r>
            <w:r>
              <w:rPr>
                <w:noProof/>
                <w:webHidden/>
              </w:rPr>
              <w:instrText xml:space="preserve"> PAGEREF _Toc227494140 \h </w:instrText>
            </w:r>
            <w:r>
              <w:rPr>
                <w:noProof/>
                <w:webHidden/>
              </w:rPr>
            </w:r>
            <w:r>
              <w:rPr>
                <w:noProof/>
                <w:webHidden/>
              </w:rPr>
              <w:fldChar w:fldCharType="separate"/>
            </w:r>
            <w:r>
              <w:rPr>
                <w:noProof/>
                <w:webHidden/>
              </w:rPr>
              <w:t>7</w:t>
            </w:r>
            <w:r>
              <w:rPr>
                <w:noProof/>
                <w:webHidden/>
              </w:rPr>
              <w:fldChar w:fldCharType="end"/>
            </w:r>
          </w:hyperlink>
        </w:p>
        <w:p w14:paraId="2CEBB44B" w14:textId="6BA107B7" w:rsidR="00DB3A33" w:rsidRDefault="00DB3A33">
          <w:pPr>
            <w:pStyle w:val="TOC2"/>
            <w:tabs>
              <w:tab w:val="right" w:leader="dot" w:pos="9396"/>
            </w:tabs>
            <w:rPr>
              <w:rFonts w:eastAsiaTheme="minorEastAsia"/>
              <w:noProof/>
              <w:sz w:val="22"/>
              <w:szCs w:val="22"/>
              <w:lang w:val="fr-FR" w:eastAsia="fr-FR"/>
            </w:rPr>
          </w:pPr>
          <w:hyperlink w:anchor="_Toc227494141" w:history="1">
            <w:r w:rsidRPr="0017266B">
              <w:rPr>
                <w:rStyle w:val="Hyperlink"/>
                <w:rFonts w:ascii="Times New Roman" w:hAnsi="Times New Roman" w:cs="Times New Roman"/>
                <w:noProof/>
              </w:rPr>
              <w:t>I.3. La source d’alimentation : le régulateur DIAM4100</w:t>
            </w:r>
            <w:r>
              <w:rPr>
                <w:noProof/>
                <w:webHidden/>
              </w:rPr>
              <w:tab/>
            </w:r>
            <w:r>
              <w:rPr>
                <w:noProof/>
                <w:webHidden/>
              </w:rPr>
              <w:fldChar w:fldCharType="begin"/>
            </w:r>
            <w:r>
              <w:rPr>
                <w:noProof/>
                <w:webHidden/>
              </w:rPr>
              <w:instrText xml:space="preserve"> PAGEREF _Toc227494141 \h </w:instrText>
            </w:r>
            <w:r>
              <w:rPr>
                <w:noProof/>
                <w:webHidden/>
              </w:rPr>
            </w:r>
            <w:r>
              <w:rPr>
                <w:noProof/>
                <w:webHidden/>
              </w:rPr>
              <w:fldChar w:fldCharType="separate"/>
            </w:r>
            <w:r>
              <w:rPr>
                <w:noProof/>
                <w:webHidden/>
              </w:rPr>
              <w:t>8</w:t>
            </w:r>
            <w:r>
              <w:rPr>
                <w:noProof/>
                <w:webHidden/>
              </w:rPr>
              <w:fldChar w:fldCharType="end"/>
            </w:r>
          </w:hyperlink>
        </w:p>
        <w:p w14:paraId="6970680C" w14:textId="141345C1" w:rsidR="00DB3A33" w:rsidRDefault="00DB3A33">
          <w:pPr>
            <w:pStyle w:val="TOC3"/>
            <w:tabs>
              <w:tab w:val="right" w:leader="dot" w:pos="9396"/>
            </w:tabs>
            <w:rPr>
              <w:rFonts w:eastAsiaTheme="minorEastAsia"/>
              <w:noProof/>
              <w:sz w:val="22"/>
              <w:szCs w:val="22"/>
              <w:lang w:val="fr-FR" w:eastAsia="fr-FR"/>
            </w:rPr>
          </w:pPr>
          <w:hyperlink w:anchor="_Toc227494142" w:history="1">
            <w:r w:rsidRPr="0017266B">
              <w:rPr>
                <w:rStyle w:val="Hyperlink"/>
                <w:rFonts w:ascii="Times New Roman" w:hAnsi="Times New Roman" w:cs="Times New Roman"/>
                <w:noProof/>
              </w:rPr>
              <w:t>I.3.1. Caractéristiques de sortie : le courant constant 6,6 A</w:t>
            </w:r>
            <w:r>
              <w:rPr>
                <w:noProof/>
                <w:webHidden/>
              </w:rPr>
              <w:tab/>
            </w:r>
            <w:r>
              <w:rPr>
                <w:noProof/>
                <w:webHidden/>
              </w:rPr>
              <w:fldChar w:fldCharType="begin"/>
            </w:r>
            <w:r>
              <w:rPr>
                <w:noProof/>
                <w:webHidden/>
              </w:rPr>
              <w:instrText xml:space="preserve"> PAGEREF _Toc227494142 \h </w:instrText>
            </w:r>
            <w:r>
              <w:rPr>
                <w:noProof/>
                <w:webHidden/>
              </w:rPr>
            </w:r>
            <w:r>
              <w:rPr>
                <w:noProof/>
                <w:webHidden/>
              </w:rPr>
              <w:fldChar w:fldCharType="separate"/>
            </w:r>
            <w:r>
              <w:rPr>
                <w:noProof/>
                <w:webHidden/>
              </w:rPr>
              <w:t>9</w:t>
            </w:r>
            <w:r>
              <w:rPr>
                <w:noProof/>
                <w:webHidden/>
              </w:rPr>
              <w:fldChar w:fldCharType="end"/>
            </w:r>
          </w:hyperlink>
        </w:p>
        <w:p w14:paraId="18547F82" w14:textId="0395B8DC" w:rsidR="00DB3A33" w:rsidRDefault="00DB3A33">
          <w:pPr>
            <w:pStyle w:val="TOC3"/>
            <w:tabs>
              <w:tab w:val="right" w:leader="dot" w:pos="9396"/>
            </w:tabs>
            <w:rPr>
              <w:rFonts w:eastAsiaTheme="minorEastAsia"/>
              <w:noProof/>
              <w:sz w:val="22"/>
              <w:szCs w:val="22"/>
              <w:lang w:val="fr-FR" w:eastAsia="fr-FR"/>
            </w:rPr>
          </w:pPr>
          <w:hyperlink w:anchor="_Toc227494143" w:history="1">
            <w:r w:rsidRPr="0017266B">
              <w:rPr>
                <w:rStyle w:val="Hyperlink"/>
                <w:rFonts w:ascii="Times New Roman" w:hAnsi="Times New Roman" w:cs="Times New Roman"/>
                <w:noProof/>
              </w:rPr>
              <w:t>I.3.2. Dynamique de tension : un paramètre libre et informatif</w:t>
            </w:r>
            <w:r>
              <w:rPr>
                <w:noProof/>
                <w:webHidden/>
              </w:rPr>
              <w:tab/>
            </w:r>
            <w:r>
              <w:rPr>
                <w:noProof/>
                <w:webHidden/>
              </w:rPr>
              <w:fldChar w:fldCharType="begin"/>
            </w:r>
            <w:r>
              <w:rPr>
                <w:noProof/>
                <w:webHidden/>
              </w:rPr>
              <w:instrText xml:space="preserve"> PAGEREF _Toc227494143 \h </w:instrText>
            </w:r>
            <w:r>
              <w:rPr>
                <w:noProof/>
                <w:webHidden/>
              </w:rPr>
            </w:r>
            <w:r>
              <w:rPr>
                <w:noProof/>
                <w:webHidden/>
              </w:rPr>
              <w:fldChar w:fldCharType="separate"/>
            </w:r>
            <w:r>
              <w:rPr>
                <w:noProof/>
                <w:webHidden/>
              </w:rPr>
              <w:t>9</w:t>
            </w:r>
            <w:r>
              <w:rPr>
                <w:noProof/>
                <w:webHidden/>
              </w:rPr>
              <w:fldChar w:fldCharType="end"/>
            </w:r>
          </w:hyperlink>
        </w:p>
        <w:p w14:paraId="7CAC6E52" w14:textId="44137B51" w:rsidR="00DB3A33" w:rsidRDefault="00DB3A33">
          <w:pPr>
            <w:pStyle w:val="TOC3"/>
            <w:tabs>
              <w:tab w:val="right" w:leader="dot" w:pos="9396"/>
            </w:tabs>
            <w:rPr>
              <w:rFonts w:eastAsiaTheme="minorEastAsia"/>
              <w:noProof/>
              <w:sz w:val="22"/>
              <w:szCs w:val="22"/>
              <w:lang w:val="fr-FR" w:eastAsia="fr-FR"/>
            </w:rPr>
          </w:pPr>
          <w:hyperlink w:anchor="_Toc227494144" w:history="1">
            <w:r w:rsidRPr="0017266B">
              <w:rPr>
                <w:rStyle w:val="Hyperlink"/>
                <w:rFonts w:ascii="Times New Roman" w:hAnsi="Times New Roman" w:cs="Times New Roman"/>
                <w:noProof/>
              </w:rPr>
              <w:t>I.3.3. Principe de régulation : le hacheur à thyristors</w:t>
            </w:r>
            <w:r>
              <w:rPr>
                <w:noProof/>
                <w:webHidden/>
              </w:rPr>
              <w:tab/>
            </w:r>
            <w:r>
              <w:rPr>
                <w:noProof/>
                <w:webHidden/>
              </w:rPr>
              <w:fldChar w:fldCharType="begin"/>
            </w:r>
            <w:r>
              <w:rPr>
                <w:noProof/>
                <w:webHidden/>
              </w:rPr>
              <w:instrText xml:space="preserve"> PAGEREF _Toc227494144 \h </w:instrText>
            </w:r>
            <w:r>
              <w:rPr>
                <w:noProof/>
                <w:webHidden/>
              </w:rPr>
            </w:r>
            <w:r>
              <w:rPr>
                <w:noProof/>
                <w:webHidden/>
              </w:rPr>
              <w:fldChar w:fldCharType="separate"/>
            </w:r>
            <w:r>
              <w:rPr>
                <w:noProof/>
                <w:webHidden/>
              </w:rPr>
              <w:t>10</w:t>
            </w:r>
            <w:r>
              <w:rPr>
                <w:noProof/>
                <w:webHidden/>
              </w:rPr>
              <w:fldChar w:fldCharType="end"/>
            </w:r>
          </w:hyperlink>
        </w:p>
        <w:p w14:paraId="7E1146A8" w14:textId="4E0AF4BA" w:rsidR="00DB3A33" w:rsidRDefault="00DB3A33">
          <w:pPr>
            <w:pStyle w:val="TOC3"/>
            <w:tabs>
              <w:tab w:val="right" w:leader="dot" w:pos="9396"/>
            </w:tabs>
            <w:rPr>
              <w:rFonts w:eastAsiaTheme="minorEastAsia"/>
              <w:noProof/>
              <w:sz w:val="22"/>
              <w:szCs w:val="22"/>
              <w:lang w:val="fr-FR" w:eastAsia="fr-FR"/>
            </w:rPr>
          </w:pPr>
          <w:hyperlink w:anchor="_Toc227494145" w:history="1">
            <w:r w:rsidRPr="0017266B">
              <w:rPr>
                <w:rStyle w:val="Hyperlink"/>
                <w:rFonts w:ascii="Times New Roman" w:hAnsi="Times New Roman" w:cs="Times New Roman"/>
                <w:noProof/>
              </w:rPr>
              <w:t>I.3.4. La surveillance embarquée</w:t>
            </w:r>
            <w:r>
              <w:rPr>
                <w:noProof/>
                <w:webHidden/>
              </w:rPr>
              <w:tab/>
            </w:r>
            <w:r>
              <w:rPr>
                <w:noProof/>
                <w:webHidden/>
              </w:rPr>
              <w:fldChar w:fldCharType="begin"/>
            </w:r>
            <w:r>
              <w:rPr>
                <w:noProof/>
                <w:webHidden/>
              </w:rPr>
              <w:instrText xml:space="preserve"> PAGEREF _Toc227494145 \h </w:instrText>
            </w:r>
            <w:r>
              <w:rPr>
                <w:noProof/>
                <w:webHidden/>
              </w:rPr>
            </w:r>
            <w:r>
              <w:rPr>
                <w:noProof/>
                <w:webHidden/>
              </w:rPr>
              <w:fldChar w:fldCharType="separate"/>
            </w:r>
            <w:r>
              <w:rPr>
                <w:noProof/>
                <w:webHidden/>
              </w:rPr>
              <w:t>12</w:t>
            </w:r>
            <w:r>
              <w:rPr>
                <w:noProof/>
                <w:webHidden/>
              </w:rPr>
              <w:fldChar w:fldCharType="end"/>
            </w:r>
          </w:hyperlink>
        </w:p>
        <w:p w14:paraId="77D0996F" w14:textId="71A052D0" w:rsidR="00DB3A33" w:rsidRDefault="00DB3A33">
          <w:pPr>
            <w:pStyle w:val="TOC2"/>
            <w:tabs>
              <w:tab w:val="right" w:leader="dot" w:pos="9396"/>
            </w:tabs>
            <w:rPr>
              <w:rFonts w:eastAsiaTheme="minorEastAsia"/>
              <w:noProof/>
              <w:sz w:val="22"/>
              <w:szCs w:val="22"/>
              <w:lang w:val="fr-FR" w:eastAsia="fr-FR"/>
            </w:rPr>
          </w:pPr>
          <w:hyperlink w:anchor="_Toc227494146" w:history="1">
            <w:r w:rsidRPr="0017266B">
              <w:rPr>
                <w:rStyle w:val="Hyperlink"/>
                <w:rFonts w:ascii="Times New Roman" w:hAnsi="Times New Roman" w:cs="Times New Roman"/>
                <w:noProof/>
              </w:rPr>
              <w:t>I.4. La chaîne de charge : les transformateurs d’isolement (TI)</w:t>
            </w:r>
            <w:r>
              <w:rPr>
                <w:noProof/>
                <w:webHidden/>
              </w:rPr>
              <w:tab/>
            </w:r>
            <w:r>
              <w:rPr>
                <w:noProof/>
                <w:webHidden/>
              </w:rPr>
              <w:fldChar w:fldCharType="begin"/>
            </w:r>
            <w:r>
              <w:rPr>
                <w:noProof/>
                <w:webHidden/>
              </w:rPr>
              <w:instrText xml:space="preserve"> PAGEREF _Toc227494146 \h </w:instrText>
            </w:r>
            <w:r>
              <w:rPr>
                <w:noProof/>
                <w:webHidden/>
              </w:rPr>
            </w:r>
            <w:r>
              <w:rPr>
                <w:noProof/>
                <w:webHidden/>
              </w:rPr>
              <w:fldChar w:fldCharType="separate"/>
            </w:r>
            <w:r>
              <w:rPr>
                <w:noProof/>
                <w:webHidden/>
              </w:rPr>
              <w:t>13</w:t>
            </w:r>
            <w:r>
              <w:rPr>
                <w:noProof/>
                <w:webHidden/>
              </w:rPr>
              <w:fldChar w:fldCharType="end"/>
            </w:r>
          </w:hyperlink>
        </w:p>
        <w:p w14:paraId="189B21A6" w14:textId="3D662767" w:rsidR="00DB3A33" w:rsidRDefault="00DB3A33">
          <w:pPr>
            <w:pStyle w:val="TOC3"/>
            <w:tabs>
              <w:tab w:val="right" w:leader="dot" w:pos="9396"/>
            </w:tabs>
            <w:rPr>
              <w:rFonts w:eastAsiaTheme="minorEastAsia"/>
              <w:noProof/>
              <w:sz w:val="22"/>
              <w:szCs w:val="22"/>
              <w:lang w:val="fr-FR" w:eastAsia="fr-FR"/>
            </w:rPr>
          </w:pPr>
          <w:hyperlink w:anchor="_Toc227494147" w:history="1">
            <w:r w:rsidRPr="0017266B">
              <w:rPr>
                <w:rStyle w:val="Hyperlink"/>
                <w:rFonts w:ascii="Times New Roman" w:hAnsi="Times New Roman" w:cs="Times New Roman"/>
                <w:noProof/>
              </w:rPr>
              <w:t>I.4.1. Rôle fonctionnel : isoler, adapter, maintenir la boucle fermée</w:t>
            </w:r>
            <w:r>
              <w:rPr>
                <w:noProof/>
                <w:webHidden/>
              </w:rPr>
              <w:tab/>
            </w:r>
            <w:r>
              <w:rPr>
                <w:noProof/>
                <w:webHidden/>
              </w:rPr>
              <w:fldChar w:fldCharType="begin"/>
            </w:r>
            <w:r>
              <w:rPr>
                <w:noProof/>
                <w:webHidden/>
              </w:rPr>
              <w:instrText xml:space="preserve"> PAGEREF _Toc227494147 \h </w:instrText>
            </w:r>
            <w:r>
              <w:rPr>
                <w:noProof/>
                <w:webHidden/>
              </w:rPr>
            </w:r>
            <w:r>
              <w:rPr>
                <w:noProof/>
                <w:webHidden/>
              </w:rPr>
              <w:fldChar w:fldCharType="separate"/>
            </w:r>
            <w:r>
              <w:rPr>
                <w:noProof/>
                <w:webHidden/>
              </w:rPr>
              <w:t>13</w:t>
            </w:r>
            <w:r>
              <w:rPr>
                <w:noProof/>
                <w:webHidden/>
              </w:rPr>
              <w:fldChar w:fldCharType="end"/>
            </w:r>
          </w:hyperlink>
        </w:p>
        <w:p w14:paraId="1266AD8E" w14:textId="1D3D9D36" w:rsidR="00DB3A33" w:rsidRDefault="00DB3A33">
          <w:pPr>
            <w:pStyle w:val="TOC3"/>
            <w:tabs>
              <w:tab w:val="right" w:leader="dot" w:pos="9396"/>
            </w:tabs>
            <w:rPr>
              <w:rFonts w:eastAsiaTheme="minorEastAsia"/>
              <w:noProof/>
              <w:sz w:val="22"/>
              <w:szCs w:val="22"/>
              <w:lang w:val="fr-FR" w:eastAsia="fr-FR"/>
            </w:rPr>
          </w:pPr>
          <w:hyperlink w:anchor="_Toc227494148" w:history="1">
            <w:r w:rsidRPr="0017266B">
              <w:rPr>
                <w:rStyle w:val="Hyperlink"/>
                <w:rFonts w:ascii="Times New Roman" w:hAnsi="Times New Roman" w:cs="Times New Roman"/>
                <w:noProof/>
              </w:rPr>
              <w:t>I.4.2. Puissances des TI rencontrées sur le site et seuil réglementaire d’isolement</w:t>
            </w:r>
            <w:r>
              <w:rPr>
                <w:noProof/>
                <w:webHidden/>
              </w:rPr>
              <w:tab/>
            </w:r>
            <w:r>
              <w:rPr>
                <w:noProof/>
                <w:webHidden/>
              </w:rPr>
              <w:fldChar w:fldCharType="begin"/>
            </w:r>
            <w:r>
              <w:rPr>
                <w:noProof/>
                <w:webHidden/>
              </w:rPr>
              <w:instrText xml:space="preserve"> PAGEREF _Toc227494148 \h </w:instrText>
            </w:r>
            <w:r>
              <w:rPr>
                <w:noProof/>
                <w:webHidden/>
              </w:rPr>
            </w:r>
            <w:r>
              <w:rPr>
                <w:noProof/>
                <w:webHidden/>
              </w:rPr>
              <w:fldChar w:fldCharType="separate"/>
            </w:r>
            <w:r>
              <w:rPr>
                <w:noProof/>
                <w:webHidden/>
              </w:rPr>
              <w:t>16</w:t>
            </w:r>
            <w:r>
              <w:rPr>
                <w:noProof/>
                <w:webHidden/>
              </w:rPr>
              <w:fldChar w:fldCharType="end"/>
            </w:r>
          </w:hyperlink>
        </w:p>
        <w:p w14:paraId="081CE8AC" w14:textId="78441F86" w:rsidR="00DB3A33" w:rsidRDefault="00DB3A33">
          <w:pPr>
            <w:pStyle w:val="TOC2"/>
            <w:tabs>
              <w:tab w:val="right" w:leader="dot" w:pos="9396"/>
            </w:tabs>
            <w:rPr>
              <w:rFonts w:eastAsiaTheme="minorEastAsia"/>
              <w:noProof/>
              <w:sz w:val="22"/>
              <w:szCs w:val="22"/>
              <w:lang w:val="fr-FR" w:eastAsia="fr-FR"/>
            </w:rPr>
          </w:pPr>
          <w:hyperlink w:anchor="_Toc227494149" w:history="1">
            <w:r w:rsidRPr="0017266B">
              <w:rPr>
                <w:rStyle w:val="Hyperlink"/>
                <w:rFonts w:ascii="Times New Roman" w:hAnsi="Times New Roman" w:cs="Times New Roman"/>
                <w:noProof/>
              </w:rPr>
              <w:t>I.5. Vers le schéma électrique équivalent</w:t>
            </w:r>
            <w:r>
              <w:rPr>
                <w:noProof/>
                <w:webHidden/>
              </w:rPr>
              <w:tab/>
            </w:r>
            <w:r>
              <w:rPr>
                <w:noProof/>
                <w:webHidden/>
              </w:rPr>
              <w:fldChar w:fldCharType="begin"/>
            </w:r>
            <w:r>
              <w:rPr>
                <w:noProof/>
                <w:webHidden/>
              </w:rPr>
              <w:instrText xml:space="preserve"> PAGEREF _Toc227494149 \h </w:instrText>
            </w:r>
            <w:r>
              <w:rPr>
                <w:noProof/>
                <w:webHidden/>
              </w:rPr>
            </w:r>
            <w:r>
              <w:rPr>
                <w:noProof/>
                <w:webHidden/>
              </w:rPr>
              <w:fldChar w:fldCharType="separate"/>
            </w:r>
            <w:r>
              <w:rPr>
                <w:noProof/>
                <w:webHidden/>
              </w:rPr>
              <w:t>18</w:t>
            </w:r>
            <w:r>
              <w:rPr>
                <w:noProof/>
                <w:webHidden/>
              </w:rPr>
              <w:fldChar w:fldCharType="end"/>
            </w:r>
          </w:hyperlink>
        </w:p>
        <w:p w14:paraId="5816B7EB" w14:textId="0632BD18" w:rsidR="00DB3A33" w:rsidRDefault="00DB3A33">
          <w:pPr>
            <w:pStyle w:val="TOC2"/>
            <w:tabs>
              <w:tab w:val="right" w:leader="dot" w:pos="9396"/>
            </w:tabs>
            <w:rPr>
              <w:rFonts w:eastAsiaTheme="minorEastAsia"/>
              <w:noProof/>
              <w:sz w:val="22"/>
              <w:szCs w:val="22"/>
              <w:lang w:val="fr-FR" w:eastAsia="fr-FR"/>
            </w:rPr>
          </w:pPr>
          <w:hyperlink w:anchor="_Toc227494150" w:history="1">
            <w:r w:rsidRPr="0017266B">
              <w:rPr>
                <w:rStyle w:val="Hyperlink"/>
                <w:rFonts w:ascii="Times New Roman" w:hAnsi="Times New Roman" w:cs="Times New Roman"/>
                <w:noProof/>
              </w:rPr>
              <w:t>Références</w:t>
            </w:r>
            <w:r>
              <w:rPr>
                <w:noProof/>
                <w:webHidden/>
              </w:rPr>
              <w:tab/>
            </w:r>
            <w:r>
              <w:rPr>
                <w:noProof/>
                <w:webHidden/>
              </w:rPr>
              <w:fldChar w:fldCharType="begin"/>
            </w:r>
            <w:r>
              <w:rPr>
                <w:noProof/>
                <w:webHidden/>
              </w:rPr>
              <w:instrText xml:space="preserve"> PAGEREF _Toc227494150 \h </w:instrText>
            </w:r>
            <w:r>
              <w:rPr>
                <w:noProof/>
                <w:webHidden/>
              </w:rPr>
            </w:r>
            <w:r>
              <w:rPr>
                <w:noProof/>
                <w:webHidden/>
              </w:rPr>
              <w:fldChar w:fldCharType="separate"/>
            </w:r>
            <w:r>
              <w:rPr>
                <w:noProof/>
                <w:webHidden/>
              </w:rPr>
              <w:t>19</w:t>
            </w:r>
            <w:r>
              <w:rPr>
                <w:noProof/>
                <w:webHidden/>
              </w:rPr>
              <w:fldChar w:fldCharType="end"/>
            </w:r>
          </w:hyperlink>
        </w:p>
        <w:p w14:paraId="7A9A9D5E" w14:textId="3834AEB6" w:rsidR="00DB3A33" w:rsidRDefault="00DB3A33">
          <w:pPr>
            <w:pStyle w:val="TOC3"/>
            <w:tabs>
              <w:tab w:val="right" w:leader="dot" w:pos="9396"/>
            </w:tabs>
            <w:rPr>
              <w:rFonts w:eastAsiaTheme="minorEastAsia"/>
              <w:noProof/>
              <w:sz w:val="22"/>
              <w:szCs w:val="22"/>
              <w:lang w:val="fr-FR" w:eastAsia="fr-FR"/>
            </w:rPr>
          </w:pPr>
          <w:hyperlink w:anchor="_Toc227494151" w:history="1">
            <w:r w:rsidRPr="0017266B">
              <w:rPr>
                <w:rStyle w:val="Hyperlink"/>
                <w:rFonts w:ascii="Times New Roman" w:hAnsi="Times New Roman" w:cs="Times New Roman"/>
                <w:noProof/>
              </w:rPr>
              <w:t>Sources externes publiées</w:t>
            </w:r>
            <w:r>
              <w:rPr>
                <w:noProof/>
                <w:webHidden/>
              </w:rPr>
              <w:tab/>
            </w:r>
            <w:r>
              <w:rPr>
                <w:noProof/>
                <w:webHidden/>
              </w:rPr>
              <w:fldChar w:fldCharType="begin"/>
            </w:r>
            <w:r>
              <w:rPr>
                <w:noProof/>
                <w:webHidden/>
              </w:rPr>
              <w:instrText xml:space="preserve"> PAGEREF _Toc227494151 \h </w:instrText>
            </w:r>
            <w:r>
              <w:rPr>
                <w:noProof/>
                <w:webHidden/>
              </w:rPr>
            </w:r>
            <w:r>
              <w:rPr>
                <w:noProof/>
                <w:webHidden/>
              </w:rPr>
              <w:fldChar w:fldCharType="separate"/>
            </w:r>
            <w:r>
              <w:rPr>
                <w:noProof/>
                <w:webHidden/>
              </w:rPr>
              <w:t>19</w:t>
            </w:r>
            <w:r>
              <w:rPr>
                <w:noProof/>
                <w:webHidden/>
              </w:rPr>
              <w:fldChar w:fldCharType="end"/>
            </w:r>
          </w:hyperlink>
        </w:p>
        <w:p w14:paraId="189407AD" w14:textId="17550640" w:rsidR="00DB3A33" w:rsidRDefault="00DB3A33">
          <w:pPr>
            <w:pStyle w:val="TOC3"/>
            <w:tabs>
              <w:tab w:val="right" w:leader="dot" w:pos="9396"/>
            </w:tabs>
            <w:rPr>
              <w:rFonts w:eastAsiaTheme="minorEastAsia"/>
              <w:noProof/>
              <w:sz w:val="22"/>
              <w:szCs w:val="22"/>
              <w:lang w:val="fr-FR" w:eastAsia="fr-FR"/>
            </w:rPr>
          </w:pPr>
          <w:hyperlink w:anchor="_Toc227494152" w:history="1">
            <w:r w:rsidRPr="0017266B">
              <w:rPr>
                <w:rStyle w:val="Hyperlink"/>
                <w:rFonts w:ascii="Times New Roman" w:hAnsi="Times New Roman" w:cs="Times New Roman"/>
                <w:noProof/>
              </w:rPr>
              <w:t>Documentation interne ASECNA (non publiée)</w:t>
            </w:r>
            <w:r>
              <w:rPr>
                <w:noProof/>
                <w:webHidden/>
              </w:rPr>
              <w:tab/>
            </w:r>
            <w:r>
              <w:rPr>
                <w:noProof/>
                <w:webHidden/>
              </w:rPr>
              <w:fldChar w:fldCharType="begin"/>
            </w:r>
            <w:r>
              <w:rPr>
                <w:noProof/>
                <w:webHidden/>
              </w:rPr>
              <w:instrText xml:space="preserve"> PAGEREF _Toc227494152 \h </w:instrText>
            </w:r>
            <w:r>
              <w:rPr>
                <w:noProof/>
                <w:webHidden/>
              </w:rPr>
            </w:r>
            <w:r>
              <w:rPr>
                <w:noProof/>
                <w:webHidden/>
              </w:rPr>
              <w:fldChar w:fldCharType="separate"/>
            </w:r>
            <w:r>
              <w:rPr>
                <w:noProof/>
                <w:webHidden/>
              </w:rPr>
              <w:t>19</w:t>
            </w:r>
            <w:r>
              <w:rPr>
                <w:noProof/>
                <w:webHidden/>
              </w:rPr>
              <w:fldChar w:fldCharType="end"/>
            </w:r>
          </w:hyperlink>
        </w:p>
        <w:p w14:paraId="66E27226" w14:textId="01F73A50" w:rsidR="00097F96" w:rsidRPr="00A53093" w:rsidRDefault="00006368" w:rsidP="00A53093">
          <w:pPr>
            <w:jc w:val="both"/>
            <w:rPr>
              <w:rFonts w:ascii="Times New Roman" w:hAnsi="Times New Roman" w:cs="Times New Roman"/>
            </w:rPr>
          </w:pPr>
          <w:r w:rsidRPr="00A53093">
            <w:rPr>
              <w:rFonts w:ascii="Times New Roman" w:hAnsi="Times New Roman" w:cs="Times New Roman"/>
            </w:rPr>
            <w:fldChar w:fldCharType="end"/>
          </w:r>
        </w:p>
      </w:sdtContent>
    </w:sdt>
    <w:p w14:paraId="6EAE57E5" w14:textId="77777777" w:rsidR="00A53093" w:rsidRDefault="00A53093" w:rsidP="00A53093">
      <w:pPr>
        <w:pStyle w:val="Heading1"/>
        <w:jc w:val="both"/>
        <w:rPr>
          <w:rFonts w:ascii="Times New Roman" w:hAnsi="Times New Roman" w:cs="Times New Roman"/>
          <w:color w:val="auto"/>
        </w:rPr>
      </w:pPr>
      <w:bookmarkStart w:id="0" w:name="Xfa25fb273ee3e5eec7348280ee9a27c5b1d53d7"/>
      <w:r>
        <w:rPr>
          <w:rFonts w:ascii="Times New Roman" w:hAnsi="Times New Roman" w:cs="Times New Roman"/>
          <w:color w:val="auto"/>
        </w:rPr>
        <w:br w:type="page"/>
      </w:r>
    </w:p>
    <w:p w14:paraId="184200F6" w14:textId="69369992" w:rsidR="00097F96" w:rsidRPr="00A53093" w:rsidRDefault="00006368" w:rsidP="00A53093">
      <w:pPr>
        <w:pStyle w:val="Heading1"/>
        <w:jc w:val="both"/>
        <w:rPr>
          <w:rFonts w:ascii="Times New Roman" w:hAnsi="Times New Roman" w:cs="Times New Roman"/>
          <w:color w:val="auto"/>
        </w:rPr>
      </w:pPr>
      <w:bookmarkStart w:id="1" w:name="_Toc227494136"/>
      <w:r w:rsidRPr="00A53093">
        <w:rPr>
          <w:rFonts w:ascii="Times New Roman" w:hAnsi="Times New Roman" w:cs="Times New Roman"/>
          <w:color w:val="auto"/>
        </w:rPr>
        <w:lastRenderedPageBreak/>
        <w:t>CHAPITRE I. ARCHITECTURE DU RÉSEAU DE BALISAGE</w:t>
      </w:r>
      <w:r w:rsidR="00A53093">
        <w:rPr>
          <w:rFonts w:ascii="Times New Roman" w:hAnsi="Times New Roman" w:cs="Times New Roman"/>
          <w:color w:val="auto"/>
        </w:rPr>
        <w:t xml:space="preserve"> </w:t>
      </w:r>
      <w:r w:rsidRPr="00A53093">
        <w:rPr>
          <w:rFonts w:ascii="Times New Roman" w:hAnsi="Times New Roman" w:cs="Times New Roman"/>
          <w:color w:val="auto"/>
        </w:rPr>
        <w:t>ASECNA</w:t>
      </w:r>
      <w:bookmarkEnd w:id="0"/>
      <w:bookmarkEnd w:id="1"/>
    </w:p>
    <w:p w14:paraId="372B9916" w14:textId="77777777" w:rsidR="00097F96" w:rsidRPr="00A53093" w:rsidRDefault="00006368" w:rsidP="00A53093">
      <w:pPr>
        <w:pStyle w:val="Heading2"/>
        <w:jc w:val="both"/>
        <w:rPr>
          <w:rFonts w:ascii="Times New Roman" w:hAnsi="Times New Roman" w:cs="Times New Roman"/>
          <w:color w:val="auto"/>
        </w:rPr>
      </w:pPr>
      <w:bookmarkStart w:id="2" w:name="i.1.-introduction"/>
      <w:bookmarkStart w:id="3" w:name="_Toc227494137"/>
      <w:r w:rsidRPr="00A53093">
        <w:rPr>
          <w:rFonts w:ascii="Times New Roman" w:hAnsi="Times New Roman" w:cs="Times New Roman"/>
          <w:color w:val="auto"/>
        </w:rPr>
        <w:t>I.1. Introduction</w:t>
      </w:r>
      <w:bookmarkEnd w:id="2"/>
      <w:bookmarkEnd w:id="3"/>
    </w:p>
    <w:p w14:paraId="1E9CB1EB" w14:textId="77777777" w:rsidR="00097F96" w:rsidRPr="00A53093" w:rsidRDefault="00006368" w:rsidP="00A53093">
      <w:pPr>
        <w:pStyle w:val="FirstParagraph"/>
        <w:spacing w:line="360" w:lineRule="auto"/>
        <w:jc w:val="both"/>
        <w:rPr>
          <w:rFonts w:ascii="Times New Roman" w:hAnsi="Times New Roman" w:cs="Times New Roman"/>
        </w:rPr>
      </w:pPr>
      <w:r w:rsidRPr="00A53093">
        <w:rPr>
          <w:rFonts w:ascii="Times New Roman" w:hAnsi="Times New Roman" w:cs="Times New Roman"/>
        </w:rPr>
        <w:t xml:space="preserve">Le balisage lumineux d’un aérodrome constitue un système </w:t>
      </w:r>
      <w:r w:rsidRPr="00A53093">
        <w:rPr>
          <w:rFonts w:ascii="Times New Roman" w:hAnsi="Times New Roman" w:cs="Times New Roman"/>
          <w:i/>
        </w:rPr>
        <w:t>critique au sens aéronautique</w:t>
      </w:r>
      <w:r w:rsidRPr="00A53093">
        <w:rPr>
          <w:rFonts w:ascii="Times New Roman" w:hAnsi="Times New Roman" w:cs="Times New Roman"/>
        </w:rPr>
        <w:t xml:space="preserve"> : son indisponibilité compromet directement la sécurité des opérations d’atterrissage et de décol</w:t>
      </w:r>
      <w:r w:rsidRPr="00A53093">
        <w:rPr>
          <w:rFonts w:ascii="Times New Roman" w:hAnsi="Times New Roman" w:cs="Times New Roman"/>
        </w:rPr>
        <w:t>lage, en particulier de nuit ou par conditions de faible visibilité (OACI, 2018). Avant de concevoir une solution de surveillance, d’alerte et de localisation de défaut d’isolement, il est indispensable de décrire finement l’architecture physique et électr</w:t>
      </w:r>
      <w:r w:rsidRPr="00A53093">
        <w:rPr>
          <w:rFonts w:ascii="Times New Roman" w:hAnsi="Times New Roman" w:cs="Times New Roman"/>
        </w:rPr>
        <w:t>ique sur laquelle la solution viendra se greffer.</w:t>
      </w:r>
    </w:p>
    <w:p w14:paraId="7C623E70"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rPr>
        <w:t xml:space="preserve">Ce chapitre présente cette architecture selon quatre niveaux de granularité : (1) la </w:t>
      </w:r>
      <w:r w:rsidRPr="00A53093">
        <w:rPr>
          <w:rFonts w:ascii="Times New Roman" w:hAnsi="Times New Roman" w:cs="Times New Roman"/>
          <w:b/>
        </w:rPr>
        <w:t>topologie physique</w:t>
      </w:r>
      <w:r w:rsidRPr="00A53093">
        <w:rPr>
          <w:rFonts w:ascii="Times New Roman" w:hAnsi="Times New Roman" w:cs="Times New Roman"/>
        </w:rPr>
        <w:t xml:space="preserve"> de l’installation à l’échelle de la piste (§ I.2), (2) la </w:t>
      </w:r>
      <w:r w:rsidRPr="00A53093">
        <w:rPr>
          <w:rFonts w:ascii="Times New Roman" w:hAnsi="Times New Roman" w:cs="Times New Roman"/>
          <w:b/>
        </w:rPr>
        <w:t>source d’alimentation</w:t>
      </w:r>
      <w:r w:rsidRPr="00A53093">
        <w:rPr>
          <w:rFonts w:ascii="Times New Roman" w:hAnsi="Times New Roman" w:cs="Times New Roman"/>
        </w:rPr>
        <w:t xml:space="preserve"> à courant constant, so</w:t>
      </w:r>
      <w:r w:rsidRPr="00A53093">
        <w:rPr>
          <w:rFonts w:ascii="Times New Roman" w:hAnsi="Times New Roman" w:cs="Times New Roman"/>
        </w:rPr>
        <w:t xml:space="preserve">it le régulateur DIAM4100 (§ I.3), (3) la </w:t>
      </w:r>
      <w:r w:rsidRPr="00A53093">
        <w:rPr>
          <w:rFonts w:ascii="Times New Roman" w:hAnsi="Times New Roman" w:cs="Times New Roman"/>
          <w:b/>
        </w:rPr>
        <w:t>chaîne de charge</w:t>
      </w:r>
      <w:r w:rsidRPr="00A53093">
        <w:rPr>
          <w:rFonts w:ascii="Times New Roman" w:hAnsi="Times New Roman" w:cs="Times New Roman"/>
        </w:rPr>
        <w:t xml:space="preserve"> côté secondaire constituée des transformateurs d’isolement (§ I.4), et (4) une première esquisse du </w:t>
      </w:r>
      <w:r w:rsidRPr="00A53093">
        <w:rPr>
          <w:rFonts w:ascii="Times New Roman" w:hAnsi="Times New Roman" w:cs="Times New Roman"/>
          <w:b/>
        </w:rPr>
        <w:t xml:space="preserve">schéma électrique </w:t>
      </w:r>
      <w:proofErr w:type="gramStart"/>
      <w:r w:rsidRPr="00A53093">
        <w:rPr>
          <w:rFonts w:ascii="Times New Roman" w:hAnsi="Times New Roman" w:cs="Times New Roman"/>
          <w:b/>
        </w:rPr>
        <w:t>équivalent</w:t>
      </w:r>
      <w:proofErr w:type="gramEnd"/>
      <w:r w:rsidRPr="00A53093">
        <w:rPr>
          <w:rFonts w:ascii="Times New Roman" w:hAnsi="Times New Roman" w:cs="Times New Roman"/>
        </w:rPr>
        <w:t xml:space="preserve"> qui servira de support au jumeau numérique développé dans les chapit</w:t>
      </w:r>
      <w:r w:rsidRPr="00A53093">
        <w:rPr>
          <w:rFonts w:ascii="Times New Roman" w:hAnsi="Times New Roman" w:cs="Times New Roman"/>
        </w:rPr>
        <w:t>res suivants (§ I.5).</w:t>
      </w:r>
    </w:p>
    <w:p w14:paraId="6002461F"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rPr>
        <w:t>Les éléments quantitatifs et les schémas exploités ici proviennent de la documentation interne ASECNA relative au site d’étude — procès-verbaux de recette, schémas unifilaires des tableaux basse tension sans coupure, plans de piste et</w:t>
      </w:r>
      <w:r w:rsidRPr="00A53093">
        <w:rPr>
          <w:rFonts w:ascii="Times New Roman" w:hAnsi="Times New Roman" w:cs="Times New Roman"/>
        </w:rPr>
        <w:t xml:space="preserve"> notes d’installation (INEO/FINEO, 2021 ; ASECNA, s.d.-a, s.d.-b) —, complétés par la documentation constructeur du régulateur DIAM4100 (OCEM/Augier Energy, 2020) et par les guides techniques du Service technique de l’Aviation civile (STAC, 2021a, 2021b). </w:t>
      </w:r>
      <w:r w:rsidRPr="00A53093">
        <w:rPr>
          <w:rFonts w:ascii="Times New Roman" w:hAnsi="Times New Roman" w:cs="Times New Roman"/>
        </w:rPr>
        <w:t>Les références externes sont distinguées, dans la liste des références en fin de chapitre, de la documentation interne ASECNA non publiée.</w:t>
      </w:r>
    </w:p>
    <w:p w14:paraId="524901C8" w14:textId="77777777" w:rsidR="00097F96" w:rsidRPr="00A53093" w:rsidRDefault="00006368" w:rsidP="00A53093">
      <w:pPr>
        <w:pStyle w:val="Heading2"/>
        <w:jc w:val="both"/>
        <w:rPr>
          <w:rFonts w:ascii="Times New Roman" w:hAnsi="Times New Roman" w:cs="Times New Roman"/>
          <w:color w:val="auto"/>
        </w:rPr>
      </w:pPr>
      <w:bookmarkStart w:id="4" w:name="Xe827d58e1eff5f74a0ba6e3f232fddb0a75b2bc"/>
      <w:bookmarkStart w:id="5" w:name="_Toc227494138"/>
      <w:r w:rsidRPr="00A53093">
        <w:rPr>
          <w:rFonts w:ascii="Times New Roman" w:hAnsi="Times New Roman" w:cs="Times New Roman"/>
          <w:color w:val="auto"/>
        </w:rPr>
        <w:t>I.2. Topologie physique de l’installation (vue macro)</w:t>
      </w:r>
      <w:bookmarkEnd w:id="4"/>
      <w:bookmarkEnd w:id="5"/>
    </w:p>
    <w:p w14:paraId="55D62C6C" w14:textId="77777777" w:rsidR="00097F96" w:rsidRPr="00A53093" w:rsidRDefault="00006368" w:rsidP="00A53093">
      <w:pPr>
        <w:pStyle w:val="Heading3"/>
        <w:jc w:val="both"/>
        <w:rPr>
          <w:rFonts w:ascii="Times New Roman" w:hAnsi="Times New Roman" w:cs="Times New Roman"/>
          <w:color w:val="auto"/>
        </w:rPr>
      </w:pPr>
      <w:bookmarkStart w:id="6" w:name="i.2.1.-découpage-fonctionnel-par-boucles"/>
      <w:bookmarkStart w:id="7" w:name="_Toc227494139"/>
      <w:r w:rsidRPr="00A53093">
        <w:rPr>
          <w:rFonts w:ascii="Times New Roman" w:hAnsi="Times New Roman" w:cs="Times New Roman"/>
          <w:color w:val="auto"/>
        </w:rPr>
        <w:t>I.2.1. Découpage fonctionnel par boucles</w:t>
      </w:r>
      <w:bookmarkEnd w:id="6"/>
      <w:bookmarkEnd w:id="7"/>
    </w:p>
    <w:p w14:paraId="1473121D" w14:textId="77777777" w:rsidR="00097F96" w:rsidRPr="00A53093" w:rsidRDefault="00006368" w:rsidP="00A53093">
      <w:pPr>
        <w:pStyle w:val="FirstParagraph"/>
        <w:spacing w:line="360" w:lineRule="auto"/>
        <w:jc w:val="both"/>
        <w:rPr>
          <w:rFonts w:ascii="Times New Roman" w:hAnsi="Times New Roman" w:cs="Times New Roman"/>
        </w:rPr>
      </w:pPr>
      <w:r w:rsidRPr="00A53093">
        <w:rPr>
          <w:rFonts w:ascii="Times New Roman" w:hAnsi="Times New Roman" w:cs="Times New Roman"/>
        </w:rPr>
        <w:t xml:space="preserve">Le réseau de balisage </w:t>
      </w:r>
      <w:r w:rsidRPr="00A53093">
        <w:rPr>
          <w:rFonts w:ascii="Times New Roman" w:hAnsi="Times New Roman" w:cs="Times New Roman"/>
        </w:rPr>
        <w:t xml:space="preserve">lumineux n’est pas alimenté par un seul circuit électrique mais segmenté en plusieurs </w:t>
      </w:r>
      <w:r w:rsidRPr="00A53093">
        <w:rPr>
          <w:rFonts w:ascii="Times New Roman" w:hAnsi="Times New Roman" w:cs="Times New Roman"/>
          <w:b/>
        </w:rPr>
        <w:t>boucles série indépendantes</w:t>
      </w:r>
      <w:r w:rsidRPr="00A53093">
        <w:rPr>
          <w:rFonts w:ascii="Times New Roman" w:hAnsi="Times New Roman" w:cs="Times New Roman"/>
        </w:rPr>
        <w:t xml:space="preserve">, chacune dédiée à une fonction visuelle précise — approche, bord de piste, axe, seuil, PAPI, voies de circulation (STAC, 2021a). Ce découpage </w:t>
      </w:r>
      <w:r w:rsidRPr="00A53093">
        <w:rPr>
          <w:rFonts w:ascii="Times New Roman" w:hAnsi="Times New Roman" w:cs="Times New Roman"/>
        </w:rPr>
        <w:t xml:space="preserve">répond à deux exigences complémentaires : d’une part, il permet de dimensionner chaque boucle en fonction du courant et de la tension admissibles du régulateur associé (CEI, 2014) ; d’autre </w:t>
      </w:r>
      <w:r w:rsidRPr="00A53093">
        <w:rPr>
          <w:rFonts w:ascii="Times New Roman" w:hAnsi="Times New Roman" w:cs="Times New Roman"/>
        </w:rPr>
        <w:lastRenderedPageBreak/>
        <w:t xml:space="preserve">part, il assure une </w:t>
      </w:r>
      <w:r w:rsidRPr="00A53093">
        <w:rPr>
          <w:rFonts w:ascii="Times New Roman" w:hAnsi="Times New Roman" w:cs="Times New Roman"/>
          <w:b/>
        </w:rPr>
        <w:t>redondance fonctionnelle</w:t>
      </w:r>
      <w:r w:rsidRPr="00A53093">
        <w:rPr>
          <w:rFonts w:ascii="Times New Roman" w:hAnsi="Times New Roman" w:cs="Times New Roman"/>
        </w:rPr>
        <w:t>, la perte d’une boucl</w:t>
      </w:r>
      <w:r w:rsidRPr="00A53093">
        <w:rPr>
          <w:rFonts w:ascii="Times New Roman" w:hAnsi="Times New Roman" w:cs="Times New Roman"/>
        </w:rPr>
        <w:t>e (par exemple l’approche basse intensité) n’entraînant pas la perte des autres fonctions visuelles.</w:t>
      </w:r>
    </w:p>
    <w:p w14:paraId="1D8AA513"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rPr>
        <w:t xml:space="preserve">Sur le site d’étude, le balisage est organisé en </w:t>
      </w:r>
      <w:r w:rsidRPr="00A53093">
        <w:rPr>
          <w:rFonts w:ascii="Times New Roman" w:hAnsi="Times New Roman" w:cs="Times New Roman"/>
          <w:b/>
        </w:rPr>
        <w:t>onze boucles indépendantes</w:t>
      </w:r>
      <w:r w:rsidRPr="00A53093">
        <w:rPr>
          <w:rFonts w:ascii="Times New Roman" w:hAnsi="Times New Roman" w:cs="Times New Roman"/>
        </w:rPr>
        <w:t>, relevées dans le procès-verbal de recette provisoire (INEO/FINEO, 2021) et rep</w:t>
      </w:r>
      <w:r w:rsidRPr="00A53093">
        <w:rPr>
          <w:rFonts w:ascii="Times New Roman" w:hAnsi="Times New Roman" w:cs="Times New Roman"/>
        </w:rPr>
        <w:t xml:space="preserve">roduites sur la </w:t>
      </w:r>
      <w:r w:rsidRPr="00A53093">
        <w:rPr>
          <w:rFonts w:ascii="Times New Roman" w:hAnsi="Times New Roman" w:cs="Times New Roman"/>
          <w:b/>
        </w:rPr>
        <w:t>Figure I-1</w:t>
      </w:r>
      <w:r w:rsidRPr="00A53093">
        <w:rPr>
          <w:rFonts w:ascii="Times New Roman" w:hAnsi="Times New Roman" w:cs="Times New Roman"/>
        </w:rPr>
        <w:t>. Chaque boucle est identifiée par une lettre (A à L, en sautant le I pour éviter la confusion avec le symbole du courant) et alimentée par son propre régulateur à courant constant (RCC) depuis le tableau TDBTSC1 (Tableau de Distr</w:t>
      </w:r>
      <w:r w:rsidRPr="00A53093">
        <w:rPr>
          <w:rFonts w:ascii="Times New Roman" w:hAnsi="Times New Roman" w:cs="Times New Roman"/>
        </w:rPr>
        <w:t>ibution Basse Tension Sans Coupure n° 1) du bloc technique balisage.</w:t>
      </w:r>
    </w:p>
    <w:p w14:paraId="6AEB88C4" w14:textId="77777777" w:rsidR="00097F96" w:rsidRPr="00A53093" w:rsidRDefault="00006368" w:rsidP="00A53093">
      <w:pPr>
        <w:pStyle w:val="CaptionedFigure"/>
        <w:jc w:val="both"/>
        <w:rPr>
          <w:rFonts w:ascii="Times New Roman" w:hAnsi="Times New Roman" w:cs="Times New Roman"/>
        </w:rPr>
      </w:pPr>
      <w:r w:rsidRPr="00A53093">
        <w:rPr>
          <w:rFonts w:ascii="Times New Roman" w:hAnsi="Times New Roman" w:cs="Times New Roman"/>
          <w:noProof/>
        </w:rPr>
        <w:lastRenderedPageBreak/>
        <w:drawing>
          <wp:inline distT="0" distB="0" distL="0" distR="0" wp14:anchorId="026DED14" wp14:editId="5D1316D7">
            <wp:extent cx="3600450" cy="7715250"/>
            <wp:effectExtent l="0" t="0" r="0" b="0"/>
            <wp:docPr id="1" name="Picture" descr="Figure I-1. Extrait du procès-verbal de recette : mesures d’isolement des onze boucles primaires du balisage. La formule § 7.5.1.2 du STAC y est rappelée en bas de page (INEO/FINEO, 2021)"/>
            <wp:cNvGraphicFramePr/>
            <a:graphic xmlns:a="http://schemas.openxmlformats.org/drawingml/2006/main">
              <a:graphicData uri="http://schemas.openxmlformats.org/drawingml/2006/picture">
                <pic:pic xmlns:pic="http://schemas.openxmlformats.org/drawingml/2006/picture">
                  <pic:nvPicPr>
                    <pic:cNvPr id="0" name="Picture" descr="images/pv_boucles.jpg"/>
                    <pic:cNvPicPr>
                      <a:picLocks noChangeAspect="1" noChangeArrowheads="1"/>
                    </pic:cNvPicPr>
                  </pic:nvPicPr>
                  <pic:blipFill>
                    <a:blip r:embed="rId7"/>
                    <a:stretch>
                      <a:fillRect/>
                    </a:stretch>
                  </pic:blipFill>
                  <pic:spPr bwMode="auto">
                    <a:xfrm>
                      <a:off x="0" y="0"/>
                      <a:ext cx="3601289" cy="7717048"/>
                    </a:xfrm>
                    <a:prstGeom prst="rect">
                      <a:avLst/>
                    </a:prstGeom>
                    <a:noFill/>
                    <a:ln w="9525">
                      <a:noFill/>
                      <a:headEnd/>
                      <a:tailEnd/>
                    </a:ln>
                  </pic:spPr>
                </pic:pic>
              </a:graphicData>
            </a:graphic>
          </wp:inline>
        </w:drawing>
      </w:r>
    </w:p>
    <w:p w14:paraId="68EAB040" w14:textId="77777777" w:rsidR="00097F96" w:rsidRPr="00A53093" w:rsidRDefault="00006368" w:rsidP="00A53093">
      <w:pPr>
        <w:pStyle w:val="ImageCaption"/>
        <w:jc w:val="both"/>
        <w:rPr>
          <w:rFonts w:ascii="Times New Roman" w:hAnsi="Times New Roman" w:cs="Times New Roman"/>
        </w:rPr>
      </w:pPr>
      <w:r w:rsidRPr="00A53093">
        <w:rPr>
          <w:rFonts w:ascii="Times New Roman" w:hAnsi="Times New Roman" w:cs="Times New Roman"/>
        </w:rPr>
        <w:t>Figure I-1. Extrait du procès-verbal de recette : mesures d’isolement des onze boucles primaires du balisage. La formule § 7.5.1.2 du STAC y est rappelée en bas de page (INEO/FINEO, 202</w:t>
      </w:r>
      <w:r w:rsidRPr="00A53093">
        <w:rPr>
          <w:rFonts w:ascii="Times New Roman" w:hAnsi="Times New Roman" w:cs="Times New Roman"/>
        </w:rPr>
        <w:t>1)</w:t>
      </w:r>
    </w:p>
    <w:p w14:paraId="0E787A91"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rPr>
        <w:lastRenderedPageBreak/>
        <w:t xml:space="preserve">Le </w:t>
      </w:r>
      <w:r w:rsidRPr="00A53093">
        <w:rPr>
          <w:rFonts w:ascii="Times New Roman" w:hAnsi="Times New Roman" w:cs="Times New Roman"/>
          <w:b/>
        </w:rPr>
        <w:t>Tableau I-1</w:t>
      </w:r>
      <w:r w:rsidRPr="00A53093">
        <w:rPr>
          <w:rFonts w:ascii="Times New Roman" w:hAnsi="Times New Roman" w:cs="Times New Roman"/>
        </w:rPr>
        <w:t xml:space="preserve"> récapitule, pour chacune des onze boucles, son identifiant et sa fonction visuelle, sa longueur théorique de câble primaire, le nombre de transformateurs d’isolement (TI) qu’elle alimente, le calibre du régulateur qui la pilote et les typ</w:t>
      </w:r>
      <w:r w:rsidRPr="00A53093">
        <w:rPr>
          <w:rFonts w:ascii="Times New Roman" w:hAnsi="Times New Roman" w:cs="Times New Roman"/>
        </w:rPr>
        <w:t xml:space="preserve">es de feux et équipements raccordés. Les longueurs théoriques et le nombre de TI sont extraits du </w:t>
      </w:r>
      <w:r w:rsidRPr="00A53093">
        <w:rPr>
          <w:rFonts w:ascii="Times New Roman" w:hAnsi="Times New Roman" w:cs="Times New Roman"/>
          <w:i/>
        </w:rPr>
        <w:t>Tableau des valeurs théoriques</w:t>
      </w:r>
      <w:r w:rsidRPr="00A53093">
        <w:rPr>
          <w:rFonts w:ascii="Times New Roman" w:hAnsi="Times New Roman" w:cs="Times New Roman"/>
        </w:rPr>
        <w:t xml:space="preserve"> de la recette provisoire (INEO/FINEO, 2021, § 1.10.3.1). Les calibres des régulateurs consignés ici correspondent aux RCC physi</w:t>
      </w:r>
      <w:r w:rsidRPr="00A53093">
        <w:rPr>
          <w:rFonts w:ascii="Times New Roman" w:hAnsi="Times New Roman" w:cs="Times New Roman"/>
        </w:rPr>
        <w:t>quement installés dans la salle balisage à l’issue de la mise en service finale : ces valeurs ont été vérifiées de visu et peuvent, sur quelques lignes, différer des valeurs génériques indiquées dans les versions préliminaires des PV de recette.</w:t>
      </w:r>
    </w:p>
    <w:p w14:paraId="3F02D50F" w14:textId="77777777" w:rsidR="00097F96" w:rsidRPr="00A53093" w:rsidRDefault="00006368" w:rsidP="00A53093">
      <w:pPr>
        <w:pStyle w:val="TableCaption"/>
        <w:jc w:val="both"/>
        <w:rPr>
          <w:rFonts w:ascii="Times New Roman" w:hAnsi="Times New Roman" w:cs="Times New Roman"/>
        </w:rPr>
      </w:pPr>
      <w:r w:rsidRPr="00A53093">
        <w:rPr>
          <w:rFonts w:ascii="Times New Roman" w:hAnsi="Times New Roman" w:cs="Times New Roman"/>
        </w:rPr>
        <w:t>Tableau I-</w:t>
      </w:r>
      <w:r w:rsidRPr="00A53093">
        <w:rPr>
          <w:rFonts w:ascii="Times New Roman" w:hAnsi="Times New Roman" w:cs="Times New Roman"/>
        </w:rPr>
        <w:t>1. Découpage fonctionnel des onze boucles de balisage du site (longueur théorique de câble primaire, nombre de TI, calibre du régulateur installé, équipements raccordés). Sources : INEO/FINEO (2021, § 1.10.1 et § 1.10.3.1) pour les longueurs, les TI et les</w:t>
      </w:r>
      <w:r w:rsidRPr="00A53093">
        <w:rPr>
          <w:rFonts w:ascii="Times New Roman" w:hAnsi="Times New Roman" w:cs="Times New Roman"/>
        </w:rPr>
        <w:t xml:space="preserve"> équipements ; calibres de régulateur issus du relevé physique en salle balisage.</w:t>
      </w:r>
    </w:p>
    <w:tbl>
      <w:tblPr>
        <w:tblStyle w:val="Table"/>
        <w:tblW w:w="5000" w:type="pct"/>
        <w:tblLook w:val="07E0" w:firstRow="1" w:lastRow="1" w:firstColumn="1" w:lastColumn="1" w:noHBand="1" w:noVBand="1"/>
      </w:tblPr>
      <w:tblGrid>
        <w:gridCol w:w="690"/>
        <w:gridCol w:w="1580"/>
        <w:gridCol w:w="873"/>
        <w:gridCol w:w="514"/>
        <w:gridCol w:w="1363"/>
        <w:gridCol w:w="4602"/>
      </w:tblGrid>
      <w:tr w:rsidR="00A53093" w:rsidRPr="00A53093" w14:paraId="7F0B6F26" w14:textId="77777777">
        <w:tc>
          <w:tcPr>
            <w:tcW w:w="0" w:type="auto"/>
            <w:tcBorders>
              <w:bottom w:val="single" w:sz="0" w:space="0" w:color="auto"/>
            </w:tcBorders>
            <w:vAlign w:val="bottom"/>
          </w:tcPr>
          <w:p w14:paraId="6AB465C1" w14:textId="77777777" w:rsidR="00097F96" w:rsidRPr="00A53093" w:rsidRDefault="00006368" w:rsidP="00A53093">
            <w:pPr>
              <w:pStyle w:val="Compact"/>
              <w:jc w:val="both"/>
              <w:rPr>
                <w:rFonts w:ascii="Times New Roman" w:hAnsi="Times New Roman" w:cs="Times New Roman"/>
                <w:b/>
                <w:bCs/>
              </w:rPr>
            </w:pPr>
            <w:r w:rsidRPr="00A53093">
              <w:rPr>
                <w:rFonts w:ascii="Times New Roman" w:hAnsi="Times New Roman" w:cs="Times New Roman"/>
                <w:b/>
                <w:bCs/>
              </w:rPr>
              <w:t>Rep.</w:t>
            </w:r>
          </w:p>
        </w:tc>
        <w:tc>
          <w:tcPr>
            <w:tcW w:w="0" w:type="auto"/>
            <w:tcBorders>
              <w:bottom w:val="single" w:sz="0" w:space="0" w:color="auto"/>
            </w:tcBorders>
            <w:vAlign w:val="bottom"/>
          </w:tcPr>
          <w:p w14:paraId="25B09DFE" w14:textId="77777777" w:rsidR="00097F96" w:rsidRPr="00A53093" w:rsidRDefault="00006368" w:rsidP="00A53093">
            <w:pPr>
              <w:pStyle w:val="Compact"/>
              <w:rPr>
                <w:rFonts w:ascii="Times New Roman" w:hAnsi="Times New Roman" w:cs="Times New Roman"/>
                <w:b/>
                <w:bCs/>
              </w:rPr>
            </w:pPr>
            <w:r w:rsidRPr="00A53093">
              <w:rPr>
                <w:rFonts w:ascii="Times New Roman" w:hAnsi="Times New Roman" w:cs="Times New Roman"/>
                <w:b/>
                <w:bCs/>
              </w:rPr>
              <w:t>Fonction visuelle</w:t>
            </w:r>
          </w:p>
        </w:tc>
        <w:tc>
          <w:tcPr>
            <w:tcW w:w="0" w:type="auto"/>
            <w:tcBorders>
              <w:bottom w:val="single" w:sz="0" w:space="0" w:color="auto"/>
            </w:tcBorders>
            <w:vAlign w:val="bottom"/>
          </w:tcPr>
          <w:p w14:paraId="03A9DCF0" w14:textId="77777777" w:rsidR="00097F96" w:rsidRPr="00A53093" w:rsidRDefault="00006368" w:rsidP="00A53093">
            <w:pPr>
              <w:pStyle w:val="Compact"/>
              <w:jc w:val="both"/>
              <w:rPr>
                <w:rFonts w:ascii="Times New Roman" w:hAnsi="Times New Roman" w:cs="Times New Roman"/>
                <w:b/>
                <w:bCs/>
              </w:rPr>
            </w:pPr>
            <w:r w:rsidRPr="00A53093">
              <w:rPr>
                <w:rFonts w:ascii="Times New Roman" w:hAnsi="Times New Roman" w:cs="Times New Roman"/>
                <w:b/>
                <w:bCs/>
              </w:rPr>
              <w:t>Long. (m)</w:t>
            </w:r>
          </w:p>
        </w:tc>
        <w:tc>
          <w:tcPr>
            <w:tcW w:w="0" w:type="auto"/>
            <w:tcBorders>
              <w:bottom w:val="single" w:sz="0" w:space="0" w:color="auto"/>
            </w:tcBorders>
            <w:vAlign w:val="bottom"/>
          </w:tcPr>
          <w:p w14:paraId="268D977D" w14:textId="77777777" w:rsidR="00097F96" w:rsidRPr="00A53093" w:rsidRDefault="00006368" w:rsidP="00A53093">
            <w:pPr>
              <w:pStyle w:val="Compact"/>
              <w:jc w:val="both"/>
              <w:rPr>
                <w:rFonts w:ascii="Times New Roman" w:hAnsi="Times New Roman" w:cs="Times New Roman"/>
                <w:b/>
                <w:bCs/>
              </w:rPr>
            </w:pPr>
            <w:r w:rsidRPr="00A53093">
              <w:rPr>
                <w:rFonts w:ascii="Times New Roman" w:hAnsi="Times New Roman" w:cs="Times New Roman"/>
                <w:b/>
                <w:bCs/>
              </w:rPr>
              <w:t>N. TI</w:t>
            </w:r>
          </w:p>
        </w:tc>
        <w:tc>
          <w:tcPr>
            <w:tcW w:w="0" w:type="auto"/>
            <w:tcBorders>
              <w:bottom w:val="single" w:sz="0" w:space="0" w:color="auto"/>
            </w:tcBorders>
            <w:vAlign w:val="bottom"/>
          </w:tcPr>
          <w:p w14:paraId="20F96802" w14:textId="77777777" w:rsidR="00097F96" w:rsidRPr="00A53093" w:rsidRDefault="00006368" w:rsidP="00A53093">
            <w:pPr>
              <w:pStyle w:val="Compact"/>
              <w:jc w:val="both"/>
              <w:rPr>
                <w:rFonts w:ascii="Times New Roman" w:hAnsi="Times New Roman" w:cs="Times New Roman"/>
                <w:b/>
                <w:bCs/>
              </w:rPr>
            </w:pPr>
            <w:r w:rsidRPr="00A53093">
              <w:rPr>
                <w:rFonts w:ascii="Times New Roman" w:hAnsi="Times New Roman" w:cs="Times New Roman"/>
                <w:b/>
                <w:bCs/>
              </w:rPr>
              <w:t>Régulateur</w:t>
            </w:r>
          </w:p>
        </w:tc>
        <w:tc>
          <w:tcPr>
            <w:tcW w:w="0" w:type="auto"/>
            <w:tcBorders>
              <w:bottom w:val="single" w:sz="0" w:space="0" w:color="auto"/>
            </w:tcBorders>
            <w:vAlign w:val="bottom"/>
          </w:tcPr>
          <w:p w14:paraId="1B17E726" w14:textId="77777777" w:rsidR="00097F96" w:rsidRPr="00A53093" w:rsidRDefault="00006368" w:rsidP="00A53093">
            <w:pPr>
              <w:pStyle w:val="Compact"/>
              <w:jc w:val="both"/>
              <w:rPr>
                <w:rFonts w:ascii="Times New Roman" w:hAnsi="Times New Roman" w:cs="Times New Roman"/>
                <w:b/>
                <w:bCs/>
              </w:rPr>
            </w:pPr>
            <w:r w:rsidRPr="00A53093">
              <w:rPr>
                <w:rFonts w:ascii="Times New Roman" w:hAnsi="Times New Roman" w:cs="Times New Roman"/>
                <w:b/>
                <w:bCs/>
              </w:rPr>
              <w:t>Équipements raccordés (types dominants)</w:t>
            </w:r>
          </w:p>
        </w:tc>
      </w:tr>
      <w:tr w:rsidR="00A53093" w:rsidRPr="00A53093" w14:paraId="57BE1D1C" w14:textId="77777777">
        <w:tc>
          <w:tcPr>
            <w:tcW w:w="0" w:type="auto"/>
          </w:tcPr>
          <w:p w14:paraId="74B3F68B"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A</w:t>
            </w:r>
          </w:p>
        </w:tc>
        <w:tc>
          <w:tcPr>
            <w:tcW w:w="0" w:type="auto"/>
          </w:tcPr>
          <w:p w14:paraId="37062882" w14:textId="77777777" w:rsidR="00097F96" w:rsidRPr="00A53093" w:rsidRDefault="00006368" w:rsidP="00A53093">
            <w:pPr>
              <w:pStyle w:val="Compact"/>
              <w:rPr>
                <w:rFonts w:ascii="Times New Roman" w:hAnsi="Times New Roman" w:cs="Times New Roman"/>
              </w:rPr>
            </w:pPr>
            <w:r w:rsidRPr="00A53093">
              <w:rPr>
                <w:rFonts w:ascii="Times New Roman" w:hAnsi="Times New Roman" w:cs="Times New Roman"/>
              </w:rPr>
              <w:t>Approche HI — demi-approche 1</w:t>
            </w:r>
          </w:p>
        </w:tc>
        <w:tc>
          <w:tcPr>
            <w:tcW w:w="0" w:type="auto"/>
          </w:tcPr>
          <w:p w14:paraId="024CE05E"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9 231</w:t>
            </w:r>
          </w:p>
        </w:tc>
        <w:tc>
          <w:tcPr>
            <w:tcW w:w="0" w:type="auto"/>
          </w:tcPr>
          <w:p w14:paraId="5A482128"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68</w:t>
            </w:r>
          </w:p>
        </w:tc>
        <w:tc>
          <w:tcPr>
            <w:tcW w:w="0" w:type="auto"/>
          </w:tcPr>
          <w:p w14:paraId="1C2CDF6A"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10 kVA</w:t>
            </w:r>
          </w:p>
        </w:tc>
        <w:tc>
          <w:tcPr>
            <w:tcW w:w="0" w:type="auto"/>
          </w:tcPr>
          <w:p w14:paraId="0083B4DC"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Feux d’approche HI élevés LED + encastrés ; TI 100 W, 150 W ; parafoudres</w:t>
            </w:r>
          </w:p>
        </w:tc>
      </w:tr>
      <w:tr w:rsidR="00A53093" w:rsidRPr="00A53093" w14:paraId="299A8463" w14:textId="77777777">
        <w:tc>
          <w:tcPr>
            <w:tcW w:w="0" w:type="auto"/>
          </w:tcPr>
          <w:p w14:paraId="336F9610"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B</w:t>
            </w:r>
          </w:p>
        </w:tc>
        <w:tc>
          <w:tcPr>
            <w:tcW w:w="0" w:type="auto"/>
          </w:tcPr>
          <w:p w14:paraId="5ADCAF6A" w14:textId="77777777" w:rsidR="00097F96" w:rsidRPr="00A53093" w:rsidRDefault="00006368" w:rsidP="00A53093">
            <w:pPr>
              <w:pStyle w:val="Compact"/>
              <w:rPr>
                <w:rFonts w:ascii="Times New Roman" w:hAnsi="Times New Roman" w:cs="Times New Roman"/>
              </w:rPr>
            </w:pPr>
            <w:r w:rsidRPr="00A53093">
              <w:rPr>
                <w:rFonts w:ascii="Times New Roman" w:hAnsi="Times New Roman" w:cs="Times New Roman"/>
              </w:rPr>
              <w:t>Approche HI — demi-approche 2</w:t>
            </w:r>
          </w:p>
        </w:tc>
        <w:tc>
          <w:tcPr>
            <w:tcW w:w="0" w:type="auto"/>
          </w:tcPr>
          <w:p w14:paraId="5F4259E9"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9 310</w:t>
            </w:r>
          </w:p>
        </w:tc>
        <w:tc>
          <w:tcPr>
            <w:tcW w:w="0" w:type="auto"/>
          </w:tcPr>
          <w:p w14:paraId="0F8028C6"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68</w:t>
            </w:r>
          </w:p>
        </w:tc>
        <w:tc>
          <w:tcPr>
            <w:tcW w:w="0" w:type="auto"/>
          </w:tcPr>
          <w:p w14:paraId="42A8E156"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10 kVA</w:t>
            </w:r>
          </w:p>
        </w:tc>
        <w:tc>
          <w:tcPr>
            <w:tcW w:w="0" w:type="auto"/>
          </w:tcPr>
          <w:p w14:paraId="63D97CED"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Feux d’approche HI élevés LED + encastrés ; TI 100 W, 150 W ; parafoudres</w:t>
            </w:r>
          </w:p>
        </w:tc>
      </w:tr>
      <w:tr w:rsidR="00A53093" w:rsidRPr="00A53093" w14:paraId="52E95FF3" w14:textId="77777777">
        <w:tc>
          <w:tcPr>
            <w:tcW w:w="0" w:type="auto"/>
          </w:tcPr>
          <w:p w14:paraId="27D5A036"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C</w:t>
            </w:r>
          </w:p>
        </w:tc>
        <w:tc>
          <w:tcPr>
            <w:tcW w:w="0" w:type="auto"/>
          </w:tcPr>
          <w:p w14:paraId="496FEDB7" w14:textId="77777777" w:rsidR="00097F96" w:rsidRPr="00A53093" w:rsidRDefault="00006368" w:rsidP="00A53093">
            <w:pPr>
              <w:pStyle w:val="Compact"/>
              <w:rPr>
                <w:rFonts w:ascii="Times New Roman" w:hAnsi="Times New Roman" w:cs="Times New Roman"/>
              </w:rPr>
            </w:pPr>
            <w:r w:rsidRPr="00A53093">
              <w:rPr>
                <w:rFonts w:ascii="Times New Roman" w:hAnsi="Times New Roman" w:cs="Times New Roman"/>
              </w:rPr>
              <w:t>Approche BI (balle traçante hors)</w:t>
            </w:r>
          </w:p>
        </w:tc>
        <w:tc>
          <w:tcPr>
            <w:tcW w:w="0" w:type="auto"/>
          </w:tcPr>
          <w:p w14:paraId="65FF64DD"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9 308</w:t>
            </w:r>
          </w:p>
        </w:tc>
        <w:tc>
          <w:tcPr>
            <w:tcW w:w="0" w:type="auto"/>
          </w:tcPr>
          <w:p w14:paraId="11CD54E5"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31</w:t>
            </w:r>
          </w:p>
        </w:tc>
        <w:tc>
          <w:tcPr>
            <w:tcW w:w="0" w:type="auto"/>
          </w:tcPr>
          <w:p w14:paraId="0D3E8A2B"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4 kVA</w:t>
            </w:r>
          </w:p>
        </w:tc>
        <w:tc>
          <w:tcPr>
            <w:tcW w:w="0" w:type="auto"/>
          </w:tcPr>
          <w:p w14:paraId="33475735"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Feux d’approche BI élevés ; TI 45 W ; parafoudres</w:t>
            </w:r>
          </w:p>
        </w:tc>
      </w:tr>
      <w:tr w:rsidR="00A53093" w:rsidRPr="00A53093" w14:paraId="069191AF" w14:textId="77777777">
        <w:tc>
          <w:tcPr>
            <w:tcW w:w="0" w:type="auto"/>
          </w:tcPr>
          <w:p w14:paraId="5E12C2FE"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D</w:t>
            </w:r>
          </w:p>
        </w:tc>
        <w:tc>
          <w:tcPr>
            <w:tcW w:w="0" w:type="auto"/>
          </w:tcPr>
          <w:p w14:paraId="10CF82B0" w14:textId="77777777" w:rsidR="00097F96" w:rsidRPr="00A53093" w:rsidRDefault="00006368" w:rsidP="00A53093">
            <w:pPr>
              <w:pStyle w:val="Compact"/>
              <w:rPr>
                <w:rFonts w:ascii="Times New Roman" w:hAnsi="Times New Roman" w:cs="Times New Roman"/>
              </w:rPr>
            </w:pPr>
            <w:r w:rsidRPr="00A53093">
              <w:rPr>
                <w:rFonts w:ascii="Times New Roman" w:hAnsi="Times New Roman" w:cs="Times New Roman"/>
              </w:rPr>
              <w:t>Bord de piste — demi-piste 1</w:t>
            </w:r>
          </w:p>
        </w:tc>
        <w:tc>
          <w:tcPr>
            <w:tcW w:w="0" w:type="auto"/>
          </w:tcPr>
          <w:p w14:paraId="03D54972"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9 007</w:t>
            </w:r>
          </w:p>
        </w:tc>
        <w:tc>
          <w:tcPr>
            <w:tcW w:w="0" w:type="auto"/>
          </w:tcPr>
          <w:p w14:paraId="286F5409"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80</w:t>
            </w:r>
          </w:p>
        </w:tc>
        <w:tc>
          <w:tcPr>
            <w:tcW w:w="0" w:type="auto"/>
          </w:tcPr>
          <w:p w14:paraId="51F7AAE5"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10 kVA</w:t>
            </w:r>
          </w:p>
        </w:tc>
        <w:tc>
          <w:tcPr>
            <w:tcW w:w="0" w:type="auto"/>
          </w:tcPr>
          <w:p w14:paraId="2563F3ED"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Feux bord de piste bidirectionnels HI + encastrés ; feux seuil/fin de PA ; TI 25 W, 45 W, 65 W, 150 W</w:t>
            </w:r>
          </w:p>
        </w:tc>
      </w:tr>
      <w:tr w:rsidR="00A53093" w:rsidRPr="00A53093" w14:paraId="630C2BDB" w14:textId="77777777">
        <w:tc>
          <w:tcPr>
            <w:tcW w:w="0" w:type="auto"/>
          </w:tcPr>
          <w:p w14:paraId="198E9E19"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E</w:t>
            </w:r>
          </w:p>
        </w:tc>
        <w:tc>
          <w:tcPr>
            <w:tcW w:w="0" w:type="auto"/>
          </w:tcPr>
          <w:p w14:paraId="0F53EF6A" w14:textId="77777777" w:rsidR="00097F96" w:rsidRPr="00A53093" w:rsidRDefault="00006368" w:rsidP="00A53093">
            <w:pPr>
              <w:pStyle w:val="Compact"/>
              <w:rPr>
                <w:rFonts w:ascii="Times New Roman" w:hAnsi="Times New Roman" w:cs="Times New Roman"/>
              </w:rPr>
            </w:pPr>
            <w:r w:rsidRPr="00A53093">
              <w:rPr>
                <w:rFonts w:ascii="Times New Roman" w:hAnsi="Times New Roman" w:cs="Times New Roman"/>
              </w:rPr>
              <w:t>Bord</w:t>
            </w:r>
            <w:r w:rsidRPr="00A53093">
              <w:rPr>
                <w:rFonts w:ascii="Times New Roman" w:hAnsi="Times New Roman" w:cs="Times New Roman"/>
              </w:rPr>
              <w:t xml:space="preserve"> de piste — demi-piste 2</w:t>
            </w:r>
          </w:p>
        </w:tc>
        <w:tc>
          <w:tcPr>
            <w:tcW w:w="0" w:type="auto"/>
          </w:tcPr>
          <w:p w14:paraId="2214702E"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9 013</w:t>
            </w:r>
          </w:p>
        </w:tc>
        <w:tc>
          <w:tcPr>
            <w:tcW w:w="0" w:type="auto"/>
          </w:tcPr>
          <w:p w14:paraId="052050CF"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75</w:t>
            </w:r>
          </w:p>
        </w:tc>
        <w:tc>
          <w:tcPr>
            <w:tcW w:w="0" w:type="auto"/>
          </w:tcPr>
          <w:p w14:paraId="43C8BC3D"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10 kVA</w:t>
            </w:r>
          </w:p>
        </w:tc>
        <w:tc>
          <w:tcPr>
            <w:tcW w:w="0" w:type="auto"/>
          </w:tcPr>
          <w:p w14:paraId="06EA3BFE"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Feux bord de piste bidirectionnels HI + encastrés ; feux seuil/fin de PA ; TI 25 W, 45 W, 65 W, 150 W</w:t>
            </w:r>
          </w:p>
        </w:tc>
      </w:tr>
      <w:tr w:rsidR="00A53093" w:rsidRPr="00A53093" w14:paraId="523DDC1F" w14:textId="77777777">
        <w:tc>
          <w:tcPr>
            <w:tcW w:w="0" w:type="auto"/>
          </w:tcPr>
          <w:p w14:paraId="64FB4D51"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F</w:t>
            </w:r>
          </w:p>
        </w:tc>
        <w:tc>
          <w:tcPr>
            <w:tcW w:w="0" w:type="auto"/>
          </w:tcPr>
          <w:p w14:paraId="17D217B0" w14:textId="77777777" w:rsidR="00097F96" w:rsidRPr="00A53093" w:rsidRDefault="00006368" w:rsidP="00A53093">
            <w:pPr>
              <w:pStyle w:val="Compact"/>
              <w:rPr>
                <w:rFonts w:ascii="Times New Roman" w:hAnsi="Times New Roman" w:cs="Times New Roman"/>
              </w:rPr>
            </w:pPr>
            <w:r w:rsidRPr="00A53093">
              <w:rPr>
                <w:rFonts w:ascii="Times New Roman" w:hAnsi="Times New Roman" w:cs="Times New Roman"/>
              </w:rPr>
              <w:t>Seuil / Extrémité 1</w:t>
            </w:r>
          </w:p>
        </w:tc>
        <w:tc>
          <w:tcPr>
            <w:tcW w:w="0" w:type="auto"/>
          </w:tcPr>
          <w:p w14:paraId="71E366B1"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8 157</w:t>
            </w:r>
          </w:p>
        </w:tc>
        <w:tc>
          <w:tcPr>
            <w:tcW w:w="0" w:type="auto"/>
          </w:tcPr>
          <w:p w14:paraId="3BE79780"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15</w:t>
            </w:r>
          </w:p>
        </w:tc>
        <w:tc>
          <w:tcPr>
            <w:tcW w:w="0" w:type="auto"/>
          </w:tcPr>
          <w:p w14:paraId="3EABE570"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4 kVA</w:t>
            </w:r>
          </w:p>
        </w:tc>
        <w:tc>
          <w:tcPr>
            <w:tcW w:w="0" w:type="auto"/>
          </w:tcPr>
          <w:p w14:paraId="638DCEA8"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Feux de seuil vert/rouge encastrés ; TI 65 W, 100 W ; parafoudres</w:t>
            </w:r>
          </w:p>
        </w:tc>
      </w:tr>
      <w:tr w:rsidR="00A53093" w:rsidRPr="00A53093" w14:paraId="6EA7FBDF" w14:textId="77777777">
        <w:tc>
          <w:tcPr>
            <w:tcW w:w="0" w:type="auto"/>
          </w:tcPr>
          <w:p w14:paraId="2A3269FA"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G</w:t>
            </w:r>
          </w:p>
        </w:tc>
        <w:tc>
          <w:tcPr>
            <w:tcW w:w="0" w:type="auto"/>
          </w:tcPr>
          <w:p w14:paraId="6B18780E" w14:textId="77777777" w:rsidR="00097F96" w:rsidRPr="00A53093" w:rsidRDefault="00006368" w:rsidP="00A53093">
            <w:pPr>
              <w:pStyle w:val="Compact"/>
              <w:rPr>
                <w:rFonts w:ascii="Times New Roman" w:hAnsi="Times New Roman" w:cs="Times New Roman"/>
              </w:rPr>
            </w:pPr>
            <w:r w:rsidRPr="00A53093">
              <w:rPr>
                <w:rFonts w:ascii="Times New Roman" w:hAnsi="Times New Roman" w:cs="Times New Roman"/>
              </w:rPr>
              <w:t>Seuil / Extrémité 2</w:t>
            </w:r>
          </w:p>
        </w:tc>
        <w:tc>
          <w:tcPr>
            <w:tcW w:w="0" w:type="auto"/>
          </w:tcPr>
          <w:p w14:paraId="24C2A1EE"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8 157</w:t>
            </w:r>
          </w:p>
        </w:tc>
        <w:tc>
          <w:tcPr>
            <w:tcW w:w="0" w:type="auto"/>
          </w:tcPr>
          <w:p w14:paraId="59CAF037"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10</w:t>
            </w:r>
          </w:p>
        </w:tc>
        <w:tc>
          <w:tcPr>
            <w:tcW w:w="0" w:type="auto"/>
          </w:tcPr>
          <w:p w14:paraId="596E5621"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4 kVA</w:t>
            </w:r>
          </w:p>
        </w:tc>
        <w:tc>
          <w:tcPr>
            <w:tcW w:w="0" w:type="auto"/>
          </w:tcPr>
          <w:p w14:paraId="78EB1C42"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Feux de seuil vert/rouge encastrés ; TI 65 W, 100 W ; parafoudres</w:t>
            </w:r>
          </w:p>
        </w:tc>
      </w:tr>
      <w:tr w:rsidR="00A53093" w:rsidRPr="00A53093" w14:paraId="1285E7EE" w14:textId="77777777">
        <w:tc>
          <w:tcPr>
            <w:tcW w:w="0" w:type="auto"/>
          </w:tcPr>
          <w:p w14:paraId="3D76896E"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H</w:t>
            </w:r>
          </w:p>
        </w:tc>
        <w:tc>
          <w:tcPr>
            <w:tcW w:w="0" w:type="auto"/>
          </w:tcPr>
          <w:p w14:paraId="07831EB3" w14:textId="77777777" w:rsidR="00097F96" w:rsidRPr="00A53093" w:rsidRDefault="00006368" w:rsidP="00A53093">
            <w:pPr>
              <w:pStyle w:val="Compact"/>
              <w:rPr>
                <w:rFonts w:ascii="Times New Roman" w:hAnsi="Times New Roman" w:cs="Times New Roman"/>
              </w:rPr>
            </w:pPr>
            <w:r w:rsidRPr="00A53093">
              <w:rPr>
                <w:rFonts w:ascii="Times New Roman" w:hAnsi="Times New Roman" w:cs="Times New Roman"/>
              </w:rPr>
              <w:t>PAPI QFU 12</w:t>
            </w:r>
          </w:p>
        </w:tc>
        <w:tc>
          <w:tcPr>
            <w:tcW w:w="0" w:type="auto"/>
          </w:tcPr>
          <w:p w14:paraId="4C3D756B"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2 168</w:t>
            </w:r>
          </w:p>
        </w:tc>
        <w:tc>
          <w:tcPr>
            <w:tcW w:w="0" w:type="auto"/>
          </w:tcPr>
          <w:p w14:paraId="6CCE7325"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4</w:t>
            </w:r>
          </w:p>
        </w:tc>
        <w:tc>
          <w:tcPr>
            <w:tcW w:w="0" w:type="auto"/>
          </w:tcPr>
          <w:p w14:paraId="47243426"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4 kVA</w:t>
            </w:r>
          </w:p>
        </w:tc>
        <w:tc>
          <w:tcPr>
            <w:tcW w:w="0" w:type="auto"/>
          </w:tcPr>
          <w:p w14:paraId="52F16A3F"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4 indicateurs visuels de pente (PAPI) ; TI 200 W ; parafo</w:t>
            </w:r>
            <w:r w:rsidRPr="00A53093">
              <w:rPr>
                <w:rFonts w:ascii="Times New Roman" w:hAnsi="Times New Roman" w:cs="Times New Roman"/>
              </w:rPr>
              <w:t>udres</w:t>
            </w:r>
          </w:p>
        </w:tc>
      </w:tr>
      <w:tr w:rsidR="00A53093" w:rsidRPr="00A53093" w14:paraId="3F5191C0" w14:textId="77777777">
        <w:tc>
          <w:tcPr>
            <w:tcW w:w="0" w:type="auto"/>
          </w:tcPr>
          <w:p w14:paraId="361F3E4C"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J</w:t>
            </w:r>
          </w:p>
        </w:tc>
        <w:tc>
          <w:tcPr>
            <w:tcW w:w="0" w:type="auto"/>
          </w:tcPr>
          <w:p w14:paraId="67A5C339" w14:textId="77777777" w:rsidR="00097F96" w:rsidRPr="00A53093" w:rsidRDefault="00006368" w:rsidP="00A53093">
            <w:pPr>
              <w:pStyle w:val="Compact"/>
              <w:rPr>
                <w:rFonts w:ascii="Times New Roman" w:hAnsi="Times New Roman" w:cs="Times New Roman"/>
              </w:rPr>
            </w:pPr>
            <w:r w:rsidRPr="00A53093">
              <w:rPr>
                <w:rFonts w:ascii="Times New Roman" w:hAnsi="Times New Roman" w:cs="Times New Roman"/>
              </w:rPr>
              <w:t>PAPI QFU 30</w:t>
            </w:r>
          </w:p>
        </w:tc>
        <w:tc>
          <w:tcPr>
            <w:tcW w:w="0" w:type="auto"/>
          </w:tcPr>
          <w:p w14:paraId="5D3F44D6"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5 877</w:t>
            </w:r>
          </w:p>
        </w:tc>
        <w:tc>
          <w:tcPr>
            <w:tcW w:w="0" w:type="auto"/>
          </w:tcPr>
          <w:p w14:paraId="5F40AB7E"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4</w:t>
            </w:r>
          </w:p>
        </w:tc>
        <w:tc>
          <w:tcPr>
            <w:tcW w:w="0" w:type="auto"/>
          </w:tcPr>
          <w:p w14:paraId="4EFFF43D"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4 kVA</w:t>
            </w:r>
          </w:p>
        </w:tc>
        <w:tc>
          <w:tcPr>
            <w:tcW w:w="0" w:type="auto"/>
          </w:tcPr>
          <w:p w14:paraId="4C499E7A"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4 indicateurs visuels de pente (PAPI) ; TI 200 W ; parafoudres</w:t>
            </w:r>
          </w:p>
        </w:tc>
      </w:tr>
      <w:tr w:rsidR="00A53093" w:rsidRPr="00A53093" w14:paraId="61FB75ED" w14:textId="77777777">
        <w:tc>
          <w:tcPr>
            <w:tcW w:w="0" w:type="auto"/>
          </w:tcPr>
          <w:p w14:paraId="37514E03"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K</w:t>
            </w:r>
          </w:p>
        </w:tc>
        <w:tc>
          <w:tcPr>
            <w:tcW w:w="0" w:type="auto"/>
          </w:tcPr>
          <w:p w14:paraId="452AAC12" w14:textId="77777777" w:rsidR="00097F96" w:rsidRPr="00A53093" w:rsidRDefault="00006368" w:rsidP="00A53093">
            <w:pPr>
              <w:pStyle w:val="Compact"/>
              <w:rPr>
                <w:rFonts w:ascii="Times New Roman" w:hAnsi="Times New Roman" w:cs="Times New Roman"/>
              </w:rPr>
            </w:pPr>
            <w:r w:rsidRPr="00A53093">
              <w:rPr>
                <w:rFonts w:ascii="Times New Roman" w:hAnsi="Times New Roman" w:cs="Times New Roman"/>
              </w:rPr>
              <w:t xml:space="preserve">Voies de circulation &amp; </w:t>
            </w:r>
            <w:r w:rsidRPr="00A53093">
              <w:rPr>
                <w:rFonts w:ascii="Times New Roman" w:hAnsi="Times New Roman" w:cs="Times New Roman"/>
              </w:rPr>
              <w:lastRenderedPageBreak/>
              <w:t>Parkings 1</w:t>
            </w:r>
          </w:p>
        </w:tc>
        <w:tc>
          <w:tcPr>
            <w:tcW w:w="0" w:type="auto"/>
          </w:tcPr>
          <w:p w14:paraId="1118065C"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lastRenderedPageBreak/>
              <w:t>6 556</w:t>
            </w:r>
          </w:p>
        </w:tc>
        <w:tc>
          <w:tcPr>
            <w:tcW w:w="0" w:type="auto"/>
          </w:tcPr>
          <w:p w14:paraId="61B8A666"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96</w:t>
            </w:r>
          </w:p>
        </w:tc>
        <w:tc>
          <w:tcPr>
            <w:tcW w:w="0" w:type="auto"/>
          </w:tcPr>
          <w:p w14:paraId="03D492FD"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10 kVA</w:t>
            </w:r>
          </w:p>
        </w:tc>
        <w:tc>
          <w:tcPr>
            <w:tcW w:w="0" w:type="auto"/>
          </w:tcPr>
          <w:p w14:paraId="0D17B806"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 xml:space="preserve">Feux encastrés bleus circulation/parking ; panneaux VOR/obligation/indication ; </w:t>
            </w:r>
            <w:r w:rsidRPr="00A53093">
              <w:rPr>
                <w:rFonts w:ascii="Times New Roman" w:hAnsi="Times New Roman" w:cs="Times New Roman"/>
              </w:rPr>
              <w:lastRenderedPageBreak/>
              <w:t>manches à vent (2 TI/unité, saturés 100 W) ; TI 150 W, 200 W, 300 W</w:t>
            </w:r>
          </w:p>
        </w:tc>
      </w:tr>
      <w:tr w:rsidR="00A53093" w:rsidRPr="00A53093" w14:paraId="6E20D8CD" w14:textId="77777777">
        <w:tc>
          <w:tcPr>
            <w:tcW w:w="0" w:type="auto"/>
          </w:tcPr>
          <w:p w14:paraId="06E7E456"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lastRenderedPageBreak/>
              <w:t>L</w:t>
            </w:r>
          </w:p>
        </w:tc>
        <w:tc>
          <w:tcPr>
            <w:tcW w:w="0" w:type="auto"/>
          </w:tcPr>
          <w:p w14:paraId="092F658D" w14:textId="77777777" w:rsidR="00097F96" w:rsidRPr="00A53093" w:rsidRDefault="00006368" w:rsidP="00A53093">
            <w:pPr>
              <w:pStyle w:val="Compact"/>
              <w:rPr>
                <w:rFonts w:ascii="Times New Roman" w:hAnsi="Times New Roman" w:cs="Times New Roman"/>
              </w:rPr>
            </w:pPr>
            <w:r w:rsidRPr="00A53093">
              <w:rPr>
                <w:rFonts w:ascii="Times New Roman" w:hAnsi="Times New Roman" w:cs="Times New Roman"/>
              </w:rPr>
              <w:t>Voies de circulation &amp; Parkings 2</w:t>
            </w:r>
          </w:p>
        </w:tc>
        <w:tc>
          <w:tcPr>
            <w:tcW w:w="0" w:type="auto"/>
          </w:tcPr>
          <w:p w14:paraId="7A578F70"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6 668</w:t>
            </w:r>
          </w:p>
        </w:tc>
        <w:tc>
          <w:tcPr>
            <w:tcW w:w="0" w:type="auto"/>
          </w:tcPr>
          <w:p w14:paraId="0C26A4E4"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96</w:t>
            </w:r>
          </w:p>
        </w:tc>
        <w:tc>
          <w:tcPr>
            <w:tcW w:w="0" w:type="auto"/>
          </w:tcPr>
          <w:p w14:paraId="41907334"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10 kVA</w:t>
            </w:r>
          </w:p>
        </w:tc>
        <w:tc>
          <w:tcPr>
            <w:tcW w:w="0" w:type="auto"/>
          </w:tcPr>
          <w:p w14:paraId="5DA06A74"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Feux encastrés bleus circulation/parking ; panneaux VOR</w:t>
            </w:r>
            <w:r w:rsidRPr="00A53093">
              <w:rPr>
                <w:rFonts w:ascii="Times New Roman" w:hAnsi="Times New Roman" w:cs="Times New Roman"/>
              </w:rPr>
              <w:t>/obligation/indication ; manches à vent (2 TI/unité, saturés 100 W) ; TI 150 W, 200 W, 300 W</w:t>
            </w:r>
          </w:p>
        </w:tc>
      </w:tr>
    </w:tbl>
    <w:p w14:paraId="7D2A298E"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rPr>
        <w:t>Deux observations se dégagent de cette vue d’ensemble. D’une part, les boucles A, B, D, E, K et L — celles qui portent le plus grand nombre de TI ou la plus grand</w:t>
      </w:r>
      <w:r w:rsidRPr="00A53093">
        <w:rPr>
          <w:rFonts w:ascii="Times New Roman" w:hAnsi="Times New Roman" w:cs="Times New Roman"/>
        </w:rPr>
        <w:t>e longueur de câble — sont alimentées par des régulateurs de 10 kVA, tandis que les boucles C, F, G, H et J, plus courtes ou plus légères en charge, sont alimentées par des régulateurs de 4 kVA. D’autre part, la dispersion du nombre de TI par boucle est co</w:t>
      </w:r>
      <w:r w:rsidRPr="00A53093">
        <w:rPr>
          <w:rFonts w:ascii="Times New Roman" w:hAnsi="Times New Roman" w:cs="Times New Roman"/>
        </w:rPr>
        <w:t xml:space="preserve">nsidérable (de 4 pour les boucles PAPI à 96 pour les boucles de circulation), ce qui se traduit, via la formule § 7.5.1.2 du STAC (cf. § I.4.2), par des seuils d’alarme d’isolement très différents d’une boucle à l’autre. Cette </w:t>
      </w:r>
      <w:r w:rsidRPr="00A53093">
        <w:rPr>
          <w:rFonts w:ascii="Times New Roman" w:hAnsi="Times New Roman" w:cs="Times New Roman"/>
          <w:b/>
        </w:rPr>
        <w:t>hétérogénéité</w:t>
      </w:r>
      <w:r w:rsidRPr="00A53093">
        <w:rPr>
          <w:rFonts w:ascii="Times New Roman" w:hAnsi="Times New Roman" w:cs="Times New Roman"/>
        </w:rPr>
        <w:t xml:space="preserve"> constitue un pa</w:t>
      </w:r>
      <w:r w:rsidRPr="00A53093">
        <w:rPr>
          <w:rFonts w:ascii="Times New Roman" w:hAnsi="Times New Roman" w:cs="Times New Roman"/>
        </w:rPr>
        <w:t>ramètre structurant pour la suite de l’étude : la signature électrique d’un défaut sera spécifique à chaque boucle, ce qui impose de calibrer individuellement les seuils et les modèles (STAC, 2021b).</w:t>
      </w:r>
    </w:p>
    <w:p w14:paraId="55891ACE"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rPr>
        <w:t>L’examen du schéma unifilaire du tableau TDBTSC1 (</w:t>
      </w:r>
      <w:r w:rsidRPr="00A53093">
        <w:rPr>
          <w:rFonts w:ascii="Times New Roman" w:hAnsi="Times New Roman" w:cs="Times New Roman"/>
          <w:b/>
        </w:rPr>
        <w:t>Figure</w:t>
      </w:r>
      <w:r w:rsidRPr="00A53093">
        <w:rPr>
          <w:rFonts w:ascii="Times New Roman" w:hAnsi="Times New Roman" w:cs="Times New Roman"/>
          <w:b/>
        </w:rPr>
        <w:t xml:space="preserve"> I-2</w:t>
      </w:r>
      <w:r w:rsidRPr="00A53093">
        <w:rPr>
          <w:rFonts w:ascii="Times New Roman" w:hAnsi="Times New Roman" w:cs="Times New Roman"/>
        </w:rPr>
        <w:t xml:space="preserve">) confirme cette organisation. Les départs individuels, protégés par disjoncteurs iC60N (courbe D, calibres 25 à 63 A), alimentent chacun un régulateur à courant constant dédié. Un jeu de barres commun </w:t>
      </w:r>
      <w:r w:rsidRPr="00A53093">
        <w:rPr>
          <w:rFonts w:ascii="Times New Roman" w:hAnsi="Times New Roman" w:cs="Times New Roman"/>
          <w:i/>
        </w:rPr>
        <w:t>sans coupure</w:t>
      </w:r>
      <w:r w:rsidRPr="00A53093">
        <w:rPr>
          <w:rFonts w:ascii="Times New Roman" w:hAnsi="Times New Roman" w:cs="Times New Roman"/>
        </w:rPr>
        <w:t xml:space="preserve"> est lui-même secouru par le réseau on</w:t>
      </w:r>
      <w:r w:rsidRPr="00A53093">
        <w:rPr>
          <w:rFonts w:ascii="Times New Roman" w:hAnsi="Times New Roman" w:cs="Times New Roman"/>
        </w:rPr>
        <w:t>dulé (ASI) et par les groupes électrogènes du site, ce qui garantit la continuité d’alimentation des régulateurs lors d’une microcoupure ou d’un basculement de source (ASECNA, s.d.-a).</w:t>
      </w:r>
    </w:p>
    <w:p w14:paraId="07D6322C" w14:textId="77777777" w:rsidR="00097F96" w:rsidRPr="00A53093" w:rsidRDefault="00006368" w:rsidP="00A53093">
      <w:pPr>
        <w:pStyle w:val="CaptionedFigure"/>
        <w:jc w:val="both"/>
        <w:rPr>
          <w:rFonts w:ascii="Times New Roman" w:hAnsi="Times New Roman" w:cs="Times New Roman"/>
        </w:rPr>
      </w:pPr>
      <w:r w:rsidRPr="00A53093">
        <w:rPr>
          <w:rFonts w:ascii="Times New Roman" w:hAnsi="Times New Roman" w:cs="Times New Roman"/>
          <w:noProof/>
        </w:rPr>
        <w:lastRenderedPageBreak/>
        <w:drawing>
          <wp:inline distT="0" distB="0" distL="0" distR="0" wp14:anchorId="292EF714" wp14:editId="09C97251">
            <wp:extent cx="5334000" cy="4000500"/>
            <wp:effectExtent l="0" t="0" r="0" b="0"/>
            <wp:docPr id="2" name="Picture" descr="Figure I-2. Schéma unifilaire simplifié du tableau TDBTSC1 alimentant les régulateurs de balisage. Chaque départ Qxx alimente un régulateur dédié à une fonction visuelle (ASECNA, s.d.-a)"/>
            <wp:cNvGraphicFramePr/>
            <a:graphic xmlns:a="http://schemas.openxmlformats.org/drawingml/2006/main">
              <a:graphicData uri="http://schemas.openxmlformats.org/drawingml/2006/picture">
                <pic:pic xmlns:pic="http://schemas.openxmlformats.org/drawingml/2006/picture">
                  <pic:nvPicPr>
                    <pic:cNvPr id="0" name="Picture" descr="images/tdbtsc1.jpg"/>
                    <pic:cNvPicPr>
                      <a:picLocks noChangeAspect="1" noChangeArrowheads="1"/>
                    </pic:cNvPicPr>
                  </pic:nvPicPr>
                  <pic:blipFill>
                    <a:blip r:embed="rId8"/>
                    <a:stretch>
                      <a:fillRect/>
                    </a:stretch>
                  </pic:blipFill>
                  <pic:spPr bwMode="auto">
                    <a:xfrm>
                      <a:off x="0" y="0"/>
                      <a:ext cx="5334000" cy="4000500"/>
                    </a:xfrm>
                    <a:prstGeom prst="rect">
                      <a:avLst/>
                    </a:prstGeom>
                    <a:noFill/>
                    <a:ln w="9525">
                      <a:noFill/>
                      <a:headEnd/>
                      <a:tailEnd/>
                    </a:ln>
                  </pic:spPr>
                </pic:pic>
              </a:graphicData>
            </a:graphic>
          </wp:inline>
        </w:drawing>
      </w:r>
    </w:p>
    <w:p w14:paraId="3F4F7396" w14:textId="77777777" w:rsidR="00097F96" w:rsidRPr="00A53093" w:rsidRDefault="00006368" w:rsidP="00A53093">
      <w:pPr>
        <w:pStyle w:val="ImageCaption"/>
        <w:jc w:val="both"/>
        <w:rPr>
          <w:rFonts w:ascii="Times New Roman" w:hAnsi="Times New Roman" w:cs="Times New Roman"/>
        </w:rPr>
      </w:pPr>
      <w:r w:rsidRPr="00A53093">
        <w:rPr>
          <w:rFonts w:ascii="Times New Roman" w:hAnsi="Times New Roman" w:cs="Times New Roman"/>
        </w:rPr>
        <w:t>Figure I-2. Schéma unifilaire simplifié du tableau TDBTSC1 alimentant les régulateurs de balisage. Chaque départ Qxx alimente un régulateur dédié à une fonction visuelle (ASECNA, s.d.-a)</w:t>
      </w:r>
    </w:p>
    <w:p w14:paraId="661224C5" w14:textId="77777777" w:rsidR="00097F96" w:rsidRPr="00A53093" w:rsidRDefault="00006368" w:rsidP="00A53093">
      <w:pPr>
        <w:pStyle w:val="Heading3"/>
        <w:jc w:val="both"/>
        <w:rPr>
          <w:rFonts w:ascii="Times New Roman" w:hAnsi="Times New Roman" w:cs="Times New Roman"/>
          <w:color w:val="auto"/>
        </w:rPr>
      </w:pPr>
      <w:bookmarkStart w:id="8" w:name="i.2.2.-éléments-constitutifs-dune-boucle"/>
      <w:bookmarkStart w:id="9" w:name="_Toc227494140"/>
      <w:r w:rsidRPr="00A53093">
        <w:rPr>
          <w:rFonts w:ascii="Times New Roman" w:hAnsi="Times New Roman" w:cs="Times New Roman"/>
          <w:color w:val="auto"/>
        </w:rPr>
        <w:t>I.2.2. Éléments constitutifs d’une boucle</w:t>
      </w:r>
      <w:bookmarkEnd w:id="8"/>
      <w:bookmarkEnd w:id="9"/>
    </w:p>
    <w:p w14:paraId="61198D41" w14:textId="77777777" w:rsidR="00097F96" w:rsidRPr="00A53093" w:rsidRDefault="00006368" w:rsidP="00A53093">
      <w:pPr>
        <w:pStyle w:val="FirstParagraph"/>
        <w:spacing w:line="360" w:lineRule="auto"/>
        <w:jc w:val="both"/>
        <w:rPr>
          <w:rFonts w:ascii="Times New Roman" w:hAnsi="Times New Roman" w:cs="Times New Roman"/>
        </w:rPr>
      </w:pPr>
      <w:r w:rsidRPr="00A53093">
        <w:rPr>
          <w:rFonts w:ascii="Times New Roman" w:hAnsi="Times New Roman" w:cs="Times New Roman"/>
        </w:rPr>
        <w:t>Une boucle de balisage form</w:t>
      </w:r>
      <w:r w:rsidRPr="00A53093">
        <w:rPr>
          <w:rFonts w:ascii="Times New Roman" w:hAnsi="Times New Roman" w:cs="Times New Roman"/>
        </w:rPr>
        <w:t>e un circuit électrique fermé dont le tracé épouse la géométrie de la zone à baliser (bord de piste, tronçon d’approche, alignement de voie de circulation). De la sortie du régulateur à sa rentrée, une boucle est physiquement constituée des éléments suivan</w:t>
      </w:r>
      <w:r w:rsidRPr="00A53093">
        <w:rPr>
          <w:rFonts w:ascii="Times New Roman" w:hAnsi="Times New Roman" w:cs="Times New Roman"/>
        </w:rPr>
        <w:t>ts.</w:t>
      </w:r>
    </w:p>
    <w:p w14:paraId="2C4CE1D6"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b/>
        </w:rPr>
        <w:t>Câble primaire haute tension.</w:t>
      </w:r>
      <w:r w:rsidRPr="00A53093">
        <w:rPr>
          <w:rFonts w:ascii="Times New Roman" w:hAnsi="Times New Roman" w:cs="Times New Roman"/>
        </w:rPr>
        <w:t xml:space="preserve"> Câble unipolaire cuivre 6 mm², isolé pour 6 kV / 10 kV selon la norme NF C 33-225 (AFNOR, 2010), posé en fourreau PVC sous tranchée à 1,00 m minimum de profondeur sous les chaussées aéronautiques. Il véhicule le courant sé</w:t>
      </w:r>
      <w:r w:rsidRPr="00A53093">
        <w:rPr>
          <w:rFonts w:ascii="Times New Roman" w:hAnsi="Times New Roman" w:cs="Times New Roman"/>
        </w:rPr>
        <w:t>rie de 6,6 A et peut porter une tension efficace allant de plusieurs centaines à plus d’un millier de volts selon la charge de la boucle.</w:t>
      </w:r>
    </w:p>
    <w:p w14:paraId="1C80A5D0"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b/>
        </w:rPr>
        <w:t>Regards de tirage.</w:t>
      </w:r>
      <w:r w:rsidRPr="00A53093">
        <w:rPr>
          <w:rFonts w:ascii="Times New Roman" w:hAnsi="Times New Roman" w:cs="Times New Roman"/>
        </w:rPr>
        <w:t xml:space="preserve"> Chambres en béton enterrées (types L0T, L1T, L4T, conformément à la légende du plan général du site</w:t>
      </w:r>
      <w:r w:rsidRPr="00A53093">
        <w:rPr>
          <w:rFonts w:ascii="Times New Roman" w:hAnsi="Times New Roman" w:cs="Times New Roman"/>
        </w:rPr>
        <w:t xml:space="preserve">), positionnées à chaque emplacement de feu et sur les changements de direction. Le pas typique est de 60 m sur les tronçons rectilignes, avec une limite </w:t>
      </w:r>
      <w:r w:rsidRPr="00A53093">
        <w:rPr>
          <w:rFonts w:ascii="Times New Roman" w:hAnsi="Times New Roman" w:cs="Times New Roman"/>
        </w:rPr>
        <w:lastRenderedPageBreak/>
        <w:t>maximale de 120 m (STAC, 2021a). Chaque regard abrite un ou plusieurs transformateurs d’isolement et l</w:t>
      </w:r>
      <w:r w:rsidRPr="00A53093">
        <w:rPr>
          <w:rFonts w:ascii="Times New Roman" w:hAnsi="Times New Roman" w:cs="Times New Roman"/>
        </w:rPr>
        <w:t>eurs connecteurs primaires débrochables (type SPKE HE6).</w:t>
      </w:r>
    </w:p>
    <w:p w14:paraId="0E65D297"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b/>
        </w:rPr>
        <w:t>Transformateurs d’isolement (TI).</w:t>
      </w:r>
      <w:r w:rsidRPr="00A53093">
        <w:rPr>
          <w:rFonts w:ascii="Times New Roman" w:hAnsi="Times New Roman" w:cs="Times New Roman"/>
        </w:rPr>
        <w:t xml:space="preserve"> Placés entre le câble primaire et chaque feu (cf. § I.4). Ils assurent simultanément l’adaptation d’impédance, la protection galvanique du feu et, surtout, la contin</w:t>
      </w:r>
      <w:r w:rsidRPr="00A53093">
        <w:rPr>
          <w:rFonts w:ascii="Times New Roman" w:hAnsi="Times New Roman" w:cs="Times New Roman"/>
        </w:rPr>
        <w:t>uité de la boucle en cas de rupture du filament ou de la LED secondaire (CEI, 2015).</w:t>
      </w:r>
    </w:p>
    <w:p w14:paraId="734C9CE8"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b/>
        </w:rPr>
        <w:t>Feux ou indicateurs visuels.</w:t>
      </w:r>
      <w:r w:rsidRPr="00A53093">
        <w:rPr>
          <w:rFonts w:ascii="Times New Roman" w:hAnsi="Times New Roman" w:cs="Times New Roman"/>
        </w:rPr>
        <w:t xml:space="preserve"> Lampes halogènes ou LED (selon la génération d’équipement), de typologie variable : feux omnidirectionnels encastrés (type LITE-08 « OCEM ») p</w:t>
      </w:r>
      <w:r w:rsidRPr="00A53093">
        <w:rPr>
          <w:rFonts w:ascii="Times New Roman" w:hAnsi="Times New Roman" w:cs="Times New Roman"/>
        </w:rPr>
        <w:t>our les voies de circulation, feux bidirectionnels surélevés de type LERE pour le bord de piste, feux LEFL pour la balle traçante, indicateurs de pente d’approche PAPI, manches à vent balisées, etc. Les puissances secondaires usuelles s’échelonnent de 8 VA</w:t>
      </w:r>
      <w:r w:rsidRPr="00A53093">
        <w:rPr>
          <w:rFonts w:ascii="Times New Roman" w:hAnsi="Times New Roman" w:cs="Times New Roman"/>
        </w:rPr>
        <w:t xml:space="preserve"> (feux encastrés LED BI) à 39 VA (feux bidirectionnels HI) et jusqu’à 150 W pour certains équipements spéciaux (OACI, 2018).</w:t>
      </w:r>
    </w:p>
    <w:p w14:paraId="5D2C5702"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b/>
        </w:rPr>
        <w:t>Parafoudres.</w:t>
      </w:r>
      <w:r w:rsidRPr="00A53093">
        <w:rPr>
          <w:rFonts w:ascii="Times New Roman" w:hAnsi="Times New Roman" w:cs="Times New Roman"/>
        </w:rPr>
        <w:t xml:space="preserve"> Installés aux extrémités de chaque boucle et parfois dans les regards intermédiaires. Leur rôle est d’écouler à la ter</w:t>
      </w:r>
      <w:r w:rsidRPr="00A53093">
        <w:rPr>
          <w:rFonts w:ascii="Times New Roman" w:hAnsi="Times New Roman" w:cs="Times New Roman"/>
        </w:rPr>
        <w:t xml:space="preserve">re les surtensions d’origine atmosphérique, fréquentes dans le contexte tropical du site. Un parafoudre mis en court-circuit permanent après foudroiement se traduit par une chute brutale de l’impédance vue depuis le régulateur et par un défaut d’isolement </w:t>
      </w:r>
      <w:r w:rsidRPr="00A53093">
        <w:rPr>
          <w:rFonts w:ascii="Times New Roman" w:hAnsi="Times New Roman" w:cs="Times New Roman"/>
        </w:rPr>
        <w:t>franc — un élément à prendre en compte dans le diagnostic.</w:t>
      </w:r>
    </w:p>
    <w:p w14:paraId="0912C2C5"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b/>
        </w:rPr>
        <w:t>Cosses de mise à la terre.</w:t>
      </w:r>
      <w:r w:rsidRPr="00A53093">
        <w:rPr>
          <w:rFonts w:ascii="Times New Roman" w:hAnsi="Times New Roman" w:cs="Times New Roman"/>
        </w:rPr>
        <w:t xml:space="preserve"> Le câble nu de terre 25 mm² accompagne le câble primaire tout au long de la tranchée. Chaque carcasse de feu et chaque primaire de TI y est relié, de sorte que tout défau</w:t>
      </w:r>
      <w:r w:rsidRPr="00A53093">
        <w:rPr>
          <w:rFonts w:ascii="Times New Roman" w:hAnsi="Times New Roman" w:cs="Times New Roman"/>
        </w:rPr>
        <w:t>t d’isolement se traduit par une fuite de courant à la terre, mesurable depuis le régulateur.</w:t>
      </w:r>
    </w:p>
    <w:p w14:paraId="2FC6A748" w14:textId="77777777" w:rsidR="00097F96" w:rsidRPr="00A53093" w:rsidRDefault="00006368" w:rsidP="00A53093">
      <w:pPr>
        <w:pStyle w:val="Heading2"/>
        <w:jc w:val="both"/>
        <w:rPr>
          <w:rFonts w:ascii="Times New Roman" w:hAnsi="Times New Roman" w:cs="Times New Roman"/>
          <w:color w:val="auto"/>
        </w:rPr>
      </w:pPr>
      <w:bookmarkStart w:id="10" w:name="X85c9637bdf50dafb757e91ace14ce06ad6cc4d8"/>
      <w:bookmarkStart w:id="11" w:name="_Toc227494141"/>
      <w:r w:rsidRPr="00A53093">
        <w:rPr>
          <w:rFonts w:ascii="Times New Roman" w:hAnsi="Times New Roman" w:cs="Times New Roman"/>
          <w:color w:val="auto"/>
        </w:rPr>
        <w:t>I.3. La source d’alimentation : le régulateur DIAM4100</w:t>
      </w:r>
      <w:bookmarkEnd w:id="10"/>
      <w:bookmarkEnd w:id="11"/>
    </w:p>
    <w:p w14:paraId="730C32F8" w14:textId="77777777" w:rsidR="00097F96" w:rsidRPr="00A53093" w:rsidRDefault="00006368" w:rsidP="00A53093">
      <w:pPr>
        <w:pStyle w:val="FirstParagraph"/>
        <w:spacing w:line="360" w:lineRule="auto"/>
        <w:jc w:val="both"/>
        <w:rPr>
          <w:rFonts w:ascii="Times New Roman" w:hAnsi="Times New Roman" w:cs="Times New Roman"/>
        </w:rPr>
      </w:pPr>
      <w:r w:rsidRPr="00A53093">
        <w:rPr>
          <w:rFonts w:ascii="Times New Roman" w:hAnsi="Times New Roman" w:cs="Times New Roman"/>
        </w:rPr>
        <w:t>Chaque boucle de balisage décrite au § I.2 est alimentée par un régulateur à courant constant (</w:t>
      </w:r>
      <w:r w:rsidRPr="00A53093">
        <w:rPr>
          <w:rFonts w:ascii="Times New Roman" w:hAnsi="Times New Roman" w:cs="Times New Roman"/>
          <w:i/>
        </w:rPr>
        <w:t>Constant Cur</w:t>
      </w:r>
      <w:r w:rsidRPr="00A53093">
        <w:rPr>
          <w:rFonts w:ascii="Times New Roman" w:hAnsi="Times New Roman" w:cs="Times New Roman"/>
          <w:i/>
        </w:rPr>
        <w:t>rent Regulator</w:t>
      </w:r>
      <w:r w:rsidRPr="00A53093">
        <w:rPr>
          <w:rFonts w:ascii="Times New Roman" w:hAnsi="Times New Roman" w:cs="Times New Roman"/>
        </w:rPr>
        <w:t xml:space="preserve">, CCR). Sur le site d’étude, l’ensemble des RCC sont des </w:t>
      </w:r>
      <w:r w:rsidRPr="00A53093">
        <w:rPr>
          <w:rFonts w:ascii="Times New Roman" w:hAnsi="Times New Roman" w:cs="Times New Roman"/>
          <w:b/>
        </w:rPr>
        <w:t>DIAM4100</w:t>
      </w:r>
      <w:r w:rsidRPr="00A53093">
        <w:rPr>
          <w:rFonts w:ascii="Times New Roman" w:hAnsi="Times New Roman" w:cs="Times New Roman"/>
        </w:rPr>
        <w:t xml:space="preserve"> de marque OCEM Airfield Technology (division d’Augier Energy), dans leurs calibres 4 kVA et 10 kVA (OCEM/Augier Energy, 2020). Cet équipement joue un rôle pivot dans notre étud</w:t>
      </w:r>
      <w:r w:rsidRPr="00A53093">
        <w:rPr>
          <w:rFonts w:ascii="Times New Roman" w:hAnsi="Times New Roman" w:cs="Times New Roman"/>
        </w:rPr>
        <w:t>e : il est à la fois la source électrique dont on surveille la signature, et potentiellement le siège physique de la solution de mesure envisagée.</w:t>
      </w:r>
    </w:p>
    <w:p w14:paraId="360C4EAD" w14:textId="77777777" w:rsidR="00097F96" w:rsidRPr="00A53093" w:rsidRDefault="00006368" w:rsidP="00A53093">
      <w:pPr>
        <w:pStyle w:val="Heading3"/>
        <w:jc w:val="both"/>
        <w:rPr>
          <w:rFonts w:ascii="Times New Roman" w:hAnsi="Times New Roman" w:cs="Times New Roman"/>
          <w:color w:val="auto"/>
        </w:rPr>
      </w:pPr>
      <w:bookmarkStart w:id="12" w:name="X12c3acea62b17a48b5059e6d86e67ee9e5516fb"/>
      <w:bookmarkStart w:id="13" w:name="_Toc227494142"/>
      <w:r w:rsidRPr="00A53093">
        <w:rPr>
          <w:rFonts w:ascii="Times New Roman" w:hAnsi="Times New Roman" w:cs="Times New Roman"/>
          <w:color w:val="auto"/>
        </w:rPr>
        <w:lastRenderedPageBreak/>
        <w:t>I.3.1. Caractéristiques de sortie : le courant constant 6,6 A</w:t>
      </w:r>
      <w:bookmarkEnd w:id="12"/>
      <w:bookmarkEnd w:id="13"/>
    </w:p>
    <w:p w14:paraId="113322FC" w14:textId="77777777" w:rsidR="00097F96" w:rsidRPr="00A53093" w:rsidRDefault="00006368" w:rsidP="00A53093">
      <w:pPr>
        <w:pStyle w:val="FirstParagraph"/>
        <w:spacing w:line="360" w:lineRule="auto"/>
        <w:jc w:val="both"/>
        <w:rPr>
          <w:rFonts w:ascii="Times New Roman" w:hAnsi="Times New Roman" w:cs="Times New Roman"/>
        </w:rPr>
      </w:pPr>
      <w:r w:rsidRPr="00A53093">
        <w:rPr>
          <w:rFonts w:ascii="Times New Roman" w:hAnsi="Times New Roman" w:cs="Times New Roman"/>
        </w:rPr>
        <w:t>Le DIAM4100 se distingue des sources d’alimenta</w:t>
      </w:r>
      <w:r w:rsidRPr="00A53093">
        <w:rPr>
          <w:rFonts w:ascii="Times New Roman" w:hAnsi="Times New Roman" w:cs="Times New Roman"/>
        </w:rPr>
        <w:t xml:space="preserve">tion usuelles par le fait qu’il régule un </w:t>
      </w:r>
      <w:r w:rsidRPr="00A53093">
        <w:rPr>
          <w:rFonts w:ascii="Times New Roman" w:hAnsi="Times New Roman" w:cs="Times New Roman"/>
          <w:b/>
        </w:rPr>
        <w:t>courant de sortie constant</w:t>
      </w:r>
      <w:r w:rsidRPr="00A53093">
        <w:rPr>
          <w:rFonts w:ascii="Times New Roman" w:hAnsi="Times New Roman" w:cs="Times New Roman"/>
        </w:rPr>
        <w:t>, et non une tension. Sa valeur nominale est strictement fixée à 6,6 A efficaces, conformément aux normes CEI 61822 (CEI, 2014) et FAA L-828 / L-829. Cette valeur n’est pas arbitraire : el</w:t>
      </w:r>
      <w:r w:rsidRPr="00A53093">
        <w:rPr>
          <w:rFonts w:ascii="Times New Roman" w:hAnsi="Times New Roman" w:cs="Times New Roman"/>
        </w:rPr>
        <w:t>le correspond au courant nominal des lampes halogènes historiquement utilisées dans le balisage aéronautique, à l’époque où la régulation visuelle (contrôle de l’intensité lumineuse perçue par le pilote) s’effectuait en modifiant directement le courant d’a</w:t>
      </w:r>
      <w:r w:rsidRPr="00A53093">
        <w:rPr>
          <w:rFonts w:ascii="Times New Roman" w:hAnsi="Times New Roman" w:cs="Times New Roman"/>
        </w:rPr>
        <w:t xml:space="preserve">limentation. Le DIAM4100 conserve cette convention en proposant jusqu’à huit paliers de brillance (B0 à B7), B0 étant un courant </w:t>
      </w:r>
      <w:r w:rsidRPr="00A53093">
        <w:rPr>
          <w:rFonts w:ascii="Times New Roman" w:hAnsi="Times New Roman" w:cs="Times New Roman"/>
          <w:i/>
        </w:rPr>
        <w:t>black current</w:t>
      </w:r>
      <w:r w:rsidRPr="00A53093">
        <w:rPr>
          <w:rFonts w:ascii="Times New Roman" w:hAnsi="Times New Roman" w:cs="Times New Roman"/>
        </w:rPr>
        <w:t xml:space="preserve"> de chauffage (1,8 A) et B7 le courant nominal maximum de 6,6 A (OCEM/Augier Energy, 2020).</w:t>
      </w:r>
    </w:p>
    <w:p w14:paraId="71D1D2BE"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rPr>
        <w:t>La régulation de ce co</w:t>
      </w:r>
      <w:r w:rsidRPr="00A53093">
        <w:rPr>
          <w:rFonts w:ascii="Times New Roman" w:hAnsi="Times New Roman" w:cs="Times New Roman"/>
        </w:rPr>
        <w:t>urant est assurée avec une précision meilleure que ± 100 mA pour des variations de la tension d’alimentation allant de −10 % à +10 % (type CEI) et pour une charge variant de 0 à 100 % de la puissance nominale. Cette précision est obtenue grâce à une mesure</w:t>
      </w:r>
      <w:r w:rsidRPr="00A53093">
        <w:rPr>
          <w:rFonts w:ascii="Times New Roman" w:hAnsi="Times New Roman" w:cs="Times New Roman"/>
        </w:rPr>
        <w:t xml:space="preserve"> en ligne par capteur à effet Hall et à une boucle de régulation numérique implantée dans le DSP (</w:t>
      </w:r>
      <w:r w:rsidRPr="00A53093">
        <w:rPr>
          <w:rFonts w:ascii="Times New Roman" w:hAnsi="Times New Roman" w:cs="Times New Roman"/>
          <w:i/>
        </w:rPr>
        <w:t>Digital Signal Processor</w:t>
      </w:r>
      <w:r w:rsidRPr="00A53093">
        <w:rPr>
          <w:rFonts w:ascii="Times New Roman" w:hAnsi="Times New Roman" w:cs="Times New Roman"/>
        </w:rPr>
        <w:t>) de la carte de contrôle (OCEM/Augier Energy, 2020).</w:t>
      </w:r>
    </w:p>
    <w:p w14:paraId="198EC1E1"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i/>
        </w:rPr>
        <w:t>Conséquence pour notre étude.</w:t>
      </w:r>
      <w:r w:rsidRPr="00A53093">
        <w:rPr>
          <w:rFonts w:ascii="Times New Roman" w:hAnsi="Times New Roman" w:cs="Times New Roman"/>
        </w:rPr>
        <w:t xml:space="preserve"> Toute mesure à fréquence industrielle effectuée su</w:t>
      </w:r>
      <w:r w:rsidRPr="00A53093">
        <w:rPr>
          <w:rFonts w:ascii="Times New Roman" w:hAnsi="Times New Roman" w:cs="Times New Roman"/>
        </w:rPr>
        <w:t xml:space="preserve">r une boucle en fonctionnement l’est à courant d’amplitude connue et stabilisée. Le courant n’étant jamais une grandeur libre, notre surveillance prédictive devra s’appuyer sur la </w:t>
      </w:r>
      <w:r w:rsidRPr="00A53093">
        <w:rPr>
          <w:rFonts w:ascii="Times New Roman" w:hAnsi="Times New Roman" w:cs="Times New Roman"/>
          <w:b/>
        </w:rPr>
        <w:t>tension</w:t>
      </w:r>
      <w:r w:rsidRPr="00A53093">
        <w:rPr>
          <w:rFonts w:ascii="Times New Roman" w:hAnsi="Times New Roman" w:cs="Times New Roman"/>
        </w:rPr>
        <w:t xml:space="preserve"> (qui est, elle, fonction de la charge) ou sur la </w:t>
      </w:r>
      <w:r w:rsidRPr="00A53093">
        <w:rPr>
          <w:rFonts w:ascii="Times New Roman" w:hAnsi="Times New Roman" w:cs="Times New Roman"/>
          <w:b/>
        </w:rPr>
        <w:t>signature spectrale</w:t>
      </w:r>
      <w:r w:rsidRPr="00A53093">
        <w:rPr>
          <w:rFonts w:ascii="Times New Roman" w:hAnsi="Times New Roman" w:cs="Times New Roman"/>
          <w:b/>
        </w:rPr>
        <w:t xml:space="preserve"> du courant</w:t>
      </w:r>
      <w:r w:rsidRPr="00A53093">
        <w:rPr>
          <w:rFonts w:ascii="Times New Roman" w:hAnsi="Times New Roman" w:cs="Times New Roman"/>
        </w:rPr>
        <w:t xml:space="preserve"> (qui est fonction de l’état de la charge).</w:t>
      </w:r>
    </w:p>
    <w:p w14:paraId="14B09C26" w14:textId="77777777" w:rsidR="00097F96" w:rsidRPr="00A53093" w:rsidRDefault="00006368" w:rsidP="00A53093">
      <w:pPr>
        <w:pStyle w:val="Heading3"/>
        <w:jc w:val="both"/>
        <w:rPr>
          <w:rFonts w:ascii="Times New Roman" w:hAnsi="Times New Roman" w:cs="Times New Roman"/>
          <w:color w:val="auto"/>
        </w:rPr>
      </w:pPr>
      <w:bookmarkStart w:id="14" w:name="X515b38a2d64f41bbae1a293677debd4086958b8"/>
      <w:bookmarkStart w:id="15" w:name="_Toc227494143"/>
      <w:r w:rsidRPr="00A53093">
        <w:rPr>
          <w:rFonts w:ascii="Times New Roman" w:hAnsi="Times New Roman" w:cs="Times New Roman"/>
          <w:color w:val="auto"/>
        </w:rPr>
        <w:t>I.3.2. Dynamique de tension : un paramètre libre et informatif</w:t>
      </w:r>
      <w:bookmarkEnd w:id="14"/>
      <w:bookmarkEnd w:id="15"/>
    </w:p>
    <w:p w14:paraId="56631540" w14:textId="77777777" w:rsidR="00097F96" w:rsidRPr="00A53093" w:rsidRDefault="00006368" w:rsidP="00A53093">
      <w:pPr>
        <w:pStyle w:val="FirstParagraph"/>
        <w:spacing w:line="360" w:lineRule="auto"/>
        <w:jc w:val="both"/>
        <w:rPr>
          <w:rFonts w:ascii="Times New Roman" w:hAnsi="Times New Roman" w:cs="Times New Roman"/>
        </w:rPr>
      </w:pPr>
      <w:r w:rsidRPr="00A53093">
        <w:rPr>
          <w:rFonts w:ascii="Times New Roman" w:hAnsi="Times New Roman" w:cs="Times New Roman"/>
        </w:rPr>
        <w:t>Le corollaire direct de la régulation en courant est que la tension aux bornes de sortie du régulateur n’est pas constante : elle s’ajuste</w:t>
      </w:r>
      <w:r w:rsidRPr="00A53093">
        <w:rPr>
          <w:rFonts w:ascii="Times New Roman" w:hAnsi="Times New Roman" w:cs="Times New Roman"/>
        </w:rPr>
        <w:t xml:space="preserve"> automatiquement pour maintenir le courant imposé dans la boucle. La tension de régime permanent d’une boucle donnée dépend donc de l’impédance globale vue du régulateur, laquelle est fonction du nombre de feux allumés, de la longueur du câble et de l’état</w:t>
      </w:r>
      <w:r w:rsidRPr="00A53093">
        <w:rPr>
          <w:rFonts w:ascii="Times New Roman" w:hAnsi="Times New Roman" w:cs="Times New Roman"/>
        </w:rPr>
        <w:t xml:space="preserve"> diélectrique du réseau.</w:t>
      </w:r>
    </w:p>
    <w:p w14:paraId="323321FA"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rPr>
        <w:t>À courant fixé à 6,6 A, la tension de sortie nominale d’un régulateur est directement proportionnelle à son calibre, selon la relation :</w:t>
      </w:r>
    </w:p>
    <w:p w14:paraId="6EAB329C" w14:textId="77777777" w:rsidR="00097F96" w:rsidRPr="00A53093" w:rsidRDefault="00006368" w:rsidP="00A53093">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m:rPr>
                  <m:nor/>
                </m:rPr>
                <w:rPr>
                  <w:rFonts w:ascii="Times New Roman" w:hAnsi="Times New Roman" w:cs="Times New Roman"/>
                </w:rPr>
                <m:t>nom</m:t>
              </m:r>
            </m:sub>
          </m:sSub>
          <m:r>
            <w:rPr>
              <w:rFonts w:ascii="Cambria Math" w:hAnsi="Cambria Math" w:cs="Times New Roman"/>
            </w:rPr>
            <m:t> </m:t>
          </m:r>
          <m: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rég</m:t>
                  </m:r>
                </m:sub>
              </m:sSub>
            </m:num>
            <m:den>
              <m:sSub>
                <m:sSubPr>
                  <m:ctrlPr>
                    <w:rPr>
                      <w:rFonts w:ascii="Cambria Math" w:hAnsi="Cambria Math" w:cs="Times New Roman"/>
                    </w:rPr>
                  </m:ctrlPr>
                </m:sSubPr>
                <m:e>
                  <m:r>
                    <w:rPr>
                      <w:rFonts w:ascii="Cambria Math" w:hAnsi="Cambria Math" w:cs="Times New Roman"/>
                    </w:rPr>
                    <m:t>I</m:t>
                  </m:r>
                </m:e>
                <m:sub>
                  <m:r>
                    <m:rPr>
                      <m:nor/>
                    </m:rPr>
                    <w:rPr>
                      <w:rFonts w:ascii="Times New Roman" w:hAnsi="Times New Roman" w:cs="Times New Roman"/>
                    </w:rPr>
                    <m:t>nom</m:t>
                  </m:r>
                </m:sub>
              </m:sSub>
            </m:den>
          </m:f>
          <m:r>
            <w:rPr>
              <w:rFonts w:ascii="Cambria Math" w:hAnsi="Cambria Math" w:cs="Times New Roman"/>
            </w:rPr>
            <m:t>  </m:t>
          </m:r>
          <m:r>
            <w:rPr>
              <w:rFonts w:ascii="Cambria Math" w:hAnsi="Cambria Math" w:cs="Times New Roman"/>
            </w:rPr>
            <m:t>(</m:t>
          </m:r>
          <m:r>
            <m:rPr>
              <m:sty m:val="p"/>
            </m:rPr>
            <w:rPr>
              <w:rFonts w:ascii="Cambria Math" w:hAnsi="Cambria Math" w:cs="Times New Roman"/>
            </w:rPr>
            <m:t>I.1</m:t>
          </m:r>
          <m:r>
            <w:rPr>
              <w:rFonts w:ascii="Cambria Math" w:hAnsi="Cambria Math" w:cs="Times New Roman"/>
            </w:rPr>
            <m:t>)</m:t>
          </m:r>
        </m:oMath>
      </m:oMathPara>
    </w:p>
    <w:p w14:paraId="38C16CC1" w14:textId="77777777" w:rsidR="00097F96" w:rsidRPr="00A53093" w:rsidRDefault="00006368" w:rsidP="00A53093">
      <w:pPr>
        <w:pStyle w:val="FirstParagraph"/>
        <w:spacing w:line="360" w:lineRule="auto"/>
        <w:jc w:val="both"/>
        <w:rPr>
          <w:rFonts w:ascii="Times New Roman" w:hAnsi="Times New Roman" w:cs="Times New Roman"/>
        </w:rPr>
      </w:pPr>
      <w:proofErr w:type="gramStart"/>
      <w:r w:rsidRPr="00A53093">
        <w:rPr>
          <w:rFonts w:ascii="Times New Roman" w:hAnsi="Times New Roman" w:cs="Times New Roman"/>
        </w:rPr>
        <w:lastRenderedPageBreak/>
        <w:t>où</w:t>
      </w:r>
      <w:proofErr w:type="gramEnd"/>
      <w:r w:rsidRPr="00A5309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rég</m:t>
            </m:r>
          </m:sub>
        </m:sSub>
      </m:oMath>
      <w:r w:rsidRPr="00A53093">
        <w:rPr>
          <w:rFonts w:ascii="Times New Roman" w:hAnsi="Times New Roman" w:cs="Times New Roman"/>
        </w:rPr>
        <w:t xml:space="preserve"> </w:t>
      </w:r>
      <w:r w:rsidRPr="00A53093">
        <w:rPr>
          <w:rFonts w:ascii="Times New Roman" w:hAnsi="Times New Roman" w:cs="Times New Roman"/>
        </w:rPr>
        <w:t xml:space="preserve">désigne la puissance apparente nominale du régulateur et </w:t>
      </w:r>
      <m:oMath>
        <m:sSub>
          <m:sSubPr>
            <m:ctrlPr>
              <w:rPr>
                <w:rFonts w:ascii="Cambria Math" w:hAnsi="Cambria Math" w:cs="Times New Roman"/>
              </w:rPr>
            </m:ctrlPr>
          </m:sSubPr>
          <m:e>
            <m:r>
              <w:rPr>
                <w:rFonts w:ascii="Cambria Math" w:hAnsi="Cambria Math" w:cs="Times New Roman"/>
              </w:rPr>
              <m:t>I</m:t>
            </m:r>
          </m:e>
          <m:sub>
            <m:r>
              <m:rPr>
                <m:nor/>
              </m:rPr>
              <w:rPr>
                <w:rFonts w:ascii="Times New Roman" w:hAnsi="Times New Roman" w:cs="Times New Roman"/>
              </w:rPr>
              <m:t>nom</m:t>
            </m:r>
          </m:sub>
        </m:sSub>
        <m:r>
          <w:rPr>
            <w:rFonts w:ascii="Cambria Math" w:hAnsi="Cambria Math" w:cs="Times New Roman"/>
          </w:rPr>
          <m:t>=6,6 </m:t>
        </m:r>
        <m:r>
          <m:rPr>
            <m:sty m:val="p"/>
          </m:rPr>
          <w:rPr>
            <w:rFonts w:ascii="Cambria Math" w:hAnsi="Cambria Math" w:cs="Times New Roman"/>
          </w:rPr>
          <m:t>A</m:t>
        </m:r>
      </m:oMath>
      <w:r w:rsidRPr="00A53093">
        <w:rPr>
          <w:rFonts w:ascii="Times New Roman" w:hAnsi="Times New Roman" w:cs="Times New Roman"/>
        </w:rPr>
        <w:t xml:space="preserve">. Le </w:t>
      </w:r>
      <w:r w:rsidRPr="00A53093">
        <w:rPr>
          <w:rFonts w:ascii="Times New Roman" w:hAnsi="Times New Roman" w:cs="Times New Roman"/>
          <w:b/>
        </w:rPr>
        <w:t>Tableau I-2</w:t>
      </w:r>
      <w:r w:rsidRPr="00A53093">
        <w:rPr>
          <w:rFonts w:ascii="Times New Roman" w:hAnsi="Times New Roman" w:cs="Times New Roman"/>
        </w:rPr>
        <w:t xml:space="preserve"> explicite cette relation pour les deux calibres rencontrés sur le site.</w:t>
      </w:r>
    </w:p>
    <w:p w14:paraId="6F75F91C" w14:textId="77777777" w:rsidR="00097F96" w:rsidRPr="00A53093" w:rsidRDefault="00006368" w:rsidP="00A53093">
      <w:pPr>
        <w:pStyle w:val="TableCaption"/>
        <w:jc w:val="both"/>
        <w:rPr>
          <w:rFonts w:ascii="Times New Roman" w:hAnsi="Times New Roman" w:cs="Times New Roman"/>
        </w:rPr>
      </w:pPr>
      <w:r w:rsidRPr="00A53093">
        <w:rPr>
          <w:rFonts w:ascii="Times New Roman" w:hAnsi="Times New Roman" w:cs="Times New Roman"/>
        </w:rPr>
        <w:t>Tableau I-2. Calibres de régulateur DIAM4100 effectivement installés sur le site et tensions nomina</w:t>
      </w:r>
      <w:r w:rsidRPr="00A53093">
        <w:rPr>
          <w:rFonts w:ascii="Times New Roman" w:hAnsi="Times New Roman" w:cs="Times New Roman"/>
        </w:rPr>
        <w:t>les de sortie associées à 6,6 A. Les valeurs 606 V (4 kVA) et 1 515 V (10 kVA) constituent les repères de dimensionnement des dispositifs de mesure en amont ou aux bornes du régulateur (OCEM/Augier Energy, 2020).</w:t>
      </w:r>
    </w:p>
    <w:tbl>
      <w:tblPr>
        <w:tblStyle w:val="Table"/>
        <w:tblW w:w="5000" w:type="pct"/>
        <w:tblLook w:val="07E0" w:firstRow="1" w:lastRow="1" w:firstColumn="1" w:lastColumn="1" w:noHBand="1" w:noVBand="1"/>
      </w:tblPr>
      <w:tblGrid>
        <w:gridCol w:w="1918"/>
        <w:gridCol w:w="1199"/>
        <w:gridCol w:w="6505"/>
      </w:tblGrid>
      <w:tr w:rsidR="00A53093" w:rsidRPr="00A53093" w14:paraId="24D1CD5D" w14:textId="77777777">
        <w:tc>
          <w:tcPr>
            <w:tcW w:w="0" w:type="auto"/>
            <w:tcBorders>
              <w:bottom w:val="single" w:sz="0" w:space="0" w:color="auto"/>
            </w:tcBorders>
            <w:vAlign w:val="bottom"/>
          </w:tcPr>
          <w:p w14:paraId="1BE28E93" w14:textId="77777777" w:rsidR="00097F96" w:rsidRPr="00A53093" w:rsidRDefault="00006368" w:rsidP="00A53093">
            <w:pPr>
              <w:pStyle w:val="Compact"/>
              <w:rPr>
                <w:rFonts w:ascii="Times New Roman" w:hAnsi="Times New Roman" w:cs="Times New Roman"/>
              </w:rPr>
            </w:pPr>
            <w:r w:rsidRPr="00A53093">
              <w:rPr>
                <w:rFonts w:ascii="Times New Roman" w:hAnsi="Times New Roman" w:cs="Times New Roman"/>
              </w:rPr>
              <w:t>Calibre du régulateur</w:t>
            </w:r>
          </w:p>
        </w:tc>
        <w:tc>
          <w:tcPr>
            <w:tcW w:w="0" w:type="auto"/>
            <w:tcBorders>
              <w:bottom w:val="single" w:sz="0" w:space="0" w:color="auto"/>
            </w:tcBorders>
            <w:vAlign w:val="bottom"/>
          </w:tcPr>
          <w:p w14:paraId="5D846A5A" w14:textId="77777777" w:rsidR="00097F96" w:rsidRPr="00A53093" w:rsidRDefault="00006368" w:rsidP="00A53093">
            <w:pPr>
              <w:pStyle w:val="Compact"/>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U</m:t>
                  </m:r>
                </m:e>
                <m:sub>
                  <m:r>
                    <m:rPr>
                      <m:nor/>
                    </m:rPr>
                    <w:rPr>
                      <w:rFonts w:ascii="Times New Roman" w:hAnsi="Times New Roman" w:cs="Times New Roman"/>
                    </w:rPr>
                    <m:t>nom</m:t>
                  </m:r>
                </m:sub>
              </m:sSub>
            </m:oMath>
            <w:r w:rsidRPr="00A53093">
              <w:rPr>
                <w:rFonts w:ascii="Times New Roman" w:hAnsi="Times New Roman" w:cs="Times New Roman"/>
              </w:rPr>
              <w:t xml:space="preserve"> </w:t>
            </w:r>
            <w:proofErr w:type="gramStart"/>
            <w:r w:rsidRPr="00A53093">
              <w:rPr>
                <w:rFonts w:ascii="Times New Roman" w:hAnsi="Times New Roman" w:cs="Times New Roman"/>
              </w:rPr>
              <w:t>à</w:t>
            </w:r>
            <w:proofErr w:type="gramEnd"/>
            <w:r w:rsidRPr="00A53093">
              <w:rPr>
                <w:rFonts w:ascii="Times New Roman" w:hAnsi="Times New Roman" w:cs="Times New Roman"/>
              </w:rPr>
              <w:t xml:space="preserve"> 6,6 A</w:t>
            </w:r>
          </w:p>
        </w:tc>
        <w:tc>
          <w:tcPr>
            <w:tcW w:w="0" w:type="auto"/>
            <w:tcBorders>
              <w:bottom w:val="single" w:sz="0" w:space="0" w:color="auto"/>
            </w:tcBorders>
            <w:vAlign w:val="bottom"/>
          </w:tcPr>
          <w:p w14:paraId="3BF0ED71"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Boucles</w:t>
            </w:r>
            <w:r w:rsidRPr="00A53093">
              <w:rPr>
                <w:rFonts w:ascii="Times New Roman" w:hAnsi="Times New Roman" w:cs="Times New Roman"/>
              </w:rPr>
              <w:t xml:space="preserve"> concernées sur le site</w:t>
            </w:r>
          </w:p>
        </w:tc>
      </w:tr>
      <w:tr w:rsidR="00A53093" w:rsidRPr="00A53093" w14:paraId="17E9F2BD" w14:textId="77777777" w:rsidTr="00A53093">
        <w:trPr>
          <w:trHeight w:val="503"/>
        </w:trPr>
        <w:tc>
          <w:tcPr>
            <w:tcW w:w="0" w:type="auto"/>
          </w:tcPr>
          <w:p w14:paraId="1FC01CF0"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4 kVA</w:t>
            </w:r>
          </w:p>
        </w:tc>
        <w:tc>
          <w:tcPr>
            <w:tcW w:w="0" w:type="auto"/>
          </w:tcPr>
          <w:p w14:paraId="2822E6D9"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 606 V</w:t>
            </w:r>
          </w:p>
        </w:tc>
        <w:tc>
          <w:tcPr>
            <w:tcW w:w="0" w:type="auto"/>
          </w:tcPr>
          <w:p w14:paraId="5DFEED7E"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C (Approche BI), F &amp; G (Seuil/Extrémité), H &amp; J (PAPI)</w:t>
            </w:r>
          </w:p>
        </w:tc>
      </w:tr>
      <w:tr w:rsidR="00A53093" w:rsidRPr="00A53093" w14:paraId="3D784036" w14:textId="77777777">
        <w:tc>
          <w:tcPr>
            <w:tcW w:w="0" w:type="auto"/>
          </w:tcPr>
          <w:p w14:paraId="0511E8B9"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10 kVA</w:t>
            </w:r>
          </w:p>
        </w:tc>
        <w:tc>
          <w:tcPr>
            <w:tcW w:w="0" w:type="auto"/>
          </w:tcPr>
          <w:p w14:paraId="1B19AD31"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 1 515 V</w:t>
            </w:r>
          </w:p>
        </w:tc>
        <w:tc>
          <w:tcPr>
            <w:tcW w:w="0" w:type="auto"/>
          </w:tcPr>
          <w:p w14:paraId="4315FC2E"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A &amp; B (Approche HI), D &amp; E (Bord de piste), K &amp; L (Voies de circulation et Parkings)</w:t>
            </w:r>
          </w:p>
        </w:tc>
      </w:tr>
    </w:tbl>
    <w:p w14:paraId="494426BE"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rPr>
        <w:t>En pratique, la tension réelle s’écarte en permanence de cette valeur nominale. Elle évolue sous l’effet de plusieurs facteurs : le nombre de lampes grillées (un secondai</w:t>
      </w:r>
      <w:r w:rsidRPr="00A53093">
        <w:rPr>
          <w:rFonts w:ascii="Times New Roman" w:hAnsi="Times New Roman" w:cs="Times New Roman"/>
        </w:rPr>
        <w:t>re en court-circuit via un TI défaillant réduit l’impédance d’une cellule, abaissant légèrement la tension globale), la température du câble, les variations naturelles de la résistance d’isolement avec l’humidité et le vieillissement, ou encore les commuta</w:t>
      </w:r>
      <w:r w:rsidRPr="00A53093">
        <w:rPr>
          <w:rFonts w:ascii="Times New Roman" w:hAnsi="Times New Roman" w:cs="Times New Roman"/>
        </w:rPr>
        <w:t xml:space="preserve">tions d’autres boucles voisines. Cette tension est donc, de fait, </w:t>
      </w:r>
      <w:r w:rsidRPr="00A53093">
        <w:rPr>
          <w:rFonts w:ascii="Times New Roman" w:hAnsi="Times New Roman" w:cs="Times New Roman"/>
          <w:b/>
        </w:rPr>
        <w:t>porteuse d’information</w:t>
      </w:r>
      <w:r w:rsidRPr="00A53093">
        <w:rPr>
          <w:rFonts w:ascii="Times New Roman" w:hAnsi="Times New Roman" w:cs="Times New Roman"/>
        </w:rPr>
        <w:t xml:space="preserve"> sur l’état du réseau.</w:t>
      </w:r>
    </w:p>
    <w:p w14:paraId="568F19AB" w14:textId="77777777" w:rsidR="00097F96" w:rsidRPr="00A53093" w:rsidRDefault="00006368" w:rsidP="00A53093">
      <w:pPr>
        <w:pStyle w:val="Heading3"/>
        <w:jc w:val="both"/>
        <w:rPr>
          <w:rFonts w:ascii="Times New Roman" w:hAnsi="Times New Roman" w:cs="Times New Roman"/>
          <w:color w:val="auto"/>
        </w:rPr>
      </w:pPr>
      <w:bookmarkStart w:id="16" w:name="Xac78980332bd3a1d8d1a551865d48e9b00e8385"/>
      <w:bookmarkStart w:id="17" w:name="_Toc227494144"/>
      <w:r w:rsidRPr="00A53093">
        <w:rPr>
          <w:rFonts w:ascii="Times New Roman" w:hAnsi="Times New Roman" w:cs="Times New Roman"/>
          <w:color w:val="auto"/>
        </w:rPr>
        <w:t>I.3.3. Principe de régulation : le hacheur à thyristors</w:t>
      </w:r>
      <w:bookmarkEnd w:id="16"/>
      <w:bookmarkEnd w:id="17"/>
    </w:p>
    <w:p w14:paraId="4AD89C5F" w14:textId="77777777" w:rsidR="00097F96" w:rsidRPr="00A53093" w:rsidRDefault="00006368" w:rsidP="00A53093">
      <w:pPr>
        <w:pStyle w:val="FirstParagraph"/>
        <w:spacing w:line="360" w:lineRule="auto"/>
        <w:jc w:val="both"/>
        <w:rPr>
          <w:rFonts w:ascii="Times New Roman" w:hAnsi="Times New Roman" w:cs="Times New Roman"/>
        </w:rPr>
      </w:pPr>
      <w:r w:rsidRPr="00A53093">
        <w:rPr>
          <w:rFonts w:ascii="Times New Roman" w:hAnsi="Times New Roman" w:cs="Times New Roman"/>
        </w:rPr>
        <w:t>Le DIAM4100 appartient à la famille des régulateurs SCR monophasés (</w:t>
      </w:r>
      <w:r w:rsidRPr="00A53093">
        <w:rPr>
          <w:rFonts w:ascii="Times New Roman" w:hAnsi="Times New Roman" w:cs="Times New Roman"/>
          <w:i/>
        </w:rPr>
        <w:t>Silicon Controlled Re</w:t>
      </w:r>
      <w:r w:rsidRPr="00A53093">
        <w:rPr>
          <w:rFonts w:ascii="Times New Roman" w:hAnsi="Times New Roman" w:cs="Times New Roman"/>
          <w:i/>
        </w:rPr>
        <w:t>ctifier</w:t>
      </w:r>
      <w:r w:rsidRPr="00A53093">
        <w:rPr>
          <w:rFonts w:ascii="Times New Roman" w:hAnsi="Times New Roman" w:cs="Times New Roman"/>
        </w:rPr>
        <w:t xml:space="preserve"> — thyristors). Son architecture de puissance est volontairement simple : le réseau monophasé d’entrée (220 / 230 / 240 / 380 / 400 / 415 V, 45–66 Hz) alimente, via un contacteur principal, un variateur à deux thyristors montés en anti-parallèle. Ce</w:t>
      </w:r>
      <w:r w:rsidRPr="00A53093">
        <w:rPr>
          <w:rFonts w:ascii="Times New Roman" w:hAnsi="Times New Roman" w:cs="Times New Roman"/>
        </w:rPr>
        <w:t xml:space="preserve"> variateur module la tension appliquée au primaire d’un transformateur d’adaptation basse tension / haute tension (BT/HT), dont le secondaire débite dans la boucle de balisage. La </w:t>
      </w:r>
      <w:r w:rsidRPr="00A53093">
        <w:rPr>
          <w:rFonts w:ascii="Times New Roman" w:hAnsi="Times New Roman" w:cs="Times New Roman"/>
          <w:b/>
        </w:rPr>
        <w:t>Figure I-3</w:t>
      </w:r>
      <w:r w:rsidRPr="00A53093">
        <w:rPr>
          <w:rFonts w:ascii="Times New Roman" w:hAnsi="Times New Roman" w:cs="Times New Roman"/>
        </w:rPr>
        <w:t xml:space="preserve"> résume, sous forme synoptique, cette architecture.</w:t>
      </w:r>
    </w:p>
    <w:p w14:paraId="72F3CDE3" w14:textId="77777777" w:rsidR="00097F96" w:rsidRPr="00A53093" w:rsidRDefault="00006368" w:rsidP="00A53093">
      <w:pPr>
        <w:pStyle w:val="CaptionedFigure"/>
        <w:jc w:val="both"/>
        <w:rPr>
          <w:rFonts w:ascii="Times New Roman" w:hAnsi="Times New Roman" w:cs="Times New Roman"/>
        </w:rPr>
      </w:pPr>
      <w:r w:rsidRPr="00A53093">
        <w:rPr>
          <w:rFonts w:ascii="Times New Roman" w:hAnsi="Times New Roman" w:cs="Times New Roman"/>
          <w:noProof/>
        </w:rPr>
        <w:lastRenderedPageBreak/>
        <w:drawing>
          <wp:inline distT="0" distB="0" distL="0" distR="0" wp14:anchorId="10333BCF" wp14:editId="6F2D54F7">
            <wp:extent cx="5838825" cy="3590925"/>
            <wp:effectExtent l="0" t="0" r="0" b="0"/>
            <wp:docPr id="3" name="Picture" descr="Figure I-3. Schéma synoptique du régulateur à courant constant DIAM4100 : étage de puissance (contacteur, gradateur à thyristors, transformateur élévateur HT) et étage de contrôle (unité DSP, capteur de courant à effet Hall, interface MODBUS, détecteur de défaut d’isolement embarqué). Adapté d’OCEM/Augier Energy (2020)"/>
            <wp:cNvGraphicFramePr/>
            <a:graphic xmlns:a="http://schemas.openxmlformats.org/drawingml/2006/main">
              <a:graphicData uri="http://schemas.openxmlformats.org/drawingml/2006/picture">
                <pic:pic xmlns:pic="http://schemas.openxmlformats.org/drawingml/2006/picture">
                  <pic:nvPicPr>
                    <pic:cNvPr id="0" name="Picture" descr="assets/rcc_synoptic.png"/>
                    <pic:cNvPicPr>
                      <a:picLocks noChangeAspect="1" noChangeArrowheads="1"/>
                    </pic:cNvPicPr>
                  </pic:nvPicPr>
                  <pic:blipFill>
                    <a:blip r:embed="rId9"/>
                    <a:stretch>
                      <a:fillRect/>
                    </a:stretch>
                  </pic:blipFill>
                  <pic:spPr bwMode="auto">
                    <a:xfrm>
                      <a:off x="0" y="0"/>
                      <a:ext cx="5839041" cy="3591058"/>
                    </a:xfrm>
                    <a:prstGeom prst="rect">
                      <a:avLst/>
                    </a:prstGeom>
                    <a:noFill/>
                    <a:ln w="9525">
                      <a:noFill/>
                      <a:headEnd/>
                      <a:tailEnd/>
                    </a:ln>
                  </pic:spPr>
                </pic:pic>
              </a:graphicData>
            </a:graphic>
          </wp:inline>
        </w:drawing>
      </w:r>
    </w:p>
    <w:p w14:paraId="0E2E7474" w14:textId="77777777" w:rsidR="00097F96" w:rsidRPr="00A53093" w:rsidRDefault="00006368" w:rsidP="00A53093">
      <w:pPr>
        <w:pStyle w:val="ImageCaption"/>
        <w:jc w:val="both"/>
        <w:rPr>
          <w:rFonts w:ascii="Times New Roman" w:hAnsi="Times New Roman" w:cs="Times New Roman"/>
        </w:rPr>
      </w:pPr>
      <w:r w:rsidRPr="00A53093">
        <w:rPr>
          <w:rFonts w:ascii="Times New Roman" w:hAnsi="Times New Roman" w:cs="Times New Roman"/>
        </w:rPr>
        <w:t xml:space="preserve">Figure I-3. </w:t>
      </w:r>
      <w:r w:rsidRPr="00A53093">
        <w:rPr>
          <w:rFonts w:ascii="Times New Roman" w:hAnsi="Times New Roman" w:cs="Times New Roman"/>
        </w:rPr>
        <w:t>Schéma synoptique du régulateur à courant constant DIAM4100 : étage de puissance (contacteur, gradateur à thyristors, transformateur élévateur HT) et étage de contrôle (unité DSP, capteur de courant à effet Hall, interface MODBUS, détecteur de défaut d’iso</w:t>
      </w:r>
      <w:r w:rsidRPr="00A53093">
        <w:rPr>
          <w:rFonts w:ascii="Times New Roman" w:hAnsi="Times New Roman" w:cs="Times New Roman"/>
        </w:rPr>
        <w:t>lement embarqué). Adapté d’OCEM/Augier Energy (2020)</w:t>
      </w:r>
    </w:p>
    <w:p w14:paraId="27364AB4"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rPr>
        <w:t xml:space="preserve">Le principe de régulation est celui du </w:t>
      </w:r>
      <w:r w:rsidRPr="00A53093">
        <w:rPr>
          <w:rFonts w:ascii="Times New Roman" w:hAnsi="Times New Roman" w:cs="Times New Roman"/>
          <w:b/>
        </w:rPr>
        <w:t>contrôle par angle de phase</w:t>
      </w:r>
      <w:r w:rsidRPr="00A53093">
        <w:rPr>
          <w:rFonts w:ascii="Times New Roman" w:hAnsi="Times New Roman" w:cs="Times New Roman"/>
        </w:rPr>
        <w:t xml:space="preserve"> (</w:t>
      </w:r>
      <w:r w:rsidRPr="00A53093">
        <w:rPr>
          <w:rFonts w:ascii="Times New Roman" w:hAnsi="Times New Roman" w:cs="Times New Roman"/>
          <w:i/>
        </w:rPr>
        <w:t>phase-angle control</w:t>
      </w:r>
      <w:r w:rsidRPr="00A53093">
        <w:rPr>
          <w:rFonts w:ascii="Times New Roman" w:hAnsi="Times New Roman" w:cs="Times New Roman"/>
        </w:rPr>
        <w:t>) : à chaque demi-alternance du réseau, les thyristors sont amorcés à un instant calculé par la boucle de régulation</w:t>
      </w:r>
      <w:r w:rsidRPr="00A53093">
        <w:rPr>
          <w:rFonts w:ascii="Times New Roman" w:hAnsi="Times New Roman" w:cs="Times New Roman"/>
        </w:rPr>
        <w:t xml:space="preserve"> numérique pour que le courant efficace mesuré à la sortie soit égal à la consigne de brillance. Le courant dans la charge n’est donc plus une sinusoïde pure ; il prend la forme de portions de sinusoïde hachées, dont l’angle de conduction dépend à la fois </w:t>
      </w:r>
      <w:r w:rsidRPr="00A53093">
        <w:rPr>
          <w:rFonts w:ascii="Times New Roman" w:hAnsi="Times New Roman" w:cs="Times New Roman"/>
        </w:rPr>
        <w:t>de la consigne de courant et de la charge présente sur la boucle.</w:t>
      </w:r>
    </w:p>
    <w:p w14:paraId="68DC9695"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rPr>
        <w:t xml:space="preserve">Ce découpage introduit mécaniquement une </w:t>
      </w:r>
      <w:r w:rsidRPr="00A53093">
        <w:rPr>
          <w:rFonts w:ascii="Times New Roman" w:hAnsi="Times New Roman" w:cs="Times New Roman"/>
          <w:b/>
        </w:rPr>
        <w:t>distorsion harmonique</w:t>
      </w:r>
      <w:r w:rsidRPr="00A53093">
        <w:rPr>
          <w:rFonts w:ascii="Times New Roman" w:hAnsi="Times New Roman" w:cs="Times New Roman"/>
        </w:rPr>
        <w:t xml:space="preserve"> du courant et de la tension de sortie. Le spectre contient, outre le fondamental à 50 Hz, les rangs impairs caractéristiques (3</w:t>
      </w:r>
      <w:r w:rsidRPr="00A53093">
        <w:rPr>
          <w:rFonts w:ascii="Times New Roman" w:hAnsi="Times New Roman" w:cs="Times New Roman"/>
        </w:rPr>
        <w:t xml:space="preserve">, 5, 7, 9, 11…) dont l’amplitude relative dépend de l’angle d’amorçage ; des rangs pairs peuvent également apparaître en présence de non-linéarités (arcs, parafoudres détériorés, défauts d’isolement capacitifs). Cette « pollution » harmonique n’est pas un </w:t>
      </w:r>
      <w:r w:rsidRPr="00A53093">
        <w:rPr>
          <w:rFonts w:ascii="Times New Roman" w:hAnsi="Times New Roman" w:cs="Times New Roman"/>
        </w:rPr>
        <w:t xml:space="preserve">parasite à supprimer, mais un </w:t>
      </w:r>
      <w:r w:rsidRPr="00A53093">
        <w:rPr>
          <w:rFonts w:ascii="Times New Roman" w:hAnsi="Times New Roman" w:cs="Times New Roman"/>
          <w:b/>
        </w:rPr>
        <w:t>vecteur d’information</w:t>
      </w:r>
      <w:r w:rsidRPr="00A53093">
        <w:rPr>
          <w:rFonts w:ascii="Times New Roman" w:hAnsi="Times New Roman" w:cs="Times New Roman"/>
        </w:rPr>
        <w:t xml:space="preserve"> : la signature spectrale reflète directement l’état électromécanique de la chaîne complète (régulateur, câble, TI, feux, défauts éventuels). Le traitement mathématique associé — décomposition de Fourier d</w:t>
      </w:r>
      <w:r w:rsidRPr="00A53093">
        <w:rPr>
          <w:rFonts w:ascii="Times New Roman" w:hAnsi="Times New Roman" w:cs="Times New Roman"/>
        </w:rPr>
        <w:t xml:space="preserve">u courant, taux de distorsion harmonique (THD) et </w:t>
      </w:r>
      <w:r w:rsidRPr="00A53093">
        <w:rPr>
          <w:rFonts w:ascii="Times New Roman" w:hAnsi="Times New Roman" w:cs="Times New Roman"/>
        </w:rPr>
        <w:lastRenderedPageBreak/>
        <w:t xml:space="preserve">indicateurs dérivés — est formalisé au </w:t>
      </w:r>
      <w:r w:rsidRPr="00A53093">
        <w:rPr>
          <w:rFonts w:ascii="Times New Roman" w:hAnsi="Times New Roman" w:cs="Times New Roman"/>
          <w:b/>
        </w:rPr>
        <w:t>§ II.3.1</w:t>
      </w:r>
      <w:r w:rsidRPr="00A53093">
        <w:rPr>
          <w:rFonts w:ascii="Times New Roman" w:hAnsi="Times New Roman" w:cs="Times New Roman"/>
        </w:rPr>
        <w:t xml:space="preserve"> de l’état de l’art, où il est situé par rapport aux autres familles d’analyse spectrale.</w:t>
      </w:r>
    </w:p>
    <w:p w14:paraId="7189BEFF"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rPr>
        <w:t>Le constructeur précise par ailleurs que la commande des thyristors n’émet pas d’interférence mesurable dans la bande aéronautique 100–400 MHz (OCEM/Augier Energy, 2020) ; les harmoniques exploitées dans la suite du mémoire se situent en très basse fréquen</w:t>
      </w:r>
      <w:r w:rsidRPr="00A53093">
        <w:rPr>
          <w:rFonts w:ascii="Times New Roman" w:hAnsi="Times New Roman" w:cs="Times New Roman"/>
        </w:rPr>
        <w:t>ce (au plus quelques centaines de hertz).</w:t>
      </w:r>
    </w:p>
    <w:p w14:paraId="4C7139EB" w14:textId="77777777" w:rsidR="00097F96" w:rsidRPr="00A53093" w:rsidRDefault="00006368" w:rsidP="00A53093">
      <w:pPr>
        <w:pStyle w:val="Heading3"/>
        <w:jc w:val="both"/>
        <w:rPr>
          <w:rFonts w:ascii="Times New Roman" w:hAnsi="Times New Roman" w:cs="Times New Roman"/>
          <w:color w:val="auto"/>
        </w:rPr>
      </w:pPr>
      <w:bookmarkStart w:id="18" w:name="i.3.4.-la-surveillance-embarquée"/>
      <w:bookmarkStart w:id="19" w:name="_Toc227494145"/>
      <w:r w:rsidRPr="00A53093">
        <w:rPr>
          <w:rFonts w:ascii="Times New Roman" w:hAnsi="Times New Roman" w:cs="Times New Roman"/>
          <w:color w:val="auto"/>
        </w:rPr>
        <w:t>I.3.4. La surveillance embarquée</w:t>
      </w:r>
      <w:bookmarkEnd w:id="18"/>
      <w:bookmarkEnd w:id="19"/>
    </w:p>
    <w:p w14:paraId="2EC7BAD3" w14:textId="77777777" w:rsidR="00097F96" w:rsidRPr="00A53093" w:rsidRDefault="00006368" w:rsidP="00A53093">
      <w:pPr>
        <w:pStyle w:val="FirstParagraph"/>
        <w:spacing w:line="360" w:lineRule="auto"/>
        <w:jc w:val="both"/>
        <w:rPr>
          <w:rFonts w:ascii="Times New Roman" w:hAnsi="Times New Roman" w:cs="Times New Roman"/>
        </w:rPr>
      </w:pPr>
      <w:r w:rsidRPr="00A53093">
        <w:rPr>
          <w:rFonts w:ascii="Times New Roman" w:hAnsi="Times New Roman" w:cs="Times New Roman"/>
        </w:rPr>
        <w:t xml:space="preserve">Le DIAM4100 intègre nativement plusieurs fonctions de surveillance et de diagnostic, accessibles depuis son afficheur local (VFD 16 × 140 points) et retransmises à distance via ses </w:t>
      </w:r>
      <w:r w:rsidRPr="00A53093">
        <w:rPr>
          <w:rFonts w:ascii="Times New Roman" w:hAnsi="Times New Roman" w:cs="Times New Roman"/>
          <w:i/>
        </w:rPr>
        <w:t>dry contacts</w:t>
      </w:r>
      <w:r w:rsidRPr="00A53093">
        <w:rPr>
          <w:rFonts w:ascii="Times New Roman" w:hAnsi="Times New Roman" w:cs="Times New Roman"/>
        </w:rPr>
        <w:t xml:space="preserve"> et son interface MODBUS TCP / RS-485. Les grandeurs suivantes sont disponibles en temps réel dans le menu </w:t>
      </w:r>
      <w:r w:rsidRPr="00A53093">
        <w:rPr>
          <w:rFonts w:ascii="Times New Roman" w:hAnsi="Times New Roman" w:cs="Times New Roman"/>
          <w:i/>
        </w:rPr>
        <w:t>Monitoring</w:t>
      </w:r>
      <w:r w:rsidRPr="00A53093">
        <w:rPr>
          <w:rFonts w:ascii="Times New Roman" w:hAnsi="Times New Roman" w:cs="Times New Roman"/>
        </w:rPr>
        <w:t xml:space="preserve"> : courant efficace dans la boucle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o</m:t>
            </m:r>
          </m:sub>
        </m:sSub>
      </m:oMath>
      <w:r w:rsidRPr="00A53093">
        <w:rPr>
          <w:rFonts w:ascii="Times New Roman" w:hAnsi="Times New Roman" w:cs="Times New Roman"/>
        </w:rPr>
        <w:t>, en A rms), tension efficace aux bornes de sortie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sub>
        </m:sSub>
      </m:oMath>
      <w:r w:rsidRPr="00A53093">
        <w:rPr>
          <w:rFonts w:ascii="Times New Roman" w:hAnsi="Times New Roman" w:cs="Times New Roman"/>
        </w:rPr>
        <w:t>, en V rms), puissance apparent</w:t>
      </w:r>
      <w:r w:rsidRPr="00A53093">
        <w:rPr>
          <w:rFonts w:ascii="Times New Roman" w:hAnsi="Times New Roman" w:cs="Times New Roman"/>
        </w:rPr>
        <w:t>e de sortie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o</m:t>
            </m:r>
          </m:sub>
        </m:sSub>
      </m:oMath>
      <w:r w:rsidRPr="00A53093">
        <w:rPr>
          <w:rFonts w:ascii="Times New Roman" w:hAnsi="Times New Roman" w:cs="Times New Roman"/>
        </w:rPr>
        <w:t>, en kVA), tension et courant d’alimentation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A5309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sub>
        </m:sSub>
      </m:oMath>
      <w:r w:rsidRPr="00A53093">
        <w:rPr>
          <w:rFonts w:ascii="Times New Roman" w:hAnsi="Times New Roman" w:cs="Times New Roman"/>
        </w:rPr>
        <w:t>), position de la prise d’adaptation de charge (</w:t>
      </w:r>
      <w:r w:rsidRPr="00A53093">
        <w:rPr>
          <w:rFonts w:ascii="Times New Roman" w:hAnsi="Times New Roman" w:cs="Times New Roman"/>
          <w:i/>
        </w:rPr>
        <w:t>tap</w:t>
      </w:r>
      <w:r w:rsidRPr="00A53093">
        <w:rPr>
          <w:rFonts w:ascii="Times New Roman" w:hAnsi="Times New Roman" w:cs="Times New Roman"/>
        </w:rPr>
        <w:t>, 0 à 8/8, par pas de 12,5 %) et temps cumulé de fonctionnement, global et par palier de brillance (OCEM/Augier Energy, 2020).</w:t>
      </w:r>
    </w:p>
    <w:p w14:paraId="3F56EAF2" w14:textId="77777777" w:rsidR="00097F96" w:rsidRPr="00A53093" w:rsidRDefault="00006368" w:rsidP="00A53093">
      <w:pPr>
        <w:pStyle w:val="BodyText"/>
        <w:spacing w:line="360" w:lineRule="auto"/>
        <w:jc w:val="both"/>
        <w:rPr>
          <w:rFonts w:ascii="Times New Roman" w:hAnsi="Times New Roman" w:cs="Times New Roman"/>
        </w:rPr>
      </w:pPr>
      <w:r w:rsidRPr="00A53093">
        <w:rPr>
          <w:rFonts w:ascii="Times New Roman" w:hAnsi="Times New Roman" w:cs="Times New Roman"/>
        </w:rPr>
        <w:t xml:space="preserve">À ce monitoring de base s’ajoutent deux fonctions optionnelles de diagnostic qui définissent la référence industrielle embarquée </w:t>
      </w:r>
      <w:r w:rsidRPr="00A53093">
        <w:rPr>
          <w:rFonts w:ascii="Times New Roman" w:hAnsi="Times New Roman" w:cs="Times New Roman"/>
        </w:rPr>
        <w:t>sur cet équipement :</w:t>
      </w:r>
    </w:p>
    <w:p w14:paraId="04802BE5" w14:textId="1AF6F543" w:rsidR="00097F96" w:rsidRPr="00A53093" w:rsidRDefault="00A53093" w:rsidP="00A53093">
      <w:pPr>
        <w:pStyle w:val="Compact"/>
        <w:numPr>
          <w:ilvl w:val="0"/>
          <w:numId w:val="2"/>
        </w:numPr>
        <w:spacing w:line="360" w:lineRule="auto"/>
        <w:jc w:val="both"/>
        <w:rPr>
          <w:rFonts w:ascii="Times New Roman" w:hAnsi="Times New Roman" w:cs="Times New Roman"/>
        </w:rPr>
      </w:pPr>
      <w:r w:rsidRPr="00A53093">
        <w:rPr>
          <w:rFonts w:ascii="Times New Roman" w:hAnsi="Times New Roman" w:cs="Times New Roman"/>
        </w:rPr>
        <w:t>Le</w:t>
      </w:r>
      <w:r w:rsidR="00006368" w:rsidRPr="00A53093">
        <w:rPr>
          <w:rFonts w:ascii="Times New Roman" w:hAnsi="Times New Roman" w:cs="Times New Roman"/>
        </w:rPr>
        <w:t xml:space="preserve"> </w:t>
      </w:r>
      <w:r w:rsidR="00006368" w:rsidRPr="00A53093">
        <w:rPr>
          <w:rFonts w:ascii="Times New Roman" w:hAnsi="Times New Roman" w:cs="Times New Roman"/>
          <w:b/>
        </w:rPr>
        <w:t>détecteur de défaut à la terre</w:t>
      </w:r>
      <w:r w:rsidR="00006368" w:rsidRPr="00A53093">
        <w:rPr>
          <w:rFonts w:ascii="Times New Roman" w:hAnsi="Times New Roman" w:cs="Times New Roman"/>
        </w:rPr>
        <w:t xml:space="preserve"> (EFD, </w:t>
      </w:r>
      <w:r w:rsidR="00006368" w:rsidRPr="00A53093">
        <w:rPr>
          <w:rFonts w:ascii="Times New Roman" w:hAnsi="Times New Roman" w:cs="Times New Roman"/>
          <w:i/>
        </w:rPr>
        <w:t>Earth Fault Detector</w:t>
      </w:r>
      <w:r w:rsidR="00006368" w:rsidRPr="00A53093">
        <w:rPr>
          <w:rFonts w:ascii="Times New Roman" w:hAnsi="Times New Roman" w:cs="Times New Roman"/>
        </w:rPr>
        <w:t>), qui mesure la résistance d’isolement de la boucle par injection d’une tension continue de 500 V à un point bas du circuit. Son principe, sa plage de mesure et ses deux seui</w:t>
      </w:r>
      <w:r w:rsidR="00006368" w:rsidRPr="00A53093">
        <w:rPr>
          <w:rFonts w:ascii="Times New Roman" w:hAnsi="Times New Roman" w:cs="Times New Roman"/>
        </w:rPr>
        <w:t xml:space="preserve">ls paramétrables sont analysés en détail, avec leurs limites opérationnelles, au </w:t>
      </w:r>
      <w:r w:rsidR="00006368" w:rsidRPr="00A53093">
        <w:rPr>
          <w:rFonts w:ascii="Times New Roman" w:hAnsi="Times New Roman" w:cs="Times New Roman"/>
          <w:b/>
        </w:rPr>
        <w:t>§ II.2.1</w:t>
      </w:r>
      <w:r w:rsidR="00006368" w:rsidRPr="00A53093">
        <w:rPr>
          <w:rFonts w:ascii="Times New Roman" w:hAnsi="Times New Roman" w:cs="Times New Roman"/>
        </w:rPr>
        <w:t xml:space="preserve"> de l’état de l’art ;</w:t>
      </w:r>
    </w:p>
    <w:p w14:paraId="4420ABD6" w14:textId="1C21AB27" w:rsidR="00097F96" w:rsidRPr="00A53093" w:rsidRDefault="00A53093" w:rsidP="00A53093">
      <w:pPr>
        <w:pStyle w:val="Compact"/>
        <w:numPr>
          <w:ilvl w:val="0"/>
          <w:numId w:val="2"/>
        </w:numPr>
        <w:spacing w:line="360" w:lineRule="auto"/>
        <w:jc w:val="both"/>
        <w:rPr>
          <w:rFonts w:ascii="Times New Roman" w:hAnsi="Times New Roman" w:cs="Times New Roman"/>
        </w:rPr>
      </w:pPr>
      <w:r w:rsidRPr="00A53093">
        <w:rPr>
          <w:rFonts w:ascii="Times New Roman" w:hAnsi="Times New Roman" w:cs="Times New Roman"/>
        </w:rPr>
        <w:t>Le</w:t>
      </w:r>
      <w:r w:rsidR="00006368" w:rsidRPr="00A53093">
        <w:rPr>
          <w:rFonts w:ascii="Times New Roman" w:hAnsi="Times New Roman" w:cs="Times New Roman"/>
        </w:rPr>
        <w:t xml:space="preserve"> </w:t>
      </w:r>
      <w:r w:rsidR="00006368" w:rsidRPr="00A53093">
        <w:rPr>
          <w:rFonts w:ascii="Times New Roman" w:hAnsi="Times New Roman" w:cs="Times New Roman"/>
          <w:b/>
        </w:rPr>
        <w:t>détecteur de lampe défaillante</w:t>
      </w:r>
      <w:r w:rsidR="00006368" w:rsidRPr="00A53093">
        <w:rPr>
          <w:rFonts w:ascii="Times New Roman" w:hAnsi="Times New Roman" w:cs="Times New Roman"/>
        </w:rPr>
        <w:t xml:space="preserve"> (LFD, </w:t>
      </w:r>
      <w:r w:rsidR="00006368" w:rsidRPr="00A53093">
        <w:rPr>
          <w:rFonts w:ascii="Times New Roman" w:hAnsi="Times New Roman" w:cs="Times New Roman"/>
          <w:i/>
        </w:rPr>
        <w:t>Lamp Fault Detector</w:t>
      </w:r>
      <w:r w:rsidR="00006368" w:rsidRPr="00A53093">
        <w:rPr>
          <w:rFonts w:ascii="Times New Roman" w:hAnsi="Times New Roman" w:cs="Times New Roman"/>
        </w:rPr>
        <w:t>), qui exploite le déphasage tension-courant pour estimer le nombre de lampes hors ser</w:t>
      </w:r>
      <w:r w:rsidR="00006368" w:rsidRPr="00A53093">
        <w:rPr>
          <w:rFonts w:ascii="Times New Roman" w:hAnsi="Times New Roman" w:cs="Times New Roman"/>
        </w:rPr>
        <w:t xml:space="preserve">vice à l’échelle de la boucle. Son principe et ses limites sont discutés au </w:t>
      </w:r>
      <w:r w:rsidR="00006368" w:rsidRPr="00A53093">
        <w:rPr>
          <w:rFonts w:ascii="Times New Roman" w:hAnsi="Times New Roman" w:cs="Times New Roman"/>
          <w:b/>
        </w:rPr>
        <w:t>§ II.2.2</w:t>
      </w:r>
      <w:r w:rsidR="00006368" w:rsidRPr="00A53093">
        <w:rPr>
          <w:rFonts w:ascii="Times New Roman" w:hAnsi="Times New Roman" w:cs="Times New Roman"/>
        </w:rPr>
        <w:t>.</w:t>
      </w:r>
    </w:p>
    <w:p w14:paraId="346CFAB3" w14:textId="77777777" w:rsidR="00097F96" w:rsidRPr="00A53093" w:rsidRDefault="00006368" w:rsidP="00A53093">
      <w:pPr>
        <w:pStyle w:val="FirstParagraph"/>
        <w:spacing w:line="360" w:lineRule="auto"/>
        <w:jc w:val="both"/>
        <w:rPr>
          <w:rFonts w:ascii="Times New Roman" w:hAnsi="Times New Roman" w:cs="Times New Roman"/>
        </w:rPr>
      </w:pPr>
      <w:r w:rsidRPr="00A53093">
        <w:rPr>
          <w:rFonts w:ascii="Times New Roman" w:hAnsi="Times New Roman" w:cs="Times New Roman"/>
        </w:rPr>
        <w:t xml:space="preserve">Deux points factuels méritent d’être retenus pour la suite. </w:t>
      </w:r>
      <w:r w:rsidRPr="00A53093">
        <w:rPr>
          <w:rFonts w:ascii="Times New Roman" w:hAnsi="Times New Roman" w:cs="Times New Roman"/>
          <w:i/>
        </w:rPr>
        <w:t>Primo</w:t>
      </w:r>
      <w:r w:rsidRPr="00A53093">
        <w:rPr>
          <w:rFonts w:ascii="Times New Roman" w:hAnsi="Times New Roman" w:cs="Times New Roman"/>
        </w:rPr>
        <w:t xml:space="preserve">, la surveillance native ainsi fournie est une surveillance </w:t>
      </w:r>
      <w:r w:rsidRPr="00A53093">
        <w:rPr>
          <w:rFonts w:ascii="Times New Roman" w:hAnsi="Times New Roman" w:cs="Times New Roman"/>
          <w:b/>
        </w:rPr>
        <w:t>de seuil</w:t>
      </w:r>
      <w:r w:rsidRPr="00A53093">
        <w:rPr>
          <w:rFonts w:ascii="Times New Roman" w:hAnsi="Times New Roman" w:cs="Times New Roman"/>
        </w:rPr>
        <w:t xml:space="preserve"> : elle signale qu’une grandeur (rési</w:t>
      </w:r>
      <w:r w:rsidRPr="00A53093">
        <w:rPr>
          <w:rFonts w:ascii="Times New Roman" w:hAnsi="Times New Roman" w:cs="Times New Roman"/>
        </w:rPr>
        <w:t xml:space="preserve">stance d’isolement, nombre de lampes hors service) a franchi un niveau convenu, sans anticiper l’évolution de cette grandeur avant le franchissement et sans localiser la source du défaut le long de la boucle. </w:t>
      </w:r>
      <w:r w:rsidRPr="00A53093">
        <w:rPr>
          <w:rFonts w:ascii="Times New Roman" w:hAnsi="Times New Roman" w:cs="Times New Roman"/>
          <w:i/>
        </w:rPr>
        <w:t>Secundo</w:t>
      </w:r>
      <w:r w:rsidRPr="00A53093">
        <w:rPr>
          <w:rFonts w:ascii="Times New Roman" w:hAnsi="Times New Roman" w:cs="Times New Roman"/>
        </w:rPr>
        <w:t xml:space="preserve">, elle ne discrimine pas la </w:t>
      </w:r>
      <w:r w:rsidRPr="00A53093">
        <w:rPr>
          <w:rFonts w:ascii="Times New Roman" w:hAnsi="Times New Roman" w:cs="Times New Roman"/>
          <w:b/>
        </w:rPr>
        <w:t>nature physi</w:t>
      </w:r>
      <w:r w:rsidRPr="00A53093">
        <w:rPr>
          <w:rFonts w:ascii="Times New Roman" w:hAnsi="Times New Roman" w:cs="Times New Roman"/>
          <w:b/>
        </w:rPr>
        <w:t>que</w:t>
      </w:r>
      <w:r w:rsidRPr="00A53093">
        <w:rPr>
          <w:rFonts w:ascii="Times New Roman" w:hAnsi="Times New Roman" w:cs="Times New Roman"/>
        </w:rPr>
        <w:t xml:space="preserve"> du défaut (humidité, vieillissement </w:t>
      </w:r>
      <w:r w:rsidRPr="00A53093">
        <w:rPr>
          <w:rFonts w:ascii="Times New Roman" w:hAnsi="Times New Roman" w:cs="Times New Roman"/>
        </w:rPr>
        <w:lastRenderedPageBreak/>
        <w:t xml:space="preserve">diélectrique, parafoudre dégradé, isolement d’un TI compromis). Ces deux propriétés, partagées par les autres dispositifs industriels recensés au chapitre II, fixent la </w:t>
      </w:r>
      <w:r w:rsidRPr="00A53093">
        <w:rPr>
          <w:rFonts w:ascii="Times New Roman" w:hAnsi="Times New Roman" w:cs="Times New Roman"/>
          <w:b/>
        </w:rPr>
        <w:t>référence</w:t>
      </w:r>
      <w:r w:rsidRPr="00A53093">
        <w:rPr>
          <w:rFonts w:ascii="Times New Roman" w:hAnsi="Times New Roman" w:cs="Times New Roman"/>
        </w:rPr>
        <w:t xml:space="preserve"> par rapport à laquelle les approches </w:t>
      </w:r>
      <w:r w:rsidRPr="00A53093">
        <w:rPr>
          <w:rFonts w:ascii="Times New Roman" w:hAnsi="Times New Roman" w:cs="Times New Roman"/>
        </w:rPr>
        <w:t>complémentaires de la littérature seront évaluées (§ II.8) et par rapport à laquelle le travail du présent mémoire sera positionné (§ II.9).</w:t>
      </w:r>
    </w:p>
    <w:p w14:paraId="53DA6338" w14:textId="77777777" w:rsidR="00097F96" w:rsidRPr="00A53093" w:rsidRDefault="00006368" w:rsidP="00A53093">
      <w:pPr>
        <w:pStyle w:val="Heading2"/>
        <w:jc w:val="both"/>
        <w:rPr>
          <w:rFonts w:ascii="Times New Roman" w:hAnsi="Times New Roman" w:cs="Times New Roman"/>
          <w:color w:val="auto"/>
        </w:rPr>
      </w:pPr>
      <w:bookmarkStart w:id="20" w:name="Xbdd74e189c8f0c1504f3325a9c943b699dfb3b5"/>
      <w:bookmarkStart w:id="21" w:name="_Toc227494146"/>
      <w:r w:rsidRPr="00A53093">
        <w:rPr>
          <w:rFonts w:ascii="Times New Roman" w:hAnsi="Times New Roman" w:cs="Times New Roman"/>
          <w:color w:val="auto"/>
        </w:rPr>
        <w:t>I.4. La chaîne de charge : les transformateurs d’isolement (TI)</w:t>
      </w:r>
      <w:bookmarkEnd w:id="20"/>
      <w:bookmarkEnd w:id="21"/>
    </w:p>
    <w:p w14:paraId="7C1D2C0A" w14:textId="77777777" w:rsidR="00097F96" w:rsidRPr="00A53093" w:rsidRDefault="00006368" w:rsidP="00DB3A33">
      <w:pPr>
        <w:pStyle w:val="FirstParagraph"/>
        <w:spacing w:line="360" w:lineRule="auto"/>
        <w:jc w:val="both"/>
        <w:rPr>
          <w:rFonts w:ascii="Times New Roman" w:hAnsi="Times New Roman" w:cs="Times New Roman"/>
        </w:rPr>
      </w:pPr>
      <w:r w:rsidRPr="00A53093">
        <w:rPr>
          <w:rFonts w:ascii="Times New Roman" w:hAnsi="Times New Roman" w:cs="Times New Roman"/>
        </w:rPr>
        <w:t xml:space="preserve">Le transformateur d’isolement — également appelé </w:t>
      </w:r>
      <w:r w:rsidRPr="00A53093">
        <w:rPr>
          <w:rFonts w:ascii="Times New Roman" w:hAnsi="Times New Roman" w:cs="Times New Roman"/>
          <w:i/>
        </w:rPr>
        <w:t>In</w:t>
      </w:r>
      <w:r w:rsidRPr="00A53093">
        <w:rPr>
          <w:rFonts w:ascii="Times New Roman" w:hAnsi="Times New Roman" w:cs="Times New Roman"/>
          <w:i/>
        </w:rPr>
        <w:t>jection Transformer</w:t>
      </w:r>
      <w:r w:rsidRPr="00A53093">
        <w:rPr>
          <w:rFonts w:ascii="Times New Roman" w:hAnsi="Times New Roman" w:cs="Times New Roman"/>
        </w:rPr>
        <w:t xml:space="preserve"> dans la documentation OCEM — est l’élément de la boucle qui concentre à lui seul les particularités électriques du balisage série. Il est à la fois le sous-système le plus nombreux (plus de cinq cents TI pour l’ensemble des onze boucles</w:t>
      </w:r>
      <w:r w:rsidRPr="00A53093">
        <w:rPr>
          <w:rFonts w:ascii="Times New Roman" w:hAnsi="Times New Roman" w:cs="Times New Roman"/>
        </w:rPr>
        <w:t xml:space="preserve"> du site d’étude, d’après INEO/FINEO, 2021), le plus exposé aux agressions environnementales (enfoui dans un regard humide, soumis aux chocs thermiques et à la foudre) et le plus déterminant pour la physique du problème traité dans ce mémoire. Il mérite à </w:t>
      </w:r>
      <w:r w:rsidRPr="00A53093">
        <w:rPr>
          <w:rFonts w:ascii="Times New Roman" w:hAnsi="Times New Roman" w:cs="Times New Roman"/>
        </w:rPr>
        <w:t>ce titre une description détaillée.</w:t>
      </w:r>
    </w:p>
    <w:p w14:paraId="062F6D87" w14:textId="77777777" w:rsidR="00097F96" w:rsidRPr="00A53093" w:rsidRDefault="00006368" w:rsidP="00A53093">
      <w:pPr>
        <w:pStyle w:val="Heading3"/>
        <w:jc w:val="both"/>
        <w:rPr>
          <w:rFonts w:ascii="Times New Roman" w:hAnsi="Times New Roman" w:cs="Times New Roman"/>
          <w:color w:val="auto"/>
        </w:rPr>
      </w:pPr>
      <w:bookmarkStart w:id="22" w:name="Xedf0921ad62818104b0fbe345e2f4a08c5cc6ae"/>
      <w:bookmarkStart w:id="23" w:name="_Toc227494147"/>
      <w:r w:rsidRPr="00A53093">
        <w:rPr>
          <w:rFonts w:ascii="Times New Roman" w:hAnsi="Times New Roman" w:cs="Times New Roman"/>
          <w:color w:val="auto"/>
        </w:rPr>
        <w:t>I.4.1. Rôle fonctionnel : isoler, adapter, maintenir la boucle fermée</w:t>
      </w:r>
      <w:bookmarkEnd w:id="22"/>
      <w:bookmarkEnd w:id="23"/>
    </w:p>
    <w:p w14:paraId="64898B1D" w14:textId="77777777" w:rsidR="00097F96" w:rsidRPr="00A53093" w:rsidRDefault="00006368" w:rsidP="00DB3A33">
      <w:pPr>
        <w:pStyle w:val="FirstParagraph"/>
        <w:spacing w:line="360" w:lineRule="auto"/>
        <w:jc w:val="both"/>
        <w:rPr>
          <w:rFonts w:ascii="Times New Roman" w:hAnsi="Times New Roman" w:cs="Times New Roman"/>
        </w:rPr>
      </w:pPr>
      <w:r w:rsidRPr="00A53093">
        <w:rPr>
          <w:rFonts w:ascii="Times New Roman" w:hAnsi="Times New Roman" w:cs="Times New Roman"/>
        </w:rPr>
        <w:t>Le TI est un transformateur monophasé à deux enroulements, logé dans un boîtier moulé étanche déposé au fond du regard de balisage. Son primaire est i</w:t>
      </w:r>
      <w:r w:rsidRPr="00A53093">
        <w:rPr>
          <w:rFonts w:ascii="Times New Roman" w:hAnsi="Times New Roman" w:cs="Times New Roman"/>
        </w:rPr>
        <w:t>nséré en série dans la boucle à courant constant (il est donc parcouru en permanence par les 6,6 A fournis par le régulateur), tandis que son secondaire alimente localement un unique feu. Trois fonctions essentielles y sont simultanément remplies.</w:t>
      </w:r>
    </w:p>
    <w:p w14:paraId="0BAAC4C9" w14:textId="77777777" w:rsidR="00097F96" w:rsidRPr="00A53093" w:rsidRDefault="00006368" w:rsidP="00DB3A33">
      <w:pPr>
        <w:pStyle w:val="BodyText"/>
        <w:spacing w:line="360" w:lineRule="auto"/>
        <w:jc w:val="both"/>
        <w:rPr>
          <w:rFonts w:ascii="Times New Roman" w:hAnsi="Times New Roman" w:cs="Times New Roman"/>
        </w:rPr>
      </w:pPr>
      <w:r w:rsidRPr="00A53093">
        <w:rPr>
          <w:rFonts w:ascii="Times New Roman" w:hAnsi="Times New Roman" w:cs="Times New Roman"/>
          <w:b/>
        </w:rPr>
        <w:t>Isolatio</w:t>
      </w:r>
      <w:r w:rsidRPr="00A53093">
        <w:rPr>
          <w:rFonts w:ascii="Times New Roman" w:hAnsi="Times New Roman" w:cs="Times New Roman"/>
          <w:b/>
        </w:rPr>
        <w:t>n galvanique.</w:t>
      </w:r>
      <w:r w:rsidRPr="00A53093">
        <w:rPr>
          <w:rFonts w:ascii="Times New Roman" w:hAnsi="Times New Roman" w:cs="Times New Roman"/>
        </w:rPr>
        <w:t xml:space="preserve"> Le secondaire est galvaniquement isolé du primaire. Cette séparation diélectrique, typiquement tenue à 5 000 V en essai conformément au STAC (2021a), confine un éventuel défaut du feu ou de son câble secondaire (humidité dans une embase, emba</w:t>
      </w:r>
      <w:r w:rsidRPr="00A53093">
        <w:rPr>
          <w:rFonts w:ascii="Times New Roman" w:hAnsi="Times New Roman" w:cs="Times New Roman"/>
        </w:rPr>
        <w:t>se percutée par un véhicule) au seul secondaire concerné, sans remonter au primaire et donc sans faire basculer en défaut la boucle entière.</w:t>
      </w:r>
    </w:p>
    <w:p w14:paraId="314C000D" w14:textId="77777777" w:rsidR="00097F96" w:rsidRPr="00A53093" w:rsidRDefault="00006368" w:rsidP="00DB3A33">
      <w:pPr>
        <w:pStyle w:val="BodyText"/>
        <w:spacing w:line="360" w:lineRule="auto"/>
        <w:jc w:val="both"/>
        <w:rPr>
          <w:rFonts w:ascii="Times New Roman" w:hAnsi="Times New Roman" w:cs="Times New Roman"/>
        </w:rPr>
      </w:pPr>
      <w:r w:rsidRPr="00A53093">
        <w:rPr>
          <w:rFonts w:ascii="Times New Roman" w:hAnsi="Times New Roman" w:cs="Times New Roman"/>
          <w:b/>
        </w:rPr>
        <w:t>Adaptation d’impédance.</w:t>
      </w:r>
      <w:r w:rsidRPr="00A53093">
        <w:rPr>
          <w:rFonts w:ascii="Times New Roman" w:hAnsi="Times New Roman" w:cs="Times New Roman"/>
        </w:rPr>
        <w:t xml:space="preserve"> Le rapport de transformation du TI est choisi de manière à restituer au secondaire le coupl</w:t>
      </w:r>
      <w:r w:rsidRPr="00A53093">
        <w:rPr>
          <w:rFonts w:ascii="Times New Roman" w:hAnsi="Times New Roman" w:cs="Times New Roman"/>
        </w:rPr>
        <w:t xml:space="preserve">e </w:t>
      </w:r>
      <m:oMath>
        <m:r>
          <w:rPr>
            <w:rFonts w:ascii="Cambria Math" w:hAnsi="Cambria Math" w:cs="Times New Roman"/>
          </w:rPr>
          <m:t>(</m:t>
        </m:r>
        <m:r>
          <w:rPr>
            <w:rFonts w:ascii="Cambria Math" w:hAnsi="Cambria Math" w:cs="Times New Roman"/>
          </w:rPr>
          <m:t>U</m:t>
        </m:r>
        <m:r>
          <w:rPr>
            <w:rFonts w:ascii="Cambria Math" w:hAnsi="Cambria Math" w:cs="Times New Roman"/>
          </w:rPr>
          <m:t>,</m:t>
        </m:r>
        <m:r>
          <w:rPr>
            <w:rFonts w:ascii="Cambria Math" w:hAnsi="Cambria Math" w:cs="Times New Roman"/>
          </w:rPr>
          <m:t>I</m:t>
        </m:r>
        <m:r>
          <w:rPr>
            <w:rFonts w:ascii="Cambria Math" w:hAnsi="Cambria Math" w:cs="Times New Roman"/>
          </w:rPr>
          <m:t>)</m:t>
        </m:r>
      </m:oMath>
      <w:r w:rsidRPr="00A53093">
        <w:rPr>
          <w:rFonts w:ascii="Times New Roman" w:hAnsi="Times New Roman" w:cs="Times New Roman"/>
        </w:rPr>
        <w:t xml:space="preserve"> nominal du feu : une LED bord de piste consomme typiquement 39 VA à 6,6 A sous 5,9 V environ. Le primaire voit donc une impédance ramenée, limitée aux quelques ohms équivalents du feu et aux pertes du TI. C’est cette transformation qui autorise, </w:t>
      </w:r>
      <w:r w:rsidRPr="00A53093">
        <w:rPr>
          <w:rFonts w:ascii="Times New Roman" w:hAnsi="Times New Roman" w:cs="Times New Roman"/>
        </w:rPr>
        <w:t>sur une même boucle alimentée en haute tension (jusqu’à 1 515 V pour un 10 kVA), la cohabitation de plusieurs dizaines de feux travaillant individuellement à quelques volts (CEI, 2015).</w:t>
      </w:r>
    </w:p>
    <w:p w14:paraId="4BAAD2EE" w14:textId="77777777" w:rsidR="00097F96" w:rsidRPr="00A53093" w:rsidRDefault="00006368" w:rsidP="00DB3A33">
      <w:pPr>
        <w:pStyle w:val="BodyText"/>
        <w:spacing w:line="360" w:lineRule="auto"/>
        <w:jc w:val="both"/>
        <w:rPr>
          <w:rFonts w:ascii="Times New Roman" w:hAnsi="Times New Roman" w:cs="Times New Roman"/>
        </w:rPr>
      </w:pPr>
      <w:r w:rsidRPr="00A53093">
        <w:rPr>
          <w:rFonts w:ascii="Times New Roman" w:hAnsi="Times New Roman" w:cs="Times New Roman"/>
          <w:b/>
        </w:rPr>
        <w:lastRenderedPageBreak/>
        <w:t>Court-circuit automatique du secondaire en cas de défaillance de la ch</w:t>
      </w:r>
      <w:r w:rsidRPr="00A53093">
        <w:rPr>
          <w:rFonts w:ascii="Times New Roman" w:hAnsi="Times New Roman" w:cs="Times New Roman"/>
          <w:b/>
        </w:rPr>
        <w:t>arge.</w:t>
      </w:r>
      <w:r w:rsidRPr="00A53093">
        <w:rPr>
          <w:rFonts w:ascii="Times New Roman" w:hAnsi="Times New Roman" w:cs="Times New Roman"/>
        </w:rPr>
        <w:t xml:space="preserve"> Il s’agit de la propriété la plus remarquable du TI de balisage, et de celle qui assure la robustesse du système série. Lorsque la lampe ou la LED associée tombe en panne (ouverture du secondaire), le TI ne se comporte pas comme un transformateur ord</w:t>
      </w:r>
      <w:r w:rsidRPr="00A53093">
        <w:rPr>
          <w:rFonts w:ascii="Times New Roman" w:hAnsi="Times New Roman" w:cs="Times New Roman"/>
        </w:rPr>
        <w:t xml:space="preserve">inaire : grâce à sa conception </w:t>
      </w:r>
      <w:r w:rsidRPr="00A53093">
        <w:rPr>
          <w:rFonts w:ascii="Times New Roman" w:hAnsi="Times New Roman" w:cs="Times New Roman"/>
          <w:b/>
        </w:rPr>
        <w:t>saturable</w:t>
      </w:r>
      <w:r w:rsidRPr="00A53093">
        <w:rPr>
          <w:rFonts w:ascii="Times New Roman" w:hAnsi="Times New Roman" w:cs="Times New Roman"/>
        </w:rPr>
        <w:t xml:space="preserve"> (noyau magnétique dimensionné pour entrer en saturation dès que le secondaire s’ouvre), l’impédance ramenée au primaire reste faible. La boucle série continue donc de véhiculer ses 6,6 A, et les feux en amont et en </w:t>
      </w:r>
      <w:r w:rsidRPr="00A53093">
        <w:rPr>
          <w:rFonts w:ascii="Times New Roman" w:hAnsi="Times New Roman" w:cs="Times New Roman"/>
        </w:rPr>
        <w:t>aval du point défaillant restent alimentés. C’est ce principe qui fait la supériorité du balisage série sur le balisage parallèle : une ampoule grillée ne met pas hors service la totalité de la boucle.</w:t>
      </w:r>
    </w:p>
    <w:p w14:paraId="736AD6FD" w14:textId="77777777" w:rsidR="00097F96" w:rsidRPr="00A53093" w:rsidRDefault="00006368" w:rsidP="00DB3A33">
      <w:pPr>
        <w:pStyle w:val="BodyText"/>
        <w:spacing w:line="360" w:lineRule="auto"/>
        <w:jc w:val="both"/>
        <w:rPr>
          <w:rFonts w:ascii="Times New Roman" w:hAnsi="Times New Roman" w:cs="Times New Roman"/>
        </w:rPr>
      </w:pPr>
      <w:r w:rsidRPr="00A53093">
        <w:rPr>
          <w:rFonts w:ascii="Times New Roman" w:hAnsi="Times New Roman" w:cs="Times New Roman"/>
        </w:rPr>
        <w:t>La puissance active échangée au primaire d’un TI en ré</w:t>
      </w:r>
      <w:r w:rsidRPr="00A53093">
        <w:rPr>
          <w:rFonts w:ascii="Times New Roman" w:hAnsi="Times New Roman" w:cs="Times New Roman"/>
        </w:rPr>
        <w:t>gime nominal peut s’écrire, en première approximation :</w:t>
      </w:r>
    </w:p>
    <w:p w14:paraId="64C6A2A4" w14:textId="77777777" w:rsidR="00097F96" w:rsidRPr="00A53093" w:rsidRDefault="00006368" w:rsidP="00A53093">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TI, primaire</m:t>
              </m:r>
            </m:sub>
          </m:sSub>
          <m:r>
            <w:rPr>
              <w:rFonts w:ascii="Cambria Math" w:hAnsi="Cambria Math" w:cs="Times New Roman"/>
            </w:rPr>
            <m:t> </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prim</m:t>
              </m:r>
            </m:sub>
          </m:sSub>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2</m:t>
              </m:r>
            </m:sup>
          </m:sSup>
          <m:r>
            <w:rPr>
              <w:rFonts w:ascii="Cambria Math" w:hAnsi="Cambria Math" w:cs="Times New Roman"/>
            </w:rPr>
            <m:t> </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cuivre</m:t>
              </m:r>
            </m:sub>
          </m:sSub>
          <m:r>
            <w:rPr>
              <w:rFonts w:ascii="Cambria Math" w:hAnsi="Cambria Math" w:cs="Times New Roman"/>
            </w:rPr>
            <m:t> </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fer</m:t>
              </m:r>
            </m:sub>
          </m:sSub>
          <m:r>
            <w:rPr>
              <w:rFonts w:ascii="Cambria Math" w:hAnsi="Cambria Math" w:cs="Times New Roman"/>
            </w:rPr>
            <m:t>  </m:t>
          </m:r>
          <m:r>
            <w:rPr>
              <w:rFonts w:ascii="Cambria Math" w:hAnsi="Cambria Math" w:cs="Times New Roman"/>
            </w:rPr>
            <m:t>(</m:t>
          </m:r>
          <m:r>
            <m:rPr>
              <m:sty m:val="p"/>
            </m:rPr>
            <w:rPr>
              <w:rFonts w:ascii="Cambria Math" w:hAnsi="Cambria Math" w:cs="Times New Roman"/>
            </w:rPr>
            <m:t>I.2</m:t>
          </m:r>
          <m:r>
            <w:rPr>
              <w:rFonts w:ascii="Cambria Math" w:hAnsi="Cambria Math" w:cs="Times New Roman"/>
            </w:rPr>
            <m:t>)</m:t>
          </m:r>
        </m:oMath>
      </m:oMathPara>
    </w:p>
    <w:p w14:paraId="335A5BCC" w14:textId="77777777" w:rsidR="00097F96" w:rsidRPr="00A53093" w:rsidRDefault="00006368" w:rsidP="00DB3A33">
      <w:pPr>
        <w:pStyle w:val="FirstParagraph"/>
        <w:spacing w:line="360" w:lineRule="auto"/>
        <w:jc w:val="both"/>
        <w:rPr>
          <w:rFonts w:ascii="Times New Roman" w:hAnsi="Times New Roman" w:cs="Times New Roman"/>
        </w:rPr>
      </w:pPr>
      <w:proofErr w:type="gramStart"/>
      <w:r w:rsidRPr="00A53093">
        <w:rPr>
          <w:rFonts w:ascii="Times New Roman" w:hAnsi="Times New Roman" w:cs="Times New Roman"/>
        </w:rPr>
        <w:t>où</w:t>
      </w:r>
      <w:proofErr w:type="gramEnd"/>
      <w:r w:rsidRPr="00A5309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prim</m:t>
            </m:r>
          </m:sub>
        </m:sSub>
      </m:oMath>
      <w:r w:rsidRPr="00A53093">
        <w:rPr>
          <w:rFonts w:ascii="Times New Roman" w:hAnsi="Times New Roman" w:cs="Times New Roman"/>
        </w:rPr>
        <w:t xml:space="preserve"> est la résistance ohmique du bobinage primaire,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cuivre</m:t>
            </m:r>
          </m:sub>
        </m:sSub>
      </m:oMath>
      <w:r w:rsidRPr="00A53093">
        <w:rPr>
          <w:rFonts w:ascii="Times New Roman" w:hAnsi="Times New Roman" w:cs="Times New Roman"/>
        </w:rPr>
        <w:t xml:space="preserve"> les pertes Joule globales et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fer</m:t>
            </m:r>
          </m:sub>
        </m:sSub>
      </m:oMath>
      <w:r w:rsidRPr="00A53093">
        <w:rPr>
          <w:rFonts w:ascii="Times New Roman" w:hAnsi="Times New Roman" w:cs="Times New Roman"/>
        </w:rPr>
        <w:t xml:space="preserve"> les pertes magnétiques dans le noyau — ces d</w:t>
      </w:r>
      <w:r w:rsidRPr="00A53093">
        <w:rPr>
          <w:rFonts w:ascii="Times New Roman" w:hAnsi="Times New Roman" w:cs="Times New Roman"/>
        </w:rPr>
        <w:t>eux dernières contributions étant fortement influencées par l’état de saturation du circuit magnétique.</w:t>
      </w:r>
    </w:p>
    <w:p w14:paraId="2C80825E" w14:textId="77777777" w:rsidR="00097F96" w:rsidRPr="00A53093" w:rsidRDefault="00006368" w:rsidP="00DB3A33">
      <w:pPr>
        <w:pStyle w:val="BodyText"/>
        <w:spacing w:line="360" w:lineRule="auto"/>
        <w:jc w:val="both"/>
        <w:rPr>
          <w:rFonts w:ascii="Times New Roman" w:hAnsi="Times New Roman" w:cs="Times New Roman"/>
        </w:rPr>
      </w:pPr>
      <w:r w:rsidRPr="00A53093">
        <w:rPr>
          <w:rFonts w:ascii="Times New Roman" w:hAnsi="Times New Roman" w:cs="Times New Roman"/>
        </w:rPr>
        <w:t>La contrepartie directe de ce principe est que le régulateur ne « voit » pas instantanément une lampe grillée par une simple baisse de courant : il cont</w:t>
      </w:r>
      <w:r w:rsidRPr="00A53093">
        <w:rPr>
          <w:rFonts w:ascii="Times New Roman" w:hAnsi="Times New Roman" w:cs="Times New Roman"/>
        </w:rPr>
        <w:t>inue d’imposer 6,6 A. La détection n’est possible que par analyse fine de la tension ou du déphasage (fonction LFD du DIAM4100, § II.2.2) ou par l’exploitation de la signature harmonique — ce qui conforte à nouveau l’intérêt d’une approche spectrale.</w:t>
      </w:r>
    </w:p>
    <w:p w14:paraId="59162125" w14:textId="77777777" w:rsidR="00097F96" w:rsidRPr="00A53093" w:rsidRDefault="00006368" w:rsidP="00A53093">
      <w:pPr>
        <w:pStyle w:val="CaptionedFigure"/>
        <w:jc w:val="both"/>
        <w:rPr>
          <w:rFonts w:ascii="Times New Roman" w:hAnsi="Times New Roman" w:cs="Times New Roman"/>
        </w:rPr>
      </w:pPr>
      <w:r w:rsidRPr="00A53093">
        <w:rPr>
          <w:rFonts w:ascii="Times New Roman" w:hAnsi="Times New Roman" w:cs="Times New Roman"/>
          <w:noProof/>
        </w:rPr>
        <w:lastRenderedPageBreak/>
        <w:drawing>
          <wp:inline distT="0" distB="0" distL="0" distR="0" wp14:anchorId="09A1ECAF" wp14:editId="57B8D8A0">
            <wp:extent cx="4495800" cy="5781675"/>
            <wp:effectExtent l="0" t="0" r="0" b="0"/>
            <wp:docPr id="4" name="Picture" descr="Figure I-4. Schéma de montage d’un feu de bord de piste surélevé bidirectionnel haute intensité (type LERE « OCEM », LED 39 VA / 6,6 A) avec son transformateur d’isolement 65 W – 50 Hz (référence ITT-065-66-66-50). On distingue le câble primaire 1 × 6 mm², le câble de terre nu 25 mm², les connecteurs primaires SPKE HE6 et le câble secondaire souple HO7RN-F 2 × 4 mm² (ASECNA, s.d.-b)"/>
            <wp:cNvGraphicFramePr/>
            <a:graphic xmlns:a="http://schemas.openxmlformats.org/drawingml/2006/main">
              <a:graphicData uri="http://schemas.openxmlformats.org/drawingml/2006/picture">
                <pic:pic xmlns:pic="http://schemas.openxmlformats.org/drawingml/2006/picture">
                  <pic:nvPicPr>
                    <pic:cNvPr id="0" name="Picture" descr="images/ti_bord_piste.jpg"/>
                    <pic:cNvPicPr>
                      <a:picLocks noChangeAspect="1" noChangeArrowheads="1"/>
                    </pic:cNvPicPr>
                  </pic:nvPicPr>
                  <pic:blipFill>
                    <a:blip r:embed="rId10"/>
                    <a:stretch>
                      <a:fillRect/>
                    </a:stretch>
                  </pic:blipFill>
                  <pic:spPr bwMode="auto">
                    <a:xfrm>
                      <a:off x="0" y="0"/>
                      <a:ext cx="4495800" cy="5781675"/>
                    </a:xfrm>
                    <a:prstGeom prst="rect">
                      <a:avLst/>
                    </a:prstGeom>
                    <a:noFill/>
                    <a:ln w="9525">
                      <a:noFill/>
                      <a:headEnd/>
                      <a:tailEnd/>
                    </a:ln>
                  </pic:spPr>
                </pic:pic>
              </a:graphicData>
            </a:graphic>
          </wp:inline>
        </w:drawing>
      </w:r>
    </w:p>
    <w:p w14:paraId="41026FD8" w14:textId="77777777" w:rsidR="00097F96" w:rsidRPr="00A53093" w:rsidRDefault="00006368" w:rsidP="00A53093">
      <w:pPr>
        <w:pStyle w:val="ImageCaption"/>
        <w:jc w:val="both"/>
        <w:rPr>
          <w:rFonts w:ascii="Times New Roman" w:hAnsi="Times New Roman" w:cs="Times New Roman"/>
        </w:rPr>
      </w:pPr>
      <w:r w:rsidRPr="00A53093">
        <w:rPr>
          <w:rFonts w:ascii="Times New Roman" w:hAnsi="Times New Roman" w:cs="Times New Roman"/>
        </w:rPr>
        <w:t>Figure I-4. Schéma de montage d’un feu de bord de piste surélevé bidirectionnel haute intensité (type LERE « OCEM », LED 39 VA / 6,6 A) avec son transformateur d’isolement 65 W – 50 Hz (référence ITT-065-66-66-50). On distingue le câble primaire 1 × 6 mm²,</w:t>
      </w:r>
      <w:r w:rsidRPr="00A53093">
        <w:rPr>
          <w:rFonts w:ascii="Times New Roman" w:hAnsi="Times New Roman" w:cs="Times New Roman"/>
        </w:rPr>
        <w:t xml:space="preserve"> le câble de terre nu 25 mm², les connecteurs primaires SPKE HE6 et le câble secondaire souple HO7RN-F 2 × 4 mm² (ASECNA, s.d.-b)</w:t>
      </w:r>
    </w:p>
    <w:p w14:paraId="15897E6C" w14:textId="77777777" w:rsidR="00097F96" w:rsidRPr="00A53093" w:rsidRDefault="00006368" w:rsidP="00A53093">
      <w:pPr>
        <w:pStyle w:val="CaptionedFigure"/>
        <w:jc w:val="both"/>
        <w:rPr>
          <w:rFonts w:ascii="Times New Roman" w:hAnsi="Times New Roman" w:cs="Times New Roman"/>
        </w:rPr>
      </w:pPr>
      <w:r w:rsidRPr="00A53093">
        <w:rPr>
          <w:rFonts w:ascii="Times New Roman" w:hAnsi="Times New Roman" w:cs="Times New Roman"/>
          <w:noProof/>
        </w:rPr>
        <w:lastRenderedPageBreak/>
        <w:drawing>
          <wp:inline distT="0" distB="0" distL="0" distR="0" wp14:anchorId="6EF00732" wp14:editId="0950E93A">
            <wp:extent cx="5334000" cy="4000500"/>
            <wp:effectExtent l="0" t="0" r="0" b="0"/>
            <wp:docPr id="5" name="Picture" descr="Figure I-5. Schéma de montage d’un feu encastré omnidirectionnel basse intensité (type LITE-08-I, LED 8 VA / 6,6 A) sur base 8 ʺ H 125 mm, associé à un transformateur saturé 25 W – 50 Hz (référence ITT-025-66-66-50). Les 181 feux de circulation et d’aire de stationnement du site utilisent cette configuration (ASECNA, s.d.-b)"/>
            <wp:cNvGraphicFramePr/>
            <a:graphic xmlns:a="http://schemas.openxmlformats.org/drawingml/2006/main">
              <a:graphicData uri="http://schemas.openxmlformats.org/drawingml/2006/picture">
                <pic:pic xmlns:pic="http://schemas.openxmlformats.org/drawingml/2006/picture">
                  <pic:nvPicPr>
                    <pic:cNvPr id="0" name="Picture" descr="images/ti_encastre.jpg"/>
                    <pic:cNvPicPr>
                      <a:picLocks noChangeAspect="1" noChangeArrowheads="1"/>
                    </pic:cNvPicPr>
                  </pic:nvPicPr>
                  <pic:blipFill>
                    <a:blip r:embed="rId11"/>
                    <a:stretch>
                      <a:fillRect/>
                    </a:stretch>
                  </pic:blipFill>
                  <pic:spPr bwMode="auto">
                    <a:xfrm>
                      <a:off x="0" y="0"/>
                      <a:ext cx="5334000" cy="4000500"/>
                    </a:xfrm>
                    <a:prstGeom prst="rect">
                      <a:avLst/>
                    </a:prstGeom>
                    <a:noFill/>
                    <a:ln w="9525">
                      <a:noFill/>
                      <a:headEnd/>
                      <a:tailEnd/>
                    </a:ln>
                  </pic:spPr>
                </pic:pic>
              </a:graphicData>
            </a:graphic>
          </wp:inline>
        </w:drawing>
      </w:r>
    </w:p>
    <w:p w14:paraId="56C3BD9D" w14:textId="77777777" w:rsidR="00097F96" w:rsidRPr="00A53093" w:rsidRDefault="00006368" w:rsidP="00A53093">
      <w:pPr>
        <w:pStyle w:val="ImageCaption"/>
        <w:jc w:val="both"/>
        <w:rPr>
          <w:rFonts w:ascii="Times New Roman" w:hAnsi="Times New Roman" w:cs="Times New Roman"/>
        </w:rPr>
      </w:pPr>
      <w:r w:rsidRPr="00A53093">
        <w:rPr>
          <w:rFonts w:ascii="Times New Roman" w:hAnsi="Times New Roman" w:cs="Times New Roman"/>
        </w:rPr>
        <w:t>Figure I-5. Schéma de montage d’un feu encastré omnidirectionnel basse intensité (type LITE-08-I, LED 8 VA / 6,6 A) sur base</w:t>
      </w:r>
      <w:r w:rsidRPr="00A53093">
        <w:rPr>
          <w:rFonts w:ascii="Times New Roman" w:hAnsi="Times New Roman" w:cs="Times New Roman"/>
        </w:rPr>
        <w:t xml:space="preserve"> 8 ʺ H 125 mm, associé à un transformateur saturé 25 W – 50 Hz (référence ITT-025-66-66-50). Les 181 feux de circulation et d’aire de stationnement du site utilisent cette configuration (ASECNA, s.d.-b)</w:t>
      </w:r>
    </w:p>
    <w:p w14:paraId="2E4E1BB5" w14:textId="77777777" w:rsidR="00097F96" w:rsidRPr="00A53093" w:rsidRDefault="00006368" w:rsidP="00A53093">
      <w:pPr>
        <w:pStyle w:val="Heading3"/>
        <w:jc w:val="both"/>
        <w:rPr>
          <w:rFonts w:ascii="Times New Roman" w:hAnsi="Times New Roman" w:cs="Times New Roman"/>
          <w:color w:val="auto"/>
        </w:rPr>
      </w:pPr>
      <w:bookmarkStart w:id="24" w:name="Xf3590305166cc688f72b1711134a1961fc4e17c"/>
      <w:bookmarkStart w:id="25" w:name="_Toc227494148"/>
      <w:r w:rsidRPr="00A53093">
        <w:rPr>
          <w:rFonts w:ascii="Times New Roman" w:hAnsi="Times New Roman" w:cs="Times New Roman"/>
          <w:color w:val="auto"/>
        </w:rPr>
        <w:t>I.4.2. Puissances des TI rencontrées sur le site et s</w:t>
      </w:r>
      <w:r w:rsidRPr="00A53093">
        <w:rPr>
          <w:rFonts w:ascii="Times New Roman" w:hAnsi="Times New Roman" w:cs="Times New Roman"/>
          <w:color w:val="auto"/>
        </w:rPr>
        <w:t>euil réglementaire d’isolement</w:t>
      </w:r>
      <w:bookmarkEnd w:id="24"/>
      <w:bookmarkEnd w:id="25"/>
    </w:p>
    <w:p w14:paraId="0589C945" w14:textId="121FF16B" w:rsidR="00DB3A33" w:rsidRDefault="00006368" w:rsidP="00DB3A33">
      <w:pPr>
        <w:pStyle w:val="FirstParagraph"/>
        <w:spacing w:line="360" w:lineRule="auto"/>
        <w:jc w:val="both"/>
        <w:rPr>
          <w:rFonts w:ascii="Times New Roman" w:hAnsi="Times New Roman" w:cs="Times New Roman"/>
        </w:rPr>
      </w:pPr>
      <w:r w:rsidRPr="00A53093">
        <w:rPr>
          <w:rFonts w:ascii="Times New Roman" w:hAnsi="Times New Roman" w:cs="Times New Roman"/>
        </w:rPr>
        <w:t xml:space="preserve">Les transformateurs d’isolement sont commercialisés par paliers normalisés de puissance apparente secondaire (CEI, 2015). Le site d’étude, dont les équipements ont été fournis et posés par la société INEO/FINEO, met en œuvre </w:t>
      </w:r>
      <w:r w:rsidRPr="00A53093">
        <w:rPr>
          <w:rFonts w:ascii="Times New Roman" w:hAnsi="Times New Roman" w:cs="Times New Roman"/>
          <w:b/>
        </w:rPr>
        <w:t>sept calibres distincts</w:t>
      </w:r>
      <w:r w:rsidRPr="00A53093">
        <w:rPr>
          <w:rFonts w:ascii="Times New Roman" w:hAnsi="Times New Roman" w:cs="Times New Roman"/>
        </w:rPr>
        <w:t xml:space="preserve"> de TI, dont la répartition est directement dérivée des quantités relevées dans les procès-verbaux de recette (INEO/FINEO, 2021). Le </w:t>
      </w:r>
      <w:r w:rsidRPr="00A53093">
        <w:rPr>
          <w:rFonts w:ascii="Times New Roman" w:hAnsi="Times New Roman" w:cs="Times New Roman"/>
          <w:b/>
        </w:rPr>
        <w:t>Tableau I-3</w:t>
      </w:r>
      <w:r w:rsidRPr="00A53093">
        <w:rPr>
          <w:rFonts w:ascii="Times New Roman" w:hAnsi="Times New Roman" w:cs="Times New Roman"/>
        </w:rPr>
        <w:t xml:space="preserve"> détaille cette ventilation.</w:t>
      </w:r>
      <w:r w:rsidR="00DB3A33">
        <w:rPr>
          <w:rFonts w:ascii="Times New Roman" w:hAnsi="Times New Roman" w:cs="Times New Roman"/>
        </w:rPr>
        <w:br w:type="page"/>
      </w:r>
    </w:p>
    <w:p w14:paraId="11FB1FBB" w14:textId="77777777" w:rsidR="00097F96" w:rsidRPr="00A53093" w:rsidRDefault="00006368" w:rsidP="00A53093">
      <w:pPr>
        <w:pStyle w:val="TableCaption"/>
        <w:jc w:val="both"/>
        <w:rPr>
          <w:rFonts w:ascii="Times New Roman" w:hAnsi="Times New Roman" w:cs="Times New Roman"/>
        </w:rPr>
      </w:pPr>
      <w:r w:rsidRPr="00A53093">
        <w:rPr>
          <w:rFonts w:ascii="Times New Roman" w:hAnsi="Times New Roman" w:cs="Times New Roman"/>
        </w:rPr>
        <w:lastRenderedPageBreak/>
        <w:t>Tableau I-3. Puissances normalisées des TI et quantités rele</w:t>
      </w:r>
      <w:r w:rsidRPr="00A53093">
        <w:rPr>
          <w:rFonts w:ascii="Times New Roman" w:hAnsi="Times New Roman" w:cs="Times New Roman"/>
        </w:rPr>
        <w:t>vées sur le site d’étude (INEO/FINEO, 2021, § 1.10.1).</w:t>
      </w:r>
    </w:p>
    <w:tbl>
      <w:tblPr>
        <w:tblStyle w:val="Table"/>
        <w:tblW w:w="5000" w:type="pct"/>
        <w:tblLook w:val="07E0" w:firstRow="1" w:lastRow="1" w:firstColumn="1" w:lastColumn="1" w:noHBand="1" w:noVBand="1"/>
      </w:tblPr>
      <w:tblGrid>
        <w:gridCol w:w="1383"/>
        <w:gridCol w:w="2288"/>
        <w:gridCol w:w="4486"/>
        <w:gridCol w:w="1465"/>
      </w:tblGrid>
      <w:tr w:rsidR="00A53093" w:rsidRPr="00A53093" w14:paraId="53F5E08E" w14:textId="77777777" w:rsidTr="00DB3A33">
        <w:trPr>
          <w:trHeight w:val="756"/>
        </w:trPr>
        <w:tc>
          <w:tcPr>
            <w:tcW w:w="0" w:type="auto"/>
            <w:tcBorders>
              <w:bottom w:val="single" w:sz="0" w:space="0" w:color="auto"/>
            </w:tcBorders>
            <w:vAlign w:val="bottom"/>
          </w:tcPr>
          <w:p w14:paraId="69FCFD3B" w14:textId="77777777" w:rsidR="00097F96" w:rsidRPr="00DB3A33" w:rsidRDefault="00006368" w:rsidP="00A53093">
            <w:pPr>
              <w:pStyle w:val="Compact"/>
              <w:jc w:val="both"/>
              <w:rPr>
                <w:rFonts w:ascii="Times New Roman" w:hAnsi="Times New Roman" w:cs="Times New Roman"/>
                <w:b/>
                <w:bCs/>
              </w:rPr>
            </w:pPr>
            <w:r w:rsidRPr="00DB3A33">
              <w:rPr>
                <w:rFonts w:ascii="Times New Roman" w:hAnsi="Times New Roman" w:cs="Times New Roman"/>
                <w:b/>
                <w:bCs/>
              </w:rPr>
              <w:t>Calibre TI</w:t>
            </w:r>
          </w:p>
        </w:tc>
        <w:tc>
          <w:tcPr>
            <w:tcW w:w="0" w:type="auto"/>
            <w:tcBorders>
              <w:bottom w:val="single" w:sz="0" w:space="0" w:color="auto"/>
            </w:tcBorders>
            <w:vAlign w:val="bottom"/>
          </w:tcPr>
          <w:p w14:paraId="298BB865" w14:textId="77777777" w:rsidR="00097F96" w:rsidRPr="00DB3A33" w:rsidRDefault="00006368" w:rsidP="00A53093">
            <w:pPr>
              <w:pStyle w:val="Compact"/>
              <w:jc w:val="both"/>
              <w:rPr>
                <w:rFonts w:ascii="Times New Roman" w:hAnsi="Times New Roman" w:cs="Times New Roman"/>
                <w:b/>
                <w:bCs/>
              </w:rPr>
            </w:pPr>
            <w:r w:rsidRPr="00DB3A33">
              <w:rPr>
                <w:rFonts w:ascii="Times New Roman" w:hAnsi="Times New Roman" w:cs="Times New Roman"/>
                <w:b/>
                <w:bCs/>
              </w:rPr>
              <w:t>Référence constructeur</w:t>
            </w:r>
          </w:p>
        </w:tc>
        <w:tc>
          <w:tcPr>
            <w:tcW w:w="0" w:type="auto"/>
            <w:tcBorders>
              <w:bottom w:val="single" w:sz="0" w:space="0" w:color="auto"/>
            </w:tcBorders>
            <w:vAlign w:val="bottom"/>
          </w:tcPr>
          <w:p w14:paraId="702DCD1C" w14:textId="77777777" w:rsidR="00097F96" w:rsidRPr="00DB3A33" w:rsidRDefault="00006368" w:rsidP="00A53093">
            <w:pPr>
              <w:pStyle w:val="Compact"/>
              <w:jc w:val="both"/>
              <w:rPr>
                <w:rFonts w:ascii="Times New Roman" w:hAnsi="Times New Roman" w:cs="Times New Roman"/>
                <w:b/>
                <w:bCs/>
              </w:rPr>
            </w:pPr>
            <w:r w:rsidRPr="00DB3A33">
              <w:rPr>
                <w:rFonts w:ascii="Times New Roman" w:hAnsi="Times New Roman" w:cs="Times New Roman"/>
                <w:b/>
                <w:bCs/>
              </w:rPr>
              <w:t>Feu associé</w:t>
            </w:r>
          </w:p>
        </w:tc>
        <w:tc>
          <w:tcPr>
            <w:tcW w:w="0" w:type="auto"/>
            <w:tcBorders>
              <w:bottom w:val="single" w:sz="0" w:space="0" w:color="auto"/>
            </w:tcBorders>
            <w:vAlign w:val="bottom"/>
          </w:tcPr>
          <w:p w14:paraId="2822A3E2" w14:textId="77777777" w:rsidR="00097F96" w:rsidRPr="00DB3A33" w:rsidRDefault="00006368" w:rsidP="00A53093">
            <w:pPr>
              <w:pStyle w:val="Compact"/>
              <w:jc w:val="both"/>
              <w:rPr>
                <w:rFonts w:ascii="Times New Roman" w:hAnsi="Times New Roman" w:cs="Times New Roman"/>
                <w:b/>
                <w:bCs/>
              </w:rPr>
            </w:pPr>
            <w:r w:rsidRPr="00DB3A33">
              <w:rPr>
                <w:rFonts w:ascii="Times New Roman" w:hAnsi="Times New Roman" w:cs="Times New Roman"/>
                <w:b/>
                <w:bCs/>
              </w:rPr>
              <w:t>Nombre relevé</w:t>
            </w:r>
          </w:p>
        </w:tc>
      </w:tr>
      <w:tr w:rsidR="00A53093" w:rsidRPr="00A53093" w14:paraId="7F9EF814" w14:textId="77777777">
        <w:tc>
          <w:tcPr>
            <w:tcW w:w="0" w:type="auto"/>
          </w:tcPr>
          <w:p w14:paraId="1AB47E0E"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25 W – 6,6 A</w:t>
            </w:r>
          </w:p>
        </w:tc>
        <w:tc>
          <w:tcPr>
            <w:tcW w:w="0" w:type="auto"/>
          </w:tcPr>
          <w:p w14:paraId="1954AA18"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ITT-025-66-66-50 (saturé)</w:t>
            </w:r>
          </w:p>
        </w:tc>
        <w:tc>
          <w:tcPr>
            <w:tcW w:w="0" w:type="auto"/>
          </w:tcPr>
          <w:p w14:paraId="600E0760"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Feu encastré omnidirectionnel LITE-08-I BI (8 VA LED)</w:t>
            </w:r>
          </w:p>
        </w:tc>
        <w:tc>
          <w:tcPr>
            <w:tcW w:w="0" w:type="auto"/>
          </w:tcPr>
          <w:p w14:paraId="153DD19C"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 185</w:t>
            </w:r>
          </w:p>
        </w:tc>
      </w:tr>
      <w:tr w:rsidR="00A53093" w:rsidRPr="00A53093" w14:paraId="01329DB6" w14:textId="77777777">
        <w:tc>
          <w:tcPr>
            <w:tcW w:w="0" w:type="auto"/>
          </w:tcPr>
          <w:p w14:paraId="10A01021"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45 W – 6,6 A</w:t>
            </w:r>
          </w:p>
        </w:tc>
        <w:tc>
          <w:tcPr>
            <w:tcW w:w="0" w:type="auto"/>
          </w:tcPr>
          <w:p w14:paraId="67977503"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ITT-045-66-66-50 (saturé)</w:t>
            </w:r>
          </w:p>
        </w:tc>
        <w:tc>
          <w:tcPr>
            <w:tcW w:w="0" w:type="auto"/>
          </w:tcPr>
          <w:p w14:paraId="3870E8AE"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Feu d’approche BI + feux secondaires divers</w:t>
            </w:r>
          </w:p>
        </w:tc>
        <w:tc>
          <w:tcPr>
            <w:tcW w:w="0" w:type="auto"/>
          </w:tcPr>
          <w:p w14:paraId="5E9B26F6"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 54</w:t>
            </w:r>
          </w:p>
        </w:tc>
      </w:tr>
      <w:tr w:rsidR="00A53093" w:rsidRPr="00A53093" w14:paraId="2BD397A1" w14:textId="77777777">
        <w:tc>
          <w:tcPr>
            <w:tcW w:w="0" w:type="auto"/>
          </w:tcPr>
          <w:p w14:paraId="0DD909A4"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65 W – 6,6 A</w:t>
            </w:r>
          </w:p>
        </w:tc>
        <w:tc>
          <w:tcPr>
            <w:tcW w:w="0" w:type="auto"/>
          </w:tcPr>
          <w:p w14:paraId="5A5386BC"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ITT-065-66-66-50</w:t>
            </w:r>
          </w:p>
        </w:tc>
        <w:tc>
          <w:tcPr>
            <w:tcW w:w="0" w:type="auto"/>
          </w:tcPr>
          <w:p w14:paraId="5164BB71"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Feu bord de piste bidirectionnel surélevé LERE (39 VA LED)</w:t>
            </w:r>
          </w:p>
        </w:tc>
        <w:tc>
          <w:tcPr>
            <w:tcW w:w="0" w:type="auto"/>
          </w:tcPr>
          <w:p w14:paraId="2077B7D1"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 98</w:t>
            </w:r>
          </w:p>
        </w:tc>
      </w:tr>
      <w:tr w:rsidR="00A53093" w:rsidRPr="00A53093" w14:paraId="4992E73F" w14:textId="77777777">
        <w:tc>
          <w:tcPr>
            <w:tcW w:w="0" w:type="auto"/>
          </w:tcPr>
          <w:p w14:paraId="6F6CD8FF"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100 W – 6,6 A</w:t>
            </w:r>
          </w:p>
        </w:tc>
        <w:tc>
          <w:tcPr>
            <w:tcW w:w="0" w:type="auto"/>
          </w:tcPr>
          <w:p w14:paraId="3DCDA2DA"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ITT-100-66-66-50</w:t>
            </w:r>
          </w:p>
        </w:tc>
        <w:tc>
          <w:tcPr>
            <w:tcW w:w="0" w:type="auto"/>
          </w:tcPr>
          <w:p w14:paraId="14ED548C"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Feu d’approche HI élevé à LED + seuil/extrémité</w:t>
            </w:r>
          </w:p>
        </w:tc>
        <w:tc>
          <w:tcPr>
            <w:tcW w:w="0" w:type="auto"/>
          </w:tcPr>
          <w:p w14:paraId="6FD1400B"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 132</w:t>
            </w:r>
          </w:p>
        </w:tc>
      </w:tr>
      <w:tr w:rsidR="00A53093" w:rsidRPr="00A53093" w14:paraId="414B0647" w14:textId="77777777">
        <w:tc>
          <w:tcPr>
            <w:tcW w:w="0" w:type="auto"/>
          </w:tcPr>
          <w:p w14:paraId="23BE4277"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150 W – 6,6 A</w:t>
            </w:r>
          </w:p>
        </w:tc>
        <w:tc>
          <w:tcPr>
            <w:tcW w:w="0" w:type="auto"/>
          </w:tcPr>
          <w:p w14:paraId="55089C41"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ITT-150-66-66-50</w:t>
            </w:r>
          </w:p>
        </w:tc>
        <w:tc>
          <w:tcPr>
            <w:tcW w:w="0" w:type="auto"/>
          </w:tcPr>
          <w:p w14:paraId="465F5F53"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Feu d’approche unidirectionnel encastré + certains seuils</w:t>
            </w:r>
          </w:p>
        </w:tc>
        <w:tc>
          <w:tcPr>
            <w:tcW w:w="0" w:type="auto"/>
          </w:tcPr>
          <w:p w14:paraId="53D8DAB4"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 16</w:t>
            </w:r>
          </w:p>
        </w:tc>
      </w:tr>
      <w:tr w:rsidR="00A53093" w:rsidRPr="00A53093" w14:paraId="549F335B" w14:textId="77777777">
        <w:tc>
          <w:tcPr>
            <w:tcW w:w="0" w:type="auto"/>
          </w:tcPr>
          <w:p w14:paraId="763CB84B"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200 W – 6,</w:t>
            </w:r>
            <w:r w:rsidRPr="00A53093">
              <w:rPr>
                <w:rFonts w:ascii="Times New Roman" w:hAnsi="Times New Roman" w:cs="Times New Roman"/>
              </w:rPr>
              <w:t>6 A</w:t>
            </w:r>
          </w:p>
        </w:tc>
        <w:tc>
          <w:tcPr>
            <w:tcW w:w="0" w:type="auto"/>
          </w:tcPr>
          <w:p w14:paraId="127701AC"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ITT-200-66-66-50</w:t>
            </w:r>
          </w:p>
        </w:tc>
        <w:tc>
          <w:tcPr>
            <w:tcW w:w="0" w:type="auto"/>
          </w:tcPr>
          <w:p w14:paraId="7A87D0AA"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PAPI — indicateurs visuels de pente d’approche</w:t>
            </w:r>
          </w:p>
        </w:tc>
        <w:tc>
          <w:tcPr>
            <w:tcW w:w="0" w:type="auto"/>
          </w:tcPr>
          <w:p w14:paraId="475CF7E7"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16</w:t>
            </w:r>
          </w:p>
        </w:tc>
      </w:tr>
      <w:tr w:rsidR="00A53093" w:rsidRPr="00A53093" w14:paraId="1158EBC0" w14:textId="77777777">
        <w:tc>
          <w:tcPr>
            <w:tcW w:w="0" w:type="auto"/>
          </w:tcPr>
          <w:p w14:paraId="7A820D1C"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300 W – 6,6 A</w:t>
            </w:r>
          </w:p>
        </w:tc>
        <w:tc>
          <w:tcPr>
            <w:tcW w:w="0" w:type="auto"/>
          </w:tcPr>
          <w:p w14:paraId="6A3DF051"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ITT-300-66-66-50</w:t>
            </w:r>
          </w:p>
        </w:tc>
        <w:tc>
          <w:tcPr>
            <w:tcW w:w="0" w:type="auto"/>
          </w:tcPr>
          <w:p w14:paraId="65394B16"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Équipements spéciaux (manches à vent éclairées, obstacles)</w:t>
            </w:r>
          </w:p>
        </w:tc>
        <w:tc>
          <w:tcPr>
            <w:tcW w:w="0" w:type="auto"/>
          </w:tcPr>
          <w:p w14:paraId="620267E7" w14:textId="77777777" w:rsidR="00097F96" w:rsidRPr="00A53093" w:rsidRDefault="00006368" w:rsidP="00A53093">
            <w:pPr>
              <w:pStyle w:val="Compact"/>
              <w:jc w:val="both"/>
              <w:rPr>
                <w:rFonts w:ascii="Times New Roman" w:hAnsi="Times New Roman" w:cs="Times New Roman"/>
              </w:rPr>
            </w:pPr>
            <w:r w:rsidRPr="00A53093">
              <w:rPr>
                <w:rFonts w:ascii="Times New Roman" w:hAnsi="Times New Roman" w:cs="Times New Roman"/>
              </w:rPr>
              <w:t>5</w:t>
            </w:r>
          </w:p>
        </w:tc>
      </w:tr>
    </w:tbl>
    <w:p w14:paraId="1B58EEA2" w14:textId="77777777" w:rsidR="00097F96" w:rsidRPr="00A53093" w:rsidRDefault="00006368" w:rsidP="00A53093">
      <w:pPr>
        <w:pStyle w:val="BodyText"/>
        <w:jc w:val="both"/>
        <w:rPr>
          <w:rFonts w:ascii="Times New Roman" w:hAnsi="Times New Roman" w:cs="Times New Roman"/>
        </w:rPr>
      </w:pPr>
      <w:r w:rsidRPr="00A53093">
        <w:rPr>
          <w:rFonts w:ascii="Times New Roman" w:hAnsi="Times New Roman" w:cs="Times New Roman"/>
        </w:rPr>
        <w:t>Cette ventilation appelle trois remarques utiles pour la suite.</w:t>
      </w:r>
    </w:p>
    <w:p w14:paraId="3DC77413" w14:textId="77777777" w:rsidR="00097F96" w:rsidRPr="00A53093" w:rsidRDefault="00006368" w:rsidP="00DB3A33">
      <w:pPr>
        <w:pStyle w:val="BodyText"/>
        <w:spacing w:line="360" w:lineRule="auto"/>
        <w:jc w:val="both"/>
        <w:rPr>
          <w:rFonts w:ascii="Times New Roman" w:hAnsi="Times New Roman" w:cs="Times New Roman"/>
        </w:rPr>
      </w:pPr>
      <w:r w:rsidRPr="00A53093">
        <w:rPr>
          <w:rFonts w:ascii="Times New Roman" w:hAnsi="Times New Roman" w:cs="Times New Roman"/>
          <w:b/>
        </w:rPr>
        <w:t>Prépondérance des TI 25 W et 65 W.</w:t>
      </w:r>
      <w:r w:rsidRPr="00A53093">
        <w:rPr>
          <w:rFonts w:ascii="Times New Roman" w:hAnsi="Times New Roman" w:cs="Times New Roman"/>
        </w:rPr>
        <w:t xml:space="preserve"> Ils représentent à eux seuls plus des deux tiers du parc. Leur comportement en régime nominal et en régime défaillant devra donc être modélisé en priorité lo</w:t>
      </w:r>
      <w:r w:rsidRPr="00A53093">
        <w:rPr>
          <w:rFonts w:ascii="Times New Roman" w:hAnsi="Times New Roman" w:cs="Times New Roman"/>
        </w:rPr>
        <w:t>rs de la construction du jumeau numérique (chapitre à venir).</w:t>
      </w:r>
    </w:p>
    <w:p w14:paraId="27BCD1B9" w14:textId="77777777" w:rsidR="00097F96" w:rsidRPr="00A53093" w:rsidRDefault="00006368" w:rsidP="00DB3A33">
      <w:pPr>
        <w:pStyle w:val="BodyText"/>
        <w:spacing w:line="360" w:lineRule="auto"/>
        <w:jc w:val="both"/>
        <w:rPr>
          <w:rFonts w:ascii="Times New Roman" w:hAnsi="Times New Roman" w:cs="Times New Roman"/>
        </w:rPr>
      </w:pPr>
      <w:r w:rsidRPr="00A53093">
        <w:rPr>
          <w:rFonts w:ascii="Times New Roman" w:hAnsi="Times New Roman" w:cs="Times New Roman"/>
          <w:b/>
        </w:rPr>
        <w:t>Hétérogénéité à prendre en compte dans le seuil d’alarme.</w:t>
      </w:r>
      <w:r w:rsidRPr="00A53093">
        <w:rPr>
          <w:rFonts w:ascii="Times New Roman" w:hAnsi="Times New Roman" w:cs="Times New Roman"/>
        </w:rPr>
        <w:t xml:space="preserve"> La formule réglementaire § 7.5.1.2 du STAC, rappelée ci-après, fait explicitement intervenir le nombre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TI</m:t>
            </m:r>
          </m:sub>
        </m:sSub>
      </m:oMath>
      <w:r w:rsidRPr="00A53093">
        <w:rPr>
          <w:rFonts w:ascii="Times New Roman" w:hAnsi="Times New Roman" w:cs="Times New Roman"/>
        </w:rPr>
        <w:t xml:space="preserve"> </w:t>
      </w:r>
      <w:r w:rsidRPr="00A53093">
        <w:rPr>
          <w:rFonts w:ascii="Times New Roman" w:hAnsi="Times New Roman" w:cs="Times New Roman"/>
        </w:rPr>
        <w:t xml:space="preserve">de transformateurs d’isolement via leur courant de fuite unitaire (2 µA par TI). Une boucle </w:t>
      </w:r>
      <w:r w:rsidRPr="00A53093">
        <w:rPr>
          <w:rFonts w:ascii="Times New Roman" w:hAnsi="Times New Roman" w:cs="Times New Roman"/>
          <w:i/>
        </w:rPr>
        <w:t>Voies de circulation</w:t>
      </w:r>
      <w:r w:rsidRPr="00A53093">
        <w:rPr>
          <w:rFonts w:ascii="Times New Roman" w:hAnsi="Times New Roman" w:cs="Times New Roman"/>
        </w:rPr>
        <w:t xml:space="preserve"> comportant 96 TI (cf. Tableau I-1) se caractérise donc par un seuil d’alarme significativement plus bas qu’une boucle PAPI qui n’en comporte qu</w:t>
      </w:r>
      <w:r w:rsidRPr="00A53093">
        <w:rPr>
          <w:rFonts w:ascii="Times New Roman" w:hAnsi="Times New Roman" w:cs="Times New Roman"/>
        </w:rPr>
        <w:t>e 4. Cette pondération par boucle est un paramètre de calibration à renseigner dans le futur système de surveillance (STAC, 2021b).</w:t>
      </w:r>
    </w:p>
    <w:p w14:paraId="11C6715D" w14:textId="77777777" w:rsidR="00097F96" w:rsidRPr="00A53093" w:rsidRDefault="00006368" w:rsidP="00DB3A33">
      <w:pPr>
        <w:pStyle w:val="BodyText"/>
        <w:spacing w:line="360" w:lineRule="auto"/>
        <w:jc w:val="both"/>
        <w:rPr>
          <w:rFonts w:ascii="Times New Roman" w:hAnsi="Times New Roman" w:cs="Times New Roman"/>
        </w:rPr>
      </w:pPr>
      <w:r w:rsidRPr="00A53093">
        <w:rPr>
          <w:rFonts w:ascii="Times New Roman" w:hAnsi="Times New Roman" w:cs="Times New Roman"/>
          <w:b/>
        </w:rPr>
        <w:t>Vulnérabilité asymétrique.</w:t>
      </w:r>
      <w:r w:rsidRPr="00A53093">
        <w:rPr>
          <w:rFonts w:ascii="Times New Roman" w:hAnsi="Times New Roman" w:cs="Times New Roman"/>
        </w:rPr>
        <w:t xml:space="preserve"> Les TI saturés (25 W, 45 W) sont ceux pour lesquels le mode de défaillance par court-circuit du s</w:t>
      </w:r>
      <w:r w:rsidRPr="00A53093">
        <w:rPr>
          <w:rFonts w:ascii="Times New Roman" w:hAnsi="Times New Roman" w:cs="Times New Roman"/>
        </w:rPr>
        <w:t>econdaire est le plus fréquent, en particulier lorsqu’une embase de feu est inondée. Cette asymétrie de vulnérabilité devra orienter la discrimination de défaut du classifieur d’apprentissage automatique — tous les TI ne « tombent » pas de la même façon.</w:t>
      </w:r>
    </w:p>
    <w:p w14:paraId="04F7B762" w14:textId="77777777" w:rsidR="00097F96" w:rsidRPr="00A53093" w:rsidRDefault="00006368" w:rsidP="00DB3A33">
      <w:pPr>
        <w:pStyle w:val="BodyText"/>
        <w:spacing w:line="360" w:lineRule="auto"/>
        <w:jc w:val="both"/>
        <w:rPr>
          <w:rFonts w:ascii="Times New Roman" w:hAnsi="Times New Roman" w:cs="Times New Roman"/>
        </w:rPr>
      </w:pPr>
      <w:r w:rsidRPr="00A53093">
        <w:rPr>
          <w:rFonts w:ascii="Times New Roman" w:hAnsi="Times New Roman" w:cs="Times New Roman"/>
        </w:rPr>
        <w:lastRenderedPageBreak/>
        <w:t>L</w:t>
      </w:r>
      <w:r w:rsidRPr="00A53093">
        <w:rPr>
          <w:rFonts w:ascii="Times New Roman" w:hAnsi="Times New Roman" w:cs="Times New Roman"/>
        </w:rPr>
        <w:t xml:space="preserve">a </w:t>
      </w:r>
      <w:r w:rsidRPr="00A53093">
        <w:rPr>
          <w:rFonts w:ascii="Times New Roman" w:hAnsi="Times New Roman" w:cs="Times New Roman"/>
          <w:b/>
        </w:rPr>
        <w:t>formule réglementaire § 7.5.1.2</w:t>
      </w:r>
      <w:r w:rsidRPr="00A53093">
        <w:rPr>
          <w:rFonts w:ascii="Times New Roman" w:hAnsi="Times New Roman" w:cs="Times New Roman"/>
        </w:rPr>
        <w:t xml:space="preserve"> du STAC (2021b) fixe la limite inférieure acceptable de la résistance d’isolement </w:t>
      </w:r>
      <m:oMath>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min</m:t>
            </m:r>
          </m:sub>
        </m:sSub>
      </m:oMath>
      <w:r w:rsidRPr="00A53093">
        <w:rPr>
          <w:rFonts w:ascii="Times New Roman" w:hAnsi="Times New Roman" w:cs="Times New Roman"/>
        </w:rPr>
        <w:t xml:space="preserve"> d’une boucle en fonction de ses caractéristiques physiques :</w:t>
      </w:r>
    </w:p>
    <w:p w14:paraId="2E42DFBA" w14:textId="77777777" w:rsidR="00097F96" w:rsidRPr="00A53093" w:rsidRDefault="00006368" w:rsidP="00A53093">
      <w:pPr>
        <w:pStyle w:val="BodyText"/>
        <w:jc w:val="both"/>
        <w:rPr>
          <w:rFonts w:ascii="Times New Roman" w:hAnsi="Times New Roman" w:cs="Times New Roman"/>
          <w:lang w:val="it-IT"/>
        </w:rPr>
      </w:pPr>
      <m:oMathPara>
        <m:oMathParaPr>
          <m:jc m:val="center"/>
        </m:oMathParaPr>
        <m:oMath>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lang w:val="it-IT"/>
                </w:rPr>
                <m:t>min</m:t>
              </m:r>
            </m:sub>
          </m:sSub>
          <m:r>
            <w:rPr>
              <w:rFonts w:ascii="Cambria Math" w:hAnsi="Cambria Math" w:cs="Times New Roman"/>
              <w:lang w:val="it-IT"/>
            </w:rPr>
            <m:t> </m:t>
          </m:r>
          <m:r>
            <w:rPr>
              <w:rFonts w:ascii="Cambria Math" w:hAnsi="Cambria Math" w:cs="Times New Roman"/>
              <w:lang w:val="it-IT"/>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m:rPr>
                      <m:nor/>
                    </m:rPr>
                    <w:rPr>
                      <w:rFonts w:ascii="Times New Roman" w:hAnsi="Times New Roman" w:cs="Times New Roman"/>
                      <w:lang w:val="it-IT"/>
                    </w:rPr>
                    <m:t>essai</m:t>
                  </m:r>
                </m:sub>
              </m:sSub>
            </m:num>
            <m:den>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lang w:val="it-IT"/>
                    </w:rPr>
                    <m:t>TI</m:t>
                  </m:r>
                </m:sub>
              </m:sSub>
              <m:r>
                <w:rPr>
                  <w:rFonts w:ascii="Cambria Math" w:hAnsi="Cambria Math" w:cs="Times New Roman"/>
                  <w:lang w:val="it-IT"/>
                </w:rPr>
                <m:t> </m:t>
              </m:r>
              <m:sSub>
                <m:sSubPr>
                  <m:ctrlPr>
                    <w:rPr>
                      <w:rFonts w:ascii="Cambria Math" w:hAnsi="Cambria Math" w:cs="Times New Roman"/>
                    </w:rPr>
                  </m:ctrlPr>
                </m:sSubPr>
                <m:e>
                  <m:r>
                    <w:rPr>
                      <w:rFonts w:ascii="Cambria Math" w:hAnsi="Cambria Math" w:cs="Times New Roman"/>
                    </w:rPr>
                    <m:t>I</m:t>
                  </m:r>
                </m:e>
                <m:sub>
                  <m:r>
                    <m:rPr>
                      <m:nor/>
                    </m:rPr>
                    <w:rPr>
                      <w:rFonts w:ascii="Times New Roman" w:hAnsi="Times New Roman" w:cs="Times New Roman"/>
                      <w:lang w:val="it-IT"/>
                    </w:rPr>
                    <m:t>TI</m:t>
                  </m:r>
                </m:sub>
              </m:sSub>
              <m:r>
                <w:rPr>
                  <w:rFonts w:ascii="Cambria Math" w:hAnsi="Cambria Math" w:cs="Times New Roman"/>
                  <w:lang w:val="it-IT"/>
                </w:rPr>
                <m:t> </m:t>
              </m:r>
              <m:r>
                <w:rPr>
                  <w:rFonts w:ascii="Cambria Math" w:hAnsi="Cambria Math" w:cs="Times New Roman"/>
                  <w:lang w:val="it-IT"/>
                </w:rPr>
                <m:t>+ 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m:t>
                  </m:r>
                </m:sub>
              </m:sSub>
              <m:r>
                <w:rPr>
                  <w:rFonts w:ascii="Cambria Math" w:hAnsi="Cambria Math" w:cs="Times New Roman"/>
                  <w:lang w:val="it-IT"/>
                </w:rPr>
                <m:t> </m:t>
              </m:r>
              <m:sSub>
                <m:sSubPr>
                  <m:ctrlPr>
                    <w:rPr>
                      <w:rFonts w:ascii="Cambria Math" w:hAnsi="Cambria Math" w:cs="Times New Roman"/>
                    </w:rPr>
                  </m:ctrlPr>
                </m:sSubPr>
                <m:e>
                  <m:r>
                    <w:rPr>
                      <w:rFonts w:ascii="Cambria Math" w:hAnsi="Cambria Math" w:cs="Times New Roman"/>
                    </w:rPr>
                    <m:t>I</m:t>
                  </m:r>
                </m:e>
                <m:sub>
                  <m:r>
                    <m:rPr>
                      <m:nor/>
                    </m:rPr>
                    <w:rPr>
                      <w:rFonts w:ascii="Times New Roman" w:hAnsi="Times New Roman" w:cs="Times New Roman"/>
                      <w:lang w:val="it-IT"/>
                    </w:rPr>
                    <m:t>câble</m:t>
                  </m:r>
                </m:sub>
              </m:sSub>
            </m:den>
          </m:f>
          <m:r>
            <w:rPr>
              <w:rFonts w:ascii="Cambria Math" w:hAnsi="Cambria Math" w:cs="Times New Roman"/>
              <w:lang w:val="it-IT"/>
            </w:rPr>
            <m:t>  </m:t>
          </m:r>
          <m:r>
            <w:rPr>
              <w:rFonts w:ascii="Cambria Math" w:hAnsi="Cambria Math" w:cs="Times New Roman"/>
              <w:lang w:val="it-IT"/>
            </w:rPr>
            <m:t>(</m:t>
          </m:r>
          <m:r>
            <m:rPr>
              <m:sty m:val="p"/>
            </m:rPr>
            <w:rPr>
              <w:rFonts w:ascii="Cambria Math" w:hAnsi="Cambria Math" w:cs="Times New Roman"/>
              <w:lang w:val="it-IT"/>
            </w:rPr>
            <m:t>I.3</m:t>
          </m:r>
          <m:r>
            <w:rPr>
              <w:rFonts w:ascii="Cambria Math" w:hAnsi="Cambria Math" w:cs="Times New Roman"/>
              <w:lang w:val="it-IT"/>
            </w:rPr>
            <m:t>)</m:t>
          </m:r>
        </m:oMath>
      </m:oMathPara>
    </w:p>
    <w:p w14:paraId="568DB417" w14:textId="77777777" w:rsidR="00097F96" w:rsidRPr="00A53093" w:rsidRDefault="00006368" w:rsidP="00DB3A33">
      <w:pPr>
        <w:pStyle w:val="FirstParagraph"/>
        <w:spacing w:line="360" w:lineRule="auto"/>
        <w:jc w:val="both"/>
        <w:rPr>
          <w:rFonts w:ascii="Times New Roman" w:hAnsi="Times New Roman" w:cs="Times New Roman"/>
        </w:rPr>
      </w:pPr>
      <w:proofErr w:type="gramStart"/>
      <w:r w:rsidRPr="00A53093">
        <w:rPr>
          <w:rFonts w:ascii="Times New Roman" w:hAnsi="Times New Roman" w:cs="Times New Roman"/>
        </w:rPr>
        <w:t>avec</w:t>
      </w:r>
      <w:proofErr w:type="gramEnd"/>
      <w:r w:rsidRPr="00A5309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U</m:t>
            </m:r>
          </m:e>
          <m:sub>
            <m:r>
              <m:rPr>
                <m:nor/>
              </m:rPr>
              <w:rPr>
                <w:rFonts w:ascii="Times New Roman" w:hAnsi="Times New Roman" w:cs="Times New Roman"/>
              </w:rPr>
              <m:t>essai</m:t>
            </m:r>
          </m:sub>
        </m:sSub>
        <m:r>
          <w:rPr>
            <w:rFonts w:ascii="Cambria Math" w:hAnsi="Cambria Math" w:cs="Times New Roman"/>
          </w:rPr>
          <m:t>=5,000 </m:t>
        </m:r>
        <m:r>
          <m:rPr>
            <m:sty m:val="p"/>
          </m:rPr>
          <w:rPr>
            <w:rFonts w:ascii="Cambria Math" w:hAnsi="Cambria Math" w:cs="Times New Roman"/>
          </w:rPr>
          <m:t>kV</m:t>
        </m:r>
      </m:oMath>
      <w:r w:rsidRPr="00A5309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I</m:t>
            </m:r>
          </m:e>
          <m:sub>
            <m:r>
              <m:rPr>
                <m:nor/>
              </m:rPr>
              <w:rPr>
                <w:rFonts w:ascii="Times New Roman" w:hAnsi="Times New Roman" w:cs="Times New Roman"/>
              </w:rPr>
              <m:t>T</m:t>
            </m:r>
            <m:r>
              <m:rPr>
                <m:nor/>
              </m:rPr>
              <w:rPr>
                <w:rFonts w:ascii="Times New Roman" w:hAnsi="Times New Roman" w:cs="Times New Roman"/>
              </w:rPr>
              <m:t>I</m:t>
            </m:r>
          </m:sub>
        </m:sSub>
        <m:r>
          <w:rPr>
            <w:rFonts w:ascii="Cambria Math" w:hAnsi="Cambria Math" w:cs="Times New Roman"/>
          </w:rPr>
          <m:t>=2 </m:t>
        </m:r>
        <m:r>
          <w:rPr>
            <w:rFonts w:ascii="Cambria Math" w:hAnsi="Cambria Math" w:cs="Times New Roman"/>
          </w:rPr>
          <m:t>μ</m:t>
        </m:r>
        <m:r>
          <m:rPr>
            <m:sty m:val="p"/>
          </m:rPr>
          <w:rPr>
            <w:rFonts w:ascii="Cambria Math" w:hAnsi="Cambria Math" w:cs="Times New Roman"/>
          </w:rPr>
          <m:t>A/TI</m:t>
        </m:r>
      </m:oMath>
      <w:r w:rsidRPr="00A53093">
        <w:rPr>
          <w:rFonts w:ascii="Times New Roman" w:hAnsi="Times New Roman" w:cs="Times New Roman"/>
        </w:rPr>
        <w:t xml:space="preserve"> (courant de fuite unitaire au primaire), </w:t>
      </w:r>
      <m:oMath>
        <m:sSub>
          <m:sSubPr>
            <m:ctrlPr>
              <w:rPr>
                <w:rFonts w:ascii="Cambria Math" w:hAnsi="Cambria Math" w:cs="Times New Roman"/>
              </w:rPr>
            </m:ctrlPr>
          </m:sSubPr>
          <m:e>
            <m:r>
              <w:rPr>
                <w:rFonts w:ascii="Cambria Math" w:hAnsi="Cambria Math" w:cs="Times New Roman"/>
              </w:rPr>
              <m:t>I</m:t>
            </m:r>
          </m:e>
          <m:sub>
            <m:r>
              <m:rPr>
                <m:nor/>
              </m:rPr>
              <w:rPr>
                <w:rFonts w:ascii="Times New Roman" w:hAnsi="Times New Roman" w:cs="Times New Roman"/>
              </w:rPr>
              <m:t>câble</m:t>
            </m:r>
          </m:sub>
        </m:sSub>
        <m:r>
          <w:rPr>
            <w:rFonts w:ascii="Cambria Math" w:hAnsi="Cambria Math" w:cs="Times New Roman"/>
          </w:rPr>
          <m:t>=10 </m:t>
        </m:r>
        <m:r>
          <w:rPr>
            <w:rFonts w:ascii="Cambria Math" w:hAnsi="Cambria Math" w:cs="Times New Roman"/>
          </w:rPr>
          <m:t>μ</m:t>
        </m:r>
        <m:r>
          <m:rPr>
            <m:sty m:val="p"/>
          </m:rPr>
          <w:rPr>
            <w:rFonts w:ascii="Cambria Math" w:hAnsi="Cambria Math" w:cs="Times New Roman"/>
          </w:rPr>
          <m:t>A/km</m:t>
        </m:r>
      </m:oMath>
      <w:r w:rsidRPr="00A53093">
        <w:rPr>
          <w:rFonts w:ascii="Times New Roman" w:hAnsi="Times New Roman" w:cs="Times New Roman"/>
        </w:rPr>
        <w:t xml:space="preserve"> (courant de fuite linéique),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TI</m:t>
            </m:r>
          </m:sub>
        </m:sSub>
      </m:oMath>
      <w:r w:rsidRPr="00A53093">
        <w:rPr>
          <w:rFonts w:ascii="Times New Roman" w:hAnsi="Times New Roman" w:cs="Times New Roman"/>
        </w:rPr>
        <w:t xml:space="preserve"> le nombre de TI de la boucle et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m:t>
            </m:r>
          </m:sub>
        </m:sSub>
      </m:oMath>
      <w:r w:rsidRPr="00A53093">
        <w:rPr>
          <w:rFonts w:ascii="Times New Roman" w:hAnsi="Times New Roman" w:cs="Times New Roman"/>
        </w:rPr>
        <w:t xml:space="preserve"> sa longueur totale en kilomètres. Cette formule constitue le </w:t>
      </w:r>
      <w:r w:rsidRPr="00A53093">
        <w:rPr>
          <w:rFonts w:ascii="Times New Roman" w:hAnsi="Times New Roman" w:cs="Times New Roman"/>
          <w:b/>
        </w:rPr>
        <w:t>repère réglementaire de référence</w:t>
      </w:r>
      <w:r w:rsidRPr="00A53093">
        <w:rPr>
          <w:rFonts w:ascii="Times New Roman" w:hAnsi="Times New Roman" w:cs="Times New Roman"/>
        </w:rPr>
        <w:t xml:space="preserve"> du système de survei</w:t>
      </w:r>
      <w:r w:rsidRPr="00A53093">
        <w:rPr>
          <w:rFonts w:ascii="Times New Roman" w:hAnsi="Times New Roman" w:cs="Times New Roman"/>
        </w:rPr>
        <w:t>llance à concevoir.</w:t>
      </w:r>
    </w:p>
    <w:p w14:paraId="1542C82D" w14:textId="77777777" w:rsidR="00097F96" w:rsidRPr="00A53093" w:rsidRDefault="00006368" w:rsidP="00A53093">
      <w:pPr>
        <w:pStyle w:val="BodyText"/>
        <w:jc w:val="both"/>
        <w:rPr>
          <w:rFonts w:ascii="Times New Roman" w:hAnsi="Times New Roman" w:cs="Times New Roman"/>
        </w:rPr>
      </w:pPr>
      <w:r w:rsidRPr="00A53093">
        <w:rPr>
          <w:rFonts w:ascii="Times New Roman" w:hAnsi="Times New Roman" w:cs="Times New Roman"/>
        </w:rPr>
        <w:t>À titre d’illustration, pour la boucle D (</w:t>
      </w:r>
      <w:r w:rsidRPr="00A53093">
        <w:rPr>
          <w:rFonts w:ascii="Times New Roman" w:hAnsi="Times New Roman" w:cs="Times New Roman"/>
          <w:i/>
        </w:rPr>
        <w:t>Bord de piste — demi-piste 1</w:t>
      </w:r>
      <w:r w:rsidRPr="00A5309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m:t>
            </m:r>
          </m:sub>
        </m:sSub>
        <m:r>
          <w:rPr>
            <w:rFonts w:ascii="Cambria Math" w:hAnsi="Cambria Math" w:cs="Times New Roman"/>
          </w:rPr>
          <m:t>≈9,007</m:t>
        </m:r>
      </m:oMath>
      <w:r w:rsidRPr="00A53093">
        <w:rPr>
          <w:rFonts w:ascii="Times New Roman" w:hAnsi="Times New Roman" w:cs="Times New Roman"/>
        </w:rPr>
        <w:t xml:space="preserve"> km,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TI</m:t>
            </m:r>
          </m:sub>
        </m:sSub>
        <m:r>
          <w:rPr>
            <w:rFonts w:ascii="Cambria Math" w:hAnsi="Cambria Math" w:cs="Times New Roman"/>
          </w:rPr>
          <m:t>=80</m:t>
        </m:r>
      </m:oMath>
      <w:r w:rsidRPr="00A53093">
        <w:rPr>
          <w:rFonts w:ascii="Times New Roman" w:hAnsi="Times New Roman" w:cs="Times New Roman"/>
        </w:rPr>
        <w:t>), l’application numérique donne :</w:t>
      </w:r>
    </w:p>
    <w:p w14:paraId="3E061674" w14:textId="77777777" w:rsidR="00097F96" w:rsidRPr="00A53093" w:rsidRDefault="00006368" w:rsidP="00A53093">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min</m:t>
              </m:r>
            </m:sub>
          </m:sSub>
          <m:r>
            <w:rPr>
              <w:rFonts w:ascii="Cambria Math" w:hAnsi="Cambria Math" w:cs="Times New Roman"/>
            </w:rPr>
            <m:t>(</m:t>
          </m:r>
          <m:r>
            <m:rPr>
              <m:sty m:val="p"/>
            </m:rPr>
            <w:rPr>
              <w:rFonts w:ascii="Cambria Math" w:hAnsi="Cambria Math" w:cs="Times New Roman"/>
            </w:rPr>
            <m:t>D</m:t>
          </m:r>
          <m:r>
            <w:rPr>
              <w:rFonts w:ascii="Cambria Math" w:hAnsi="Cambria Math" w:cs="Times New Roman"/>
            </w:rPr>
            <m:t>) = </m:t>
          </m:r>
          <m:f>
            <m:fPr>
              <m:ctrlPr>
                <w:rPr>
                  <w:rFonts w:ascii="Cambria Math" w:hAnsi="Cambria Math" w:cs="Times New Roman"/>
                </w:rPr>
              </m:ctrlPr>
            </m:fPr>
            <m:num>
              <m:r>
                <w:rPr>
                  <w:rFonts w:ascii="Cambria Math" w:hAnsi="Cambria Math" w:cs="Times New Roman"/>
                </w:rPr>
                <m:t>5 000</m:t>
              </m:r>
            </m:num>
            <m:den>
              <m:r>
                <w:rPr>
                  <w:rFonts w:ascii="Cambria Math" w:hAnsi="Cambria Math" w:cs="Times New Roman"/>
                </w:rPr>
                <m:t>80×2⋅</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m:t>
                  </m:r>
                  <m:r>
                    <w:rPr>
                      <w:rFonts w:ascii="Cambria Math" w:hAnsi="Cambria Math" w:cs="Times New Roman"/>
                    </w:rPr>
                    <m:t>6</m:t>
                  </m:r>
                </m:sup>
              </m:sSup>
              <m:r>
                <w:rPr>
                  <w:rFonts w:ascii="Cambria Math" w:hAnsi="Cambria Math" w:cs="Times New Roman"/>
                </w:rPr>
                <m:t> </m:t>
              </m:r>
              <m:r>
                <w:rPr>
                  <w:rFonts w:ascii="Cambria Math" w:hAnsi="Cambria Math" w:cs="Times New Roman"/>
                </w:rPr>
                <m:t>+ 9,007×10⋅</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m:t>
                  </m:r>
                  <m:r>
                    <w:rPr>
                      <w:rFonts w:ascii="Cambria Math" w:hAnsi="Cambria Math" w:cs="Times New Roman"/>
                    </w:rPr>
                    <m:t>6</m:t>
                  </m:r>
                </m:sup>
              </m:sSup>
            </m:den>
          </m:f>
          <m:r>
            <w:rPr>
              <w:rFonts w:ascii="Cambria Math" w:hAnsi="Cambria Math" w:cs="Times New Roman"/>
            </w:rPr>
            <m:t> ≈ </m:t>
          </m:r>
          <m:r>
            <w:rPr>
              <w:rFonts w:ascii="Cambria Math" w:hAnsi="Cambria Math" w:cs="Times New Roman"/>
            </w:rPr>
            <m:t>20 </m:t>
          </m:r>
          <m:r>
            <m:rPr>
              <m:sty m:val="p"/>
            </m:rPr>
            <w:rPr>
              <w:rFonts w:ascii="Cambria Math" w:hAnsi="Cambria Math" w:cs="Times New Roman"/>
            </w:rPr>
            <m:t>M</m:t>
          </m:r>
          <m:r>
            <w:rPr>
              <w:rFonts w:ascii="Cambria Math" w:hAnsi="Cambria Math" w:cs="Times New Roman"/>
            </w:rPr>
            <m:t>Ω</m:t>
          </m:r>
          <m:r>
            <w:rPr>
              <w:rFonts w:ascii="Cambria Math" w:hAnsi="Cambria Math" w:cs="Times New Roman"/>
            </w:rPr>
            <m:t>  </m:t>
          </m:r>
          <m:r>
            <w:rPr>
              <w:rFonts w:ascii="Cambria Math" w:hAnsi="Cambria Math" w:cs="Times New Roman"/>
            </w:rPr>
            <m:t>(</m:t>
          </m:r>
          <m:r>
            <m:rPr>
              <m:sty m:val="p"/>
            </m:rPr>
            <w:rPr>
              <w:rFonts w:ascii="Cambria Math" w:hAnsi="Cambria Math" w:cs="Times New Roman"/>
            </w:rPr>
            <m:t>I.4</m:t>
          </m:r>
          <m:r>
            <w:rPr>
              <w:rFonts w:ascii="Cambria Math" w:hAnsi="Cambria Math" w:cs="Times New Roman"/>
            </w:rPr>
            <m:t>)</m:t>
          </m:r>
        </m:oMath>
      </m:oMathPara>
    </w:p>
    <w:p w14:paraId="0A982B26" w14:textId="77777777" w:rsidR="00097F96" w:rsidRPr="00A53093" w:rsidRDefault="00006368" w:rsidP="00DB3A33">
      <w:pPr>
        <w:pStyle w:val="FirstParagraph"/>
        <w:spacing w:line="360" w:lineRule="auto"/>
        <w:jc w:val="both"/>
        <w:rPr>
          <w:rFonts w:ascii="Times New Roman" w:hAnsi="Times New Roman" w:cs="Times New Roman"/>
        </w:rPr>
      </w:pPr>
      <w:r w:rsidRPr="00A53093">
        <w:rPr>
          <w:rFonts w:ascii="Times New Roman" w:hAnsi="Times New Roman" w:cs="Times New Roman"/>
        </w:rPr>
        <w:t>La valeur mesurée lors de la recette provisoire —</w:t>
      </w:r>
      <w:r w:rsidRPr="00A53093">
        <w:rPr>
          <w:rFonts w:ascii="Times New Roman" w:hAnsi="Times New Roman" w:cs="Times New Roman"/>
        </w:rPr>
        <w:t xml:space="preserve"> </w:t>
      </w:r>
      <w:r w:rsidRPr="00A53093">
        <w:rPr>
          <w:rFonts w:ascii="Times New Roman" w:hAnsi="Times New Roman" w:cs="Times New Roman"/>
          <w:b/>
        </w:rPr>
        <w:t>34,5 MΩ</w:t>
      </w:r>
      <w:r w:rsidRPr="00A53093">
        <w:rPr>
          <w:rFonts w:ascii="Times New Roman" w:hAnsi="Times New Roman" w:cs="Times New Roman"/>
        </w:rPr>
        <w:t xml:space="preserve"> (INEO/FINEO, 2021, § 1.10.3.2) — dépasse très largement ce seuil, ce qui traduit l’état neuf des installations à la mise en service. Le rôle du futur système de surveillance sera précisément de détecter, en exploitation, toute dégradation progress</w:t>
      </w:r>
      <w:r w:rsidRPr="00A53093">
        <w:rPr>
          <w:rFonts w:ascii="Times New Roman" w:hAnsi="Times New Roman" w:cs="Times New Roman"/>
        </w:rPr>
        <w:t>ive se rapprochant de cette valeur plancher.</w:t>
      </w:r>
    </w:p>
    <w:p w14:paraId="0ABBFD77" w14:textId="77777777" w:rsidR="00097F96" w:rsidRPr="00A53093" w:rsidRDefault="00006368" w:rsidP="00A53093">
      <w:pPr>
        <w:pStyle w:val="Heading2"/>
        <w:jc w:val="both"/>
        <w:rPr>
          <w:rFonts w:ascii="Times New Roman" w:hAnsi="Times New Roman" w:cs="Times New Roman"/>
          <w:color w:val="auto"/>
        </w:rPr>
      </w:pPr>
      <w:bookmarkStart w:id="26" w:name="Xad54f9776f4ad3c9af070fc28c77c1316b8b217"/>
      <w:bookmarkStart w:id="27" w:name="_Toc227494149"/>
      <w:r w:rsidRPr="00A53093">
        <w:rPr>
          <w:rFonts w:ascii="Times New Roman" w:hAnsi="Times New Roman" w:cs="Times New Roman"/>
          <w:color w:val="auto"/>
        </w:rPr>
        <w:t>I.5. Vers le schéma électrique équivalent</w:t>
      </w:r>
      <w:bookmarkEnd w:id="26"/>
      <w:bookmarkEnd w:id="27"/>
    </w:p>
    <w:p w14:paraId="68F77B98" w14:textId="77777777" w:rsidR="00097F96" w:rsidRPr="00A53093" w:rsidRDefault="00006368" w:rsidP="00DB3A33">
      <w:pPr>
        <w:pStyle w:val="FirstParagraph"/>
        <w:spacing w:line="360" w:lineRule="auto"/>
        <w:jc w:val="both"/>
        <w:rPr>
          <w:rFonts w:ascii="Times New Roman" w:hAnsi="Times New Roman" w:cs="Times New Roman"/>
        </w:rPr>
      </w:pPr>
      <w:r w:rsidRPr="00A53093">
        <w:rPr>
          <w:rFonts w:ascii="Times New Roman" w:hAnsi="Times New Roman" w:cs="Times New Roman"/>
        </w:rPr>
        <w:t>Les quatre sections précédentes (topologie, régulateur, transformateurs d’isolement, cadre réglementaire) fournissent l’ensemble des briques physiques qu’il faudra maint</w:t>
      </w:r>
      <w:r w:rsidRPr="00A53093">
        <w:rPr>
          <w:rFonts w:ascii="Times New Roman" w:hAnsi="Times New Roman" w:cs="Times New Roman"/>
        </w:rPr>
        <w:t xml:space="preserve">enant </w:t>
      </w:r>
      <w:r w:rsidRPr="00A53093">
        <w:rPr>
          <w:rFonts w:ascii="Times New Roman" w:hAnsi="Times New Roman" w:cs="Times New Roman"/>
          <w:b/>
        </w:rPr>
        <w:t>modéliser</w:t>
      </w:r>
      <w:r w:rsidRPr="00A53093">
        <w:rPr>
          <w:rFonts w:ascii="Times New Roman" w:hAnsi="Times New Roman" w:cs="Times New Roman"/>
        </w:rPr>
        <w:t xml:space="preserve"> pour construire un jumeau numérique exploitable de chacune des onze boucles du site.</w:t>
      </w:r>
    </w:p>
    <w:p w14:paraId="794D6D5A" w14:textId="77777777" w:rsidR="00097F96" w:rsidRPr="00A53093" w:rsidRDefault="00006368" w:rsidP="00DB3A33">
      <w:pPr>
        <w:pStyle w:val="BodyText"/>
        <w:spacing w:line="360" w:lineRule="auto"/>
        <w:jc w:val="both"/>
        <w:rPr>
          <w:rFonts w:ascii="Times New Roman" w:hAnsi="Times New Roman" w:cs="Times New Roman"/>
        </w:rPr>
      </w:pPr>
      <w:r w:rsidRPr="00A53093">
        <w:rPr>
          <w:rFonts w:ascii="Times New Roman" w:hAnsi="Times New Roman" w:cs="Times New Roman"/>
        </w:rPr>
        <w:t>Le schéma électrique équivalent qui en résultera — non développé ici, car il fait l’objet d’un chapitre ultérieur — est annoncé en trois usages complémenta</w:t>
      </w:r>
      <w:r w:rsidRPr="00A53093">
        <w:rPr>
          <w:rFonts w:ascii="Times New Roman" w:hAnsi="Times New Roman" w:cs="Times New Roman"/>
        </w:rPr>
        <w:t xml:space="preserve">ires : (i) </w:t>
      </w:r>
      <w:r w:rsidRPr="00A53093">
        <w:rPr>
          <w:rFonts w:ascii="Times New Roman" w:hAnsi="Times New Roman" w:cs="Times New Roman"/>
          <w:b/>
        </w:rPr>
        <w:t>valider</w:t>
      </w:r>
      <w:r w:rsidRPr="00A53093">
        <w:rPr>
          <w:rFonts w:ascii="Times New Roman" w:hAnsi="Times New Roman" w:cs="Times New Roman"/>
        </w:rPr>
        <w:t xml:space="preserve"> les signatures attendues en régime nominal en les confrontant aux </w:t>
      </w:r>
      <w:r w:rsidRPr="00A53093">
        <w:rPr>
          <w:rFonts w:ascii="Times New Roman" w:hAnsi="Times New Roman" w:cs="Times New Roman"/>
        </w:rPr>
        <w:t>mesures terrain ASECNA</w:t>
      </w:r>
      <w:r w:rsidRPr="00A53093">
        <w:rPr>
          <w:rFonts w:ascii="Times New Roman" w:hAnsi="Times New Roman" w:cs="Times New Roman"/>
        </w:rPr>
        <w:t xml:space="preserve"> ; (ii) </w:t>
      </w:r>
      <w:r w:rsidRPr="00A53093">
        <w:rPr>
          <w:rFonts w:ascii="Times New Roman" w:hAnsi="Times New Roman" w:cs="Times New Roman"/>
          <w:b/>
        </w:rPr>
        <w:t>simuler</w:t>
      </w:r>
      <w:r w:rsidRPr="00A53093">
        <w:rPr>
          <w:rFonts w:ascii="Times New Roman" w:hAnsi="Times New Roman" w:cs="Times New Roman"/>
        </w:rPr>
        <w:t xml:space="preserve"> des scénarios de défaut (humidité progressive, court-circuit franc, parafoudre dégradé, TI saturé défaillant) à différentes positions</w:t>
      </w:r>
      <w:r w:rsidRPr="00A53093">
        <w:rPr>
          <w:rFonts w:ascii="Times New Roman" w:hAnsi="Times New Roman" w:cs="Times New Roman"/>
        </w:rPr>
        <w:t xml:space="preserve"> dans la boucle, en vue d’étudier la sensibilité de la signature observée depuis le régulateur ; et (iii) </w:t>
      </w:r>
      <w:r w:rsidRPr="00A53093">
        <w:rPr>
          <w:rFonts w:ascii="Times New Roman" w:hAnsi="Times New Roman" w:cs="Times New Roman"/>
          <w:b/>
        </w:rPr>
        <w:t>générer</w:t>
      </w:r>
      <w:r w:rsidRPr="00A53093">
        <w:rPr>
          <w:rFonts w:ascii="Times New Roman" w:hAnsi="Times New Roman" w:cs="Times New Roman"/>
        </w:rPr>
        <w:t xml:space="preserve"> les données d’entraînement des modèles d’apprentissage utilisés pour la localisation automatique (chapitres suivants).</w:t>
      </w:r>
    </w:p>
    <w:p w14:paraId="2A690E8E" w14:textId="77777777" w:rsidR="00097F96" w:rsidRPr="00A53093" w:rsidRDefault="00006368" w:rsidP="00DB3A33">
      <w:pPr>
        <w:pStyle w:val="BodyText"/>
        <w:spacing w:line="360" w:lineRule="auto"/>
        <w:jc w:val="both"/>
        <w:rPr>
          <w:rFonts w:ascii="Times New Roman" w:hAnsi="Times New Roman" w:cs="Times New Roman"/>
        </w:rPr>
      </w:pPr>
      <w:r w:rsidRPr="00A53093">
        <w:rPr>
          <w:rFonts w:ascii="Times New Roman" w:hAnsi="Times New Roman" w:cs="Times New Roman"/>
        </w:rPr>
        <w:t>Cette partie constituer</w:t>
      </w:r>
      <w:r w:rsidRPr="00A53093">
        <w:rPr>
          <w:rFonts w:ascii="Times New Roman" w:hAnsi="Times New Roman" w:cs="Times New Roman"/>
        </w:rPr>
        <w:t xml:space="preserve">a la charnière entre la description de l’installation réelle — objet du présent chapitre — et la conception algorithmique du système de surveillance et de localisation exposée </w:t>
      </w:r>
      <w:r w:rsidRPr="00A53093">
        <w:rPr>
          <w:rFonts w:ascii="Times New Roman" w:hAnsi="Times New Roman" w:cs="Times New Roman"/>
        </w:rPr>
        <w:lastRenderedPageBreak/>
        <w:t>dans la suite du mémoire. Avant d’y entrer, le chapitre II dresse l’état de l’ar</w:t>
      </w:r>
      <w:r w:rsidRPr="00A53093">
        <w:rPr>
          <w:rFonts w:ascii="Times New Roman" w:hAnsi="Times New Roman" w:cs="Times New Roman"/>
        </w:rPr>
        <w:t>t des solutions existantes, afin d’identifier précisément les verrous scientifiques et techniques que ce jumeau numérique aura à lever.</w:t>
      </w:r>
    </w:p>
    <w:p w14:paraId="1B6036FA" w14:textId="77777777" w:rsidR="00097F96" w:rsidRPr="00A53093" w:rsidRDefault="00006368" w:rsidP="00A53093">
      <w:pPr>
        <w:pStyle w:val="Heading2"/>
        <w:jc w:val="both"/>
        <w:rPr>
          <w:rFonts w:ascii="Times New Roman" w:hAnsi="Times New Roman" w:cs="Times New Roman"/>
          <w:color w:val="auto"/>
        </w:rPr>
      </w:pPr>
      <w:bookmarkStart w:id="28" w:name="références"/>
      <w:bookmarkStart w:id="29" w:name="_Toc227494150"/>
      <w:r w:rsidRPr="00A53093">
        <w:rPr>
          <w:rFonts w:ascii="Times New Roman" w:hAnsi="Times New Roman" w:cs="Times New Roman"/>
          <w:color w:val="auto"/>
        </w:rPr>
        <w:t>Références</w:t>
      </w:r>
      <w:bookmarkEnd w:id="28"/>
      <w:bookmarkEnd w:id="29"/>
    </w:p>
    <w:p w14:paraId="5529E30B" w14:textId="77777777" w:rsidR="00097F96" w:rsidRPr="00A53093" w:rsidRDefault="00006368" w:rsidP="00A53093">
      <w:pPr>
        <w:pStyle w:val="Heading3"/>
        <w:jc w:val="both"/>
        <w:rPr>
          <w:rFonts w:ascii="Times New Roman" w:hAnsi="Times New Roman" w:cs="Times New Roman"/>
          <w:color w:val="auto"/>
        </w:rPr>
      </w:pPr>
      <w:bookmarkStart w:id="30" w:name="sources-externes-publiées"/>
      <w:bookmarkStart w:id="31" w:name="_Toc227494151"/>
      <w:r w:rsidRPr="00A53093">
        <w:rPr>
          <w:rFonts w:ascii="Times New Roman" w:hAnsi="Times New Roman" w:cs="Times New Roman"/>
          <w:color w:val="auto"/>
        </w:rPr>
        <w:t>Sources externes publiées</w:t>
      </w:r>
      <w:bookmarkEnd w:id="30"/>
      <w:bookmarkEnd w:id="31"/>
    </w:p>
    <w:p w14:paraId="42F80F1D" w14:textId="77777777" w:rsidR="00097F96" w:rsidRPr="00A53093" w:rsidRDefault="00006368" w:rsidP="00A53093">
      <w:pPr>
        <w:pStyle w:val="FirstParagraph"/>
        <w:jc w:val="both"/>
        <w:rPr>
          <w:rFonts w:ascii="Times New Roman" w:hAnsi="Times New Roman" w:cs="Times New Roman"/>
        </w:rPr>
      </w:pPr>
      <w:r w:rsidRPr="00A53093">
        <w:rPr>
          <w:rFonts w:ascii="Times New Roman" w:hAnsi="Times New Roman" w:cs="Times New Roman"/>
        </w:rPr>
        <w:t xml:space="preserve">AFNOR. (2010). </w:t>
      </w:r>
      <w:r w:rsidRPr="00A53093">
        <w:rPr>
          <w:rFonts w:ascii="Times New Roman" w:hAnsi="Times New Roman" w:cs="Times New Roman"/>
          <w:i/>
        </w:rPr>
        <w:t>NF C 33-225 — Câbles isolés ou protégés pour installations à tension assignée au plus égale à 18/30 (36) kV : câbles unipolaires 1 × 6 mm² pour le balisage d’aérodromes</w:t>
      </w:r>
      <w:r w:rsidRPr="00A53093">
        <w:rPr>
          <w:rFonts w:ascii="Times New Roman" w:hAnsi="Times New Roman" w:cs="Times New Roman"/>
        </w:rPr>
        <w:t>. Association française de normalisation, La Plaine Saint-Denis, France.</w:t>
      </w:r>
    </w:p>
    <w:p w14:paraId="41689783" w14:textId="77777777" w:rsidR="00097F96" w:rsidRPr="00A53093" w:rsidRDefault="00006368" w:rsidP="00A53093">
      <w:pPr>
        <w:pStyle w:val="BodyText"/>
        <w:jc w:val="both"/>
        <w:rPr>
          <w:rFonts w:ascii="Times New Roman" w:hAnsi="Times New Roman" w:cs="Times New Roman"/>
        </w:rPr>
      </w:pPr>
      <w:r w:rsidRPr="00A53093">
        <w:rPr>
          <w:rFonts w:ascii="Times New Roman" w:hAnsi="Times New Roman" w:cs="Times New Roman"/>
        </w:rPr>
        <w:t xml:space="preserve">CEI. (2014). </w:t>
      </w:r>
      <w:r w:rsidRPr="00A53093">
        <w:rPr>
          <w:rFonts w:ascii="Times New Roman" w:hAnsi="Times New Roman" w:cs="Times New Roman"/>
          <w:i/>
          <w:lang w:val="en-US"/>
        </w:rPr>
        <w:t>CEI 61822:2014 — Electrical installations for lighting and beaconing of aerodromes: Constant current regulators</w:t>
      </w:r>
      <w:r w:rsidRPr="00A53093">
        <w:rPr>
          <w:rFonts w:ascii="Times New Roman" w:hAnsi="Times New Roman" w:cs="Times New Roman"/>
          <w:lang w:val="en-US"/>
        </w:rPr>
        <w:t xml:space="preserve"> (2</w:t>
      </w:r>
      <w:r w:rsidRPr="00A53093">
        <w:rPr>
          <w:rFonts w:ascii="Times New Roman" w:hAnsi="Times New Roman" w:cs="Times New Roman"/>
        </w:rPr>
        <w:t>ᵉ</w:t>
      </w:r>
      <w:r w:rsidRPr="00A53093">
        <w:rPr>
          <w:rFonts w:ascii="Times New Roman" w:hAnsi="Times New Roman" w:cs="Times New Roman"/>
          <w:lang w:val="en-US"/>
        </w:rPr>
        <w:t xml:space="preserve"> </w:t>
      </w:r>
      <w:proofErr w:type="spellStart"/>
      <w:r w:rsidRPr="00A53093">
        <w:rPr>
          <w:rFonts w:ascii="Times New Roman" w:hAnsi="Times New Roman" w:cs="Times New Roman"/>
          <w:lang w:val="en-US"/>
        </w:rPr>
        <w:t>éd</w:t>
      </w:r>
      <w:proofErr w:type="spellEnd"/>
      <w:r w:rsidRPr="00A53093">
        <w:rPr>
          <w:rFonts w:ascii="Times New Roman" w:hAnsi="Times New Roman" w:cs="Times New Roman"/>
          <w:lang w:val="en-US"/>
        </w:rPr>
        <w:t xml:space="preserve">.). </w:t>
      </w:r>
      <w:r w:rsidRPr="00A53093">
        <w:rPr>
          <w:rFonts w:ascii="Times New Roman" w:hAnsi="Times New Roman" w:cs="Times New Roman"/>
        </w:rPr>
        <w:t>Commission électrotechnique internationale, Genève, Suisse.</w:t>
      </w:r>
    </w:p>
    <w:p w14:paraId="64895D78" w14:textId="77777777" w:rsidR="00097F96" w:rsidRPr="00A53093" w:rsidRDefault="00006368" w:rsidP="00A53093">
      <w:pPr>
        <w:pStyle w:val="BodyText"/>
        <w:jc w:val="both"/>
        <w:rPr>
          <w:rFonts w:ascii="Times New Roman" w:hAnsi="Times New Roman" w:cs="Times New Roman"/>
        </w:rPr>
      </w:pPr>
      <w:r w:rsidRPr="00A53093">
        <w:rPr>
          <w:rFonts w:ascii="Times New Roman" w:hAnsi="Times New Roman" w:cs="Times New Roman"/>
        </w:rPr>
        <w:t xml:space="preserve">CEI. (2015). </w:t>
      </w:r>
      <w:r w:rsidRPr="00A53093">
        <w:rPr>
          <w:rFonts w:ascii="Times New Roman" w:hAnsi="Times New Roman" w:cs="Times New Roman"/>
          <w:i/>
        </w:rPr>
        <w:t>CEI 61820-</w:t>
      </w:r>
      <w:proofErr w:type="gramStart"/>
      <w:r w:rsidRPr="00A53093">
        <w:rPr>
          <w:rFonts w:ascii="Times New Roman" w:hAnsi="Times New Roman" w:cs="Times New Roman"/>
          <w:i/>
        </w:rPr>
        <w:t>1:</w:t>
      </w:r>
      <w:proofErr w:type="gramEnd"/>
      <w:r w:rsidRPr="00A53093">
        <w:rPr>
          <w:rFonts w:ascii="Times New Roman" w:hAnsi="Times New Roman" w:cs="Times New Roman"/>
          <w:i/>
        </w:rPr>
        <w:t xml:space="preserve">2015 — Electrical installations for </w:t>
      </w:r>
      <w:r w:rsidRPr="00A53093">
        <w:rPr>
          <w:rFonts w:ascii="Times New Roman" w:hAnsi="Times New Roman" w:cs="Times New Roman"/>
          <w:i/>
        </w:rPr>
        <w:t>lighting and beaconing of aerodromes — Part 1: Fundamental principles</w:t>
      </w:r>
      <w:r w:rsidRPr="00A53093">
        <w:rPr>
          <w:rFonts w:ascii="Times New Roman" w:hAnsi="Times New Roman" w:cs="Times New Roman"/>
        </w:rPr>
        <w:t>. Commission électrotechnique internationale, Genève, Suisse.</w:t>
      </w:r>
    </w:p>
    <w:p w14:paraId="04D3BF7B" w14:textId="77777777" w:rsidR="00097F96" w:rsidRPr="00A53093" w:rsidRDefault="00006368" w:rsidP="00A53093">
      <w:pPr>
        <w:pStyle w:val="BodyText"/>
        <w:jc w:val="both"/>
        <w:rPr>
          <w:rFonts w:ascii="Times New Roman" w:hAnsi="Times New Roman" w:cs="Times New Roman"/>
        </w:rPr>
      </w:pPr>
      <w:r w:rsidRPr="00A53093">
        <w:rPr>
          <w:rFonts w:ascii="Times New Roman" w:hAnsi="Times New Roman" w:cs="Times New Roman"/>
        </w:rPr>
        <w:t xml:space="preserve">OACI. (2018). </w:t>
      </w:r>
      <w:r w:rsidRPr="00A53093">
        <w:rPr>
          <w:rFonts w:ascii="Times New Roman" w:hAnsi="Times New Roman" w:cs="Times New Roman"/>
          <w:i/>
        </w:rPr>
        <w:t>Annexe 14 à la Convention relative à l’aviation civile internationale — Aérodromes, Volume I : Conception et ex</w:t>
      </w:r>
      <w:r w:rsidRPr="00A53093">
        <w:rPr>
          <w:rFonts w:ascii="Times New Roman" w:hAnsi="Times New Roman" w:cs="Times New Roman"/>
          <w:i/>
        </w:rPr>
        <w:t>ploitation technique des aérodromes</w:t>
      </w:r>
      <w:r w:rsidRPr="00A53093">
        <w:rPr>
          <w:rFonts w:ascii="Times New Roman" w:hAnsi="Times New Roman" w:cs="Times New Roman"/>
        </w:rPr>
        <w:t xml:space="preserve"> (8</w:t>
      </w:r>
      <w:r w:rsidRPr="00A53093">
        <w:rPr>
          <w:rFonts w:ascii="Times New Roman" w:hAnsi="Times New Roman" w:cs="Times New Roman"/>
        </w:rPr>
        <w:t>ᵉ</w:t>
      </w:r>
      <w:r w:rsidRPr="00A53093">
        <w:rPr>
          <w:rFonts w:ascii="Times New Roman" w:hAnsi="Times New Roman" w:cs="Times New Roman"/>
        </w:rPr>
        <w:t xml:space="preserve"> éd.). Organisation de l’aviation civile internationale, Montréal, Canada.</w:t>
      </w:r>
    </w:p>
    <w:p w14:paraId="4A6580F7" w14:textId="77777777" w:rsidR="00097F96" w:rsidRPr="00A53093" w:rsidRDefault="00006368" w:rsidP="00A53093">
      <w:pPr>
        <w:pStyle w:val="BodyText"/>
        <w:jc w:val="both"/>
        <w:rPr>
          <w:rFonts w:ascii="Times New Roman" w:hAnsi="Times New Roman" w:cs="Times New Roman"/>
          <w:lang w:val="it-IT"/>
        </w:rPr>
      </w:pPr>
      <w:r w:rsidRPr="00A53093">
        <w:rPr>
          <w:rFonts w:ascii="Times New Roman" w:hAnsi="Times New Roman" w:cs="Times New Roman"/>
        </w:rPr>
        <w:t xml:space="preserve">OCEM Airfield Technology / Augier Energy. </w:t>
      </w:r>
      <w:r w:rsidRPr="00A53093">
        <w:rPr>
          <w:rFonts w:ascii="Times New Roman" w:hAnsi="Times New Roman" w:cs="Times New Roman"/>
          <w:lang w:val="en-US"/>
        </w:rPr>
        <w:t xml:space="preserve">(2020). </w:t>
      </w:r>
      <w:r w:rsidRPr="00A53093">
        <w:rPr>
          <w:rFonts w:ascii="Times New Roman" w:hAnsi="Times New Roman" w:cs="Times New Roman"/>
          <w:i/>
          <w:lang w:val="en-US"/>
        </w:rPr>
        <w:t>DIAM4100 — Constant current regulator: Technical manual (</w:t>
      </w:r>
      <w:proofErr w:type="spellStart"/>
      <w:r w:rsidRPr="00A53093">
        <w:rPr>
          <w:rFonts w:ascii="Times New Roman" w:hAnsi="Times New Roman" w:cs="Times New Roman"/>
          <w:i/>
          <w:lang w:val="en-US"/>
        </w:rPr>
        <w:t>Réf</w:t>
      </w:r>
      <w:proofErr w:type="spellEnd"/>
      <w:r w:rsidRPr="00A53093">
        <w:rPr>
          <w:rFonts w:ascii="Times New Roman" w:hAnsi="Times New Roman" w:cs="Times New Roman"/>
          <w:i/>
          <w:lang w:val="en-US"/>
        </w:rPr>
        <w:t xml:space="preserve">. </w:t>
      </w:r>
      <w:r w:rsidRPr="00A53093">
        <w:rPr>
          <w:rFonts w:ascii="Times New Roman" w:hAnsi="Times New Roman" w:cs="Times New Roman"/>
          <w:i/>
          <w:lang w:val="it-IT"/>
        </w:rPr>
        <w:t>ES-MT-0106)</w:t>
      </w:r>
      <w:r w:rsidRPr="00A53093">
        <w:rPr>
          <w:rFonts w:ascii="Times New Roman" w:hAnsi="Times New Roman" w:cs="Times New Roman"/>
          <w:lang w:val="it-IT"/>
        </w:rPr>
        <w:t xml:space="preserve">. OCEM </w:t>
      </w:r>
      <w:proofErr w:type="spellStart"/>
      <w:r w:rsidRPr="00A53093">
        <w:rPr>
          <w:rFonts w:ascii="Times New Roman" w:hAnsi="Times New Roman" w:cs="Times New Roman"/>
          <w:lang w:val="it-IT"/>
        </w:rPr>
        <w:t>Airfield</w:t>
      </w:r>
      <w:proofErr w:type="spellEnd"/>
      <w:r w:rsidRPr="00A53093">
        <w:rPr>
          <w:rFonts w:ascii="Times New Roman" w:hAnsi="Times New Roman" w:cs="Times New Roman"/>
          <w:lang w:val="it-IT"/>
        </w:rPr>
        <w:t xml:space="preserve"> Tec</w:t>
      </w:r>
      <w:r w:rsidRPr="00A53093">
        <w:rPr>
          <w:rFonts w:ascii="Times New Roman" w:hAnsi="Times New Roman" w:cs="Times New Roman"/>
          <w:lang w:val="it-IT"/>
        </w:rPr>
        <w:t>hnology, San Lazzaro di Savena, Italie.</w:t>
      </w:r>
    </w:p>
    <w:p w14:paraId="33114ECF" w14:textId="77777777" w:rsidR="00097F96" w:rsidRPr="00A53093" w:rsidRDefault="00006368" w:rsidP="00A53093">
      <w:pPr>
        <w:pStyle w:val="BodyText"/>
        <w:jc w:val="both"/>
        <w:rPr>
          <w:rFonts w:ascii="Times New Roman" w:hAnsi="Times New Roman" w:cs="Times New Roman"/>
        </w:rPr>
      </w:pPr>
      <w:r w:rsidRPr="00A53093">
        <w:rPr>
          <w:rFonts w:ascii="Times New Roman" w:hAnsi="Times New Roman" w:cs="Times New Roman"/>
        </w:rPr>
        <w:t xml:space="preserve">STAC. (2021a). </w:t>
      </w:r>
      <w:r w:rsidRPr="00A53093">
        <w:rPr>
          <w:rFonts w:ascii="Times New Roman" w:hAnsi="Times New Roman" w:cs="Times New Roman"/>
          <w:i/>
        </w:rPr>
        <w:t>Guide technique — État de l’art des installations du balisage lumineux</w:t>
      </w:r>
      <w:r w:rsidRPr="00A53093">
        <w:rPr>
          <w:rFonts w:ascii="Times New Roman" w:hAnsi="Times New Roman" w:cs="Times New Roman"/>
        </w:rPr>
        <w:t xml:space="preserve"> (version complète, 2021). Service technique de l’Aviation civile, Bonneuil-sur-Marne, France.</w:t>
      </w:r>
    </w:p>
    <w:p w14:paraId="3A093530" w14:textId="77777777" w:rsidR="00097F96" w:rsidRPr="00A53093" w:rsidRDefault="00006368" w:rsidP="00A53093">
      <w:pPr>
        <w:pStyle w:val="BodyText"/>
        <w:jc w:val="both"/>
        <w:rPr>
          <w:rFonts w:ascii="Times New Roman" w:hAnsi="Times New Roman" w:cs="Times New Roman"/>
        </w:rPr>
      </w:pPr>
      <w:r w:rsidRPr="00A53093">
        <w:rPr>
          <w:rFonts w:ascii="Times New Roman" w:hAnsi="Times New Roman" w:cs="Times New Roman"/>
        </w:rPr>
        <w:t xml:space="preserve">STAC. (2021b). </w:t>
      </w:r>
      <w:r w:rsidRPr="00A53093">
        <w:rPr>
          <w:rFonts w:ascii="Times New Roman" w:hAnsi="Times New Roman" w:cs="Times New Roman"/>
          <w:i/>
        </w:rPr>
        <w:t>Guide technique — Mai</w:t>
      </w:r>
      <w:r w:rsidRPr="00A53093">
        <w:rPr>
          <w:rFonts w:ascii="Times New Roman" w:hAnsi="Times New Roman" w:cs="Times New Roman"/>
          <w:i/>
        </w:rPr>
        <w:t>ntenance des installations de balisage lumineux</w:t>
      </w:r>
      <w:r w:rsidRPr="00A53093">
        <w:rPr>
          <w:rFonts w:ascii="Times New Roman" w:hAnsi="Times New Roman" w:cs="Times New Roman"/>
        </w:rPr>
        <w:t xml:space="preserve"> (v3). Service technique de l’Aviation civile, Bonneuil-sur-Marne, France.</w:t>
      </w:r>
    </w:p>
    <w:p w14:paraId="0E4A520D" w14:textId="77777777" w:rsidR="00097F96" w:rsidRPr="00A53093" w:rsidRDefault="00006368" w:rsidP="00A53093">
      <w:pPr>
        <w:pStyle w:val="Heading3"/>
        <w:jc w:val="both"/>
        <w:rPr>
          <w:rFonts w:ascii="Times New Roman" w:hAnsi="Times New Roman" w:cs="Times New Roman"/>
          <w:color w:val="auto"/>
        </w:rPr>
      </w:pPr>
      <w:bookmarkStart w:id="32" w:name="documentation-interne-asecna-non-publiée"/>
      <w:bookmarkStart w:id="33" w:name="_Toc227494152"/>
      <w:r w:rsidRPr="00A53093">
        <w:rPr>
          <w:rFonts w:ascii="Times New Roman" w:hAnsi="Times New Roman" w:cs="Times New Roman"/>
          <w:color w:val="auto"/>
        </w:rPr>
        <w:t>Documentation interne ASECNA (non publiée)</w:t>
      </w:r>
      <w:bookmarkEnd w:id="32"/>
      <w:bookmarkEnd w:id="33"/>
    </w:p>
    <w:p w14:paraId="543A6781" w14:textId="77777777" w:rsidR="00097F96" w:rsidRPr="00A53093" w:rsidRDefault="00006368" w:rsidP="00A53093">
      <w:pPr>
        <w:pStyle w:val="FirstParagraph"/>
        <w:jc w:val="both"/>
        <w:rPr>
          <w:rFonts w:ascii="Times New Roman" w:hAnsi="Times New Roman" w:cs="Times New Roman"/>
        </w:rPr>
      </w:pPr>
      <w:r w:rsidRPr="00A53093">
        <w:rPr>
          <w:rFonts w:ascii="Times New Roman" w:hAnsi="Times New Roman" w:cs="Times New Roman"/>
        </w:rPr>
        <w:t>ASECNA. (</w:t>
      </w:r>
      <w:proofErr w:type="gramStart"/>
      <w:r w:rsidRPr="00A53093">
        <w:rPr>
          <w:rFonts w:ascii="Times New Roman" w:hAnsi="Times New Roman" w:cs="Times New Roman"/>
        </w:rPr>
        <w:t>s.d.</w:t>
      </w:r>
      <w:proofErr w:type="gramEnd"/>
      <w:r w:rsidRPr="00A53093">
        <w:rPr>
          <w:rFonts w:ascii="Times New Roman" w:hAnsi="Times New Roman" w:cs="Times New Roman"/>
        </w:rPr>
        <w:t xml:space="preserve">-a). </w:t>
      </w:r>
      <w:r w:rsidRPr="00A53093">
        <w:rPr>
          <w:rFonts w:ascii="Times New Roman" w:hAnsi="Times New Roman" w:cs="Times New Roman"/>
          <w:i/>
        </w:rPr>
        <w:t xml:space="preserve">Schéma unifilaire du tableau TDBTSC1 — Bloc technique balisage, aéroport </w:t>
      </w:r>
      <w:r w:rsidRPr="00A53093">
        <w:rPr>
          <w:rFonts w:ascii="Times New Roman" w:hAnsi="Times New Roman" w:cs="Times New Roman"/>
          <w:i/>
        </w:rPr>
        <w:t>de référence du site d’étude</w:t>
      </w:r>
      <w:r w:rsidRPr="00A53093">
        <w:rPr>
          <w:rFonts w:ascii="Times New Roman" w:hAnsi="Times New Roman" w:cs="Times New Roman"/>
        </w:rPr>
        <w:t xml:space="preserve"> [Document interne, non publié]. Agence pour la Sécurité de la Navigation aérienne en Afrique et à Madagascar.</w:t>
      </w:r>
    </w:p>
    <w:p w14:paraId="5FA1B533" w14:textId="77777777" w:rsidR="00097F96" w:rsidRPr="00A53093" w:rsidRDefault="00006368" w:rsidP="00A53093">
      <w:pPr>
        <w:pStyle w:val="BodyText"/>
        <w:jc w:val="both"/>
        <w:rPr>
          <w:rFonts w:ascii="Times New Roman" w:hAnsi="Times New Roman" w:cs="Times New Roman"/>
        </w:rPr>
      </w:pPr>
      <w:r w:rsidRPr="00A53093">
        <w:rPr>
          <w:rFonts w:ascii="Times New Roman" w:hAnsi="Times New Roman" w:cs="Times New Roman"/>
        </w:rPr>
        <w:t>ASECNA. (</w:t>
      </w:r>
      <w:proofErr w:type="gramStart"/>
      <w:r w:rsidRPr="00A53093">
        <w:rPr>
          <w:rFonts w:ascii="Times New Roman" w:hAnsi="Times New Roman" w:cs="Times New Roman"/>
        </w:rPr>
        <w:t>s.d.</w:t>
      </w:r>
      <w:proofErr w:type="gramEnd"/>
      <w:r w:rsidRPr="00A53093">
        <w:rPr>
          <w:rFonts w:ascii="Times New Roman" w:hAnsi="Times New Roman" w:cs="Times New Roman"/>
        </w:rPr>
        <w:t xml:space="preserve">-b). </w:t>
      </w:r>
      <w:r w:rsidRPr="00A53093">
        <w:rPr>
          <w:rFonts w:ascii="Times New Roman" w:hAnsi="Times New Roman" w:cs="Times New Roman"/>
          <w:i/>
        </w:rPr>
        <w:t>Plans d’installation et schémas de montage des feux de balisage — site d’étude</w:t>
      </w:r>
      <w:r w:rsidRPr="00A53093">
        <w:rPr>
          <w:rFonts w:ascii="Times New Roman" w:hAnsi="Times New Roman" w:cs="Times New Roman"/>
        </w:rPr>
        <w:t xml:space="preserve"> [Documents internes,</w:t>
      </w:r>
      <w:r w:rsidRPr="00A53093">
        <w:rPr>
          <w:rFonts w:ascii="Times New Roman" w:hAnsi="Times New Roman" w:cs="Times New Roman"/>
        </w:rPr>
        <w:t xml:space="preserve"> non publiés]. Agence pour la Sécurité de la Navigation aérienne en Afrique et à Madagascar.</w:t>
      </w:r>
    </w:p>
    <w:p w14:paraId="59B15099" w14:textId="77777777" w:rsidR="00097F96" w:rsidRPr="00A53093" w:rsidRDefault="00006368" w:rsidP="00A53093">
      <w:pPr>
        <w:pStyle w:val="BodyText"/>
        <w:jc w:val="both"/>
        <w:rPr>
          <w:rFonts w:ascii="Times New Roman" w:hAnsi="Times New Roman" w:cs="Times New Roman"/>
        </w:rPr>
      </w:pPr>
      <w:r w:rsidRPr="00A53093">
        <w:rPr>
          <w:rFonts w:ascii="Times New Roman" w:hAnsi="Times New Roman" w:cs="Times New Roman"/>
          <w:lang w:val="en-US"/>
        </w:rPr>
        <w:t xml:space="preserve">INEO Engineering &amp; Systems / FINEO. (2021, 10 </w:t>
      </w:r>
      <w:proofErr w:type="spellStart"/>
      <w:r w:rsidRPr="00A53093">
        <w:rPr>
          <w:rFonts w:ascii="Times New Roman" w:hAnsi="Times New Roman" w:cs="Times New Roman"/>
          <w:lang w:val="en-US"/>
        </w:rPr>
        <w:t>novembre</w:t>
      </w:r>
      <w:proofErr w:type="spellEnd"/>
      <w:r w:rsidRPr="00A53093">
        <w:rPr>
          <w:rFonts w:ascii="Times New Roman" w:hAnsi="Times New Roman" w:cs="Times New Roman"/>
          <w:lang w:val="en-US"/>
        </w:rPr>
        <w:t xml:space="preserve">). </w:t>
      </w:r>
      <w:r w:rsidRPr="00A53093">
        <w:rPr>
          <w:rFonts w:ascii="Times New Roman" w:hAnsi="Times New Roman" w:cs="Times New Roman"/>
          <w:i/>
        </w:rPr>
        <w:t>Procès-verbal de recette provisoire des installations — Aéroport de Douala (PV 2435 30070015, Ind. D)</w:t>
      </w:r>
      <w:r w:rsidRPr="00A53093">
        <w:rPr>
          <w:rFonts w:ascii="Times New Roman" w:hAnsi="Times New Roman" w:cs="Times New Roman"/>
        </w:rPr>
        <w:t xml:space="preserve"> [Doc</w:t>
      </w:r>
      <w:r w:rsidRPr="00A53093">
        <w:rPr>
          <w:rFonts w:ascii="Times New Roman" w:hAnsi="Times New Roman" w:cs="Times New Roman"/>
        </w:rPr>
        <w:t>ument interne ASECNA, non publié]. INEO Engineering &amp; Systems, Vélizy-Villacoublay, France.</w:t>
      </w:r>
    </w:p>
    <w:sectPr w:rsidR="00097F96" w:rsidRPr="00A53093">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2668C" w14:textId="77777777" w:rsidR="00006368" w:rsidRDefault="00006368">
      <w:pPr>
        <w:spacing w:after="0"/>
      </w:pPr>
      <w:r>
        <w:separator/>
      </w:r>
    </w:p>
  </w:endnote>
  <w:endnote w:type="continuationSeparator" w:id="0">
    <w:p w14:paraId="222BABF7" w14:textId="77777777" w:rsidR="00006368" w:rsidRDefault="000063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5A7DE" w14:textId="77777777" w:rsidR="00006368" w:rsidRDefault="00006368">
      <w:r>
        <w:separator/>
      </w:r>
    </w:p>
  </w:footnote>
  <w:footnote w:type="continuationSeparator" w:id="0">
    <w:p w14:paraId="68F9B13B" w14:textId="77777777" w:rsidR="00006368" w:rsidRDefault="000063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22C40F4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ECC04B8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06368"/>
    <w:rsid w:val="00011C8B"/>
    <w:rsid w:val="00097F96"/>
    <w:rsid w:val="002144C2"/>
    <w:rsid w:val="004E29B3"/>
    <w:rsid w:val="00590D07"/>
    <w:rsid w:val="00784D58"/>
    <w:rsid w:val="008D6863"/>
    <w:rsid w:val="00A53093"/>
    <w:rsid w:val="00B86B75"/>
    <w:rsid w:val="00BC48D5"/>
    <w:rsid w:val="00C36279"/>
    <w:rsid w:val="00DB3A33"/>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315D8"/>
  <w15:docId w15:val="{18DDAB53-FD1E-4FD2-9FE6-770AE9B5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A53093"/>
    <w:pPr>
      <w:spacing w:after="100"/>
    </w:pPr>
  </w:style>
  <w:style w:type="paragraph" w:styleId="TOC2">
    <w:name w:val="toc 2"/>
    <w:basedOn w:val="Normal"/>
    <w:next w:val="Normal"/>
    <w:autoRedefine/>
    <w:uiPriority w:val="39"/>
    <w:unhideWhenUsed/>
    <w:rsid w:val="00A53093"/>
    <w:pPr>
      <w:spacing w:after="100"/>
      <w:ind w:left="240"/>
    </w:pPr>
  </w:style>
  <w:style w:type="paragraph" w:styleId="TOC3">
    <w:name w:val="toc 3"/>
    <w:basedOn w:val="Normal"/>
    <w:next w:val="Normal"/>
    <w:autoRedefine/>
    <w:uiPriority w:val="39"/>
    <w:unhideWhenUsed/>
    <w:rsid w:val="00A5309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5050</Words>
  <Characters>27777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Chapitre I — Architecture du réseau de balisage ASECNA</vt:lpstr>
    </vt:vector>
  </TitlesOfParts>
  <Company/>
  <LinksUpToDate>false</LinksUpToDate>
  <CharactersWithSpaces>32762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I — Architecture du réseau de balisage ASECNA</dc:title>
  <dc:creator>KSSS</dc:creator>
  <cp:keywords/>
  <cp:lastModifiedBy>KSSS</cp:lastModifiedBy>
  <cp:revision>2</cp:revision>
  <dcterms:created xsi:type="dcterms:W3CDTF">2026-04-19T10:30:00Z</dcterms:created>
  <dcterms:modified xsi:type="dcterms:W3CDTF">2026-04-19T10:30:00Z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Topologie physique, source d’alimentation et chaîne de charge du balisage de piste (site d’étude)</vt:lpwstr>
  </property>
</Properties>
</file>