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727BE" w14:paraId="4E8D96D9" w14:textId="77777777">
        <w:tc>
          <w:tcPr>
            <w:tcW w:w="9360" w:type="dxa"/>
            <w:tcBorders>
              <w:top w:val="none" w:sz="0" w:space="0" w:color="FFFFFF"/>
              <w:left w:val="none" w:sz="0" w:space="0" w:color="FFFFFF"/>
              <w:bottom w:val="none" w:sz="0" w:space="0" w:color="FFFFFF"/>
              <w:right w:val="none" w:sz="0" w:space="0" w:color="FFFFFF"/>
            </w:tcBorders>
            <w:shd w:val="clear" w:color="auto" w:fill="1F3B5A"/>
            <w:tcMar>
              <w:top w:w="200" w:type="dxa"/>
              <w:left w:w="240" w:type="dxa"/>
              <w:bottom w:w="200" w:type="dxa"/>
              <w:right w:w="240" w:type="dxa"/>
            </w:tcMar>
          </w:tcPr>
          <w:p w14:paraId="085402DC" w14:textId="77777777" w:rsidR="001727BE" w:rsidRDefault="004533AB">
            <w:r>
              <w:rPr>
                <w:b/>
                <w:bCs/>
                <w:color w:val="FFFFFF"/>
                <w:spacing w:val="30"/>
              </w:rPr>
              <w:t>PROPOSITION DE RECHERCHE</w:t>
            </w:r>
          </w:p>
          <w:p w14:paraId="19FE5EF5" w14:textId="77777777" w:rsidR="001727BE" w:rsidRDefault="004533AB">
            <w:r>
              <w:rPr>
                <w:color w:val="D5DEEA"/>
                <w:sz w:val="18"/>
                <w:szCs w:val="18"/>
              </w:rPr>
              <w:t>Projet de fin d'études — 2025/2026</w:t>
            </w:r>
          </w:p>
        </w:tc>
      </w:tr>
    </w:tbl>
    <w:p w14:paraId="28E0E55D" w14:textId="77777777" w:rsidR="001727BE" w:rsidRDefault="001727BE">
      <w:pPr>
        <w:spacing w:after="800"/>
      </w:pPr>
    </w:p>
    <w:p w14:paraId="4ED4E163" w14:textId="7BAB44E1" w:rsidR="001727BE" w:rsidRPr="00D87877" w:rsidRDefault="004533AB" w:rsidP="00D87877">
      <w:pPr>
        <w:spacing w:after="200" w:line="380" w:lineRule="auto"/>
        <w:jc w:val="center"/>
        <w:rPr>
          <w:sz w:val="32"/>
          <w:szCs w:val="32"/>
        </w:rPr>
      </w:pPr>
      <w:r w:rsidRPr="00D87877">
        <w:rPr>
          <w:b/>
          <w:bCs/>
          <w:color w:val="1F3B5A"/>
          <w:sz w:val="32"/>
          <w:szCs w:val="32"/>
        </w:rPr>
        <w:t>Conception d'une architecture non intrusive de surveillance</w:t>
      </w:r>
      <w:r w:rsidR="00D87877" w:rsidRPr="00D87877">
        <w:rPr>
          <w:b/>
          <w:bCs/>
          <w:color w:val="1F3B5A"/>
          <w:sz w:val="32"/>
          <w:szCs w:val="32"/>
        </w:rPr>
        <w:t xml:space="preserve">, </w:t>
      </w:r>
      <w:r w:rsidRPr="00D87877">
        <w:rPr>
          <w:b/>
          <w:bCs/>
          <w:color w:val="1F3B5A"/>
          <w:sz w:val="32"/>
          <w:szCs w:val="32"/>
        </w:rPr>
        <w:t>d'alerte et de localisation</w:t>
      </w:r>
      <w:r w:rsidR="00D87877" w:rsidRPr="00D87877">
        <w:rPr>
          <w:sz w:val="32"/>
          <w:szCs w:val="32"/>
        </w:rPr>
        <w:t xml:space="preserve"> </w:t>
      </w:r>
      <w:r w:rsidRPr="00D87877">
        <w:rPr>
          <w:b/>
          <w:bCs/>
          <w:color w:val="1F3B5A"/>
          <w:sz w:val="32"/>
          <w:szCs w:val="32"/>
        </w:rPr>
        <w:t>des défauts d'isolement sur</w:t>
      </w:r>
      <w:r w:rsidR="005E2FB4">
        <w:rPr>
          <w:b/>
          <w:bCs/>
          <w:color w:val="1F3B5A"/>
          <w:sz w:val="32"/>
          <w:szCs w:val="32"/>
        </w:rPr>
        <w:t xml:space="preserve"> le</w:t>
      </w:r>
      <w:r w:rsidRPr="00D87877">
        <w:rPr>
          <w:b/>
          <w:bCs/>
          <w:color w:val="1F3B5A"/>
          <w:sz w:val="32"/>
          <w:szCs w:val="32"/>
        </w:rPr>
        <w:t xml:space="preserve"> réseau de</w:t>
      </w:r>
      <w:r w:rsidR="00D87877" w:rsidRPr="00D87877">
        <w:rPr>
          <w:b/>
          <w:bCs/>
          <w:color w:val="1F3B5A"/>
          <w:sz w:val="32"/>
          <w:szCs w:val="32"/>
        </w:rPr>
        <w:t xml:space="preserve"> </w:t>
      </w:r>
      <w:r w:rsidRPr="00D87877">
        <w:rPr>
          <w:b/>
          <w:bCs/>
          <w:color w:val="1F3B5A"/>
          <w:sz w:val="32"/>
          <w:szCs w:val="32"/>
        </w:rPr>
        <w:t>balisage</w:t>
      </w:r>
      <w:r w:rsidR="00D87877" w:rsidRPr="00D87877">
        <w:rPr>
          <w:sz w:val="32"/>
          <w:szCs w:val="32"/>
        </w:rPr>
        <w:t xml:space="preserve"> </w:t>
      </w:r>
      <w:r w:rsidRPr="00D87877">
        <w:rPr>
          <w:b/>
          <w:bCs/>
          <w:color w:val="1F3B5A"/>
          <w:sz w:val="32"/>
          <w:szCs w:val="32"/>
        </w:rPr>
        <w:t>aéroportuaire</w:t>
      </w:r>
      <w:r w:rsidR="00D87877" w:rsidRPr="00D87877">
        <w:rPr>
          <w:sz w:val="32"/>
          <w:szCs w:val="32"/>
        </w:rPr>
        <w:t xml:space="preserve"> </w:t>
      </w:r>
      <w:r w:rsidRPr="00D87877">
        <w:rPr>
          <w:b/>
          <w:bCs/>
          <w:color w:val="1F3864" w:themeColor="accent1" w:themeShade="80"/>
          <w:sz w:val="32"/>
          <w:szCs w:val="32"/>
        </w:rPr>
        <w:t>par analyse spectrale et apprentissage automatique</w:t>
      </w:r>
    </w:p>
    <w:p w14:paraId="57D766F5" w14:textId="77777777" w:rsidR="001727BE" w:rsidRDefault="001727BE">
      <w:pPr>
        <w:pBdr>
          <w:bottom w:val="single" w:sz="12" w:space="1" w:color="C4463A"/>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727BE" w14:paraId="2EECDBE2" w14:textId="77777777">
        <w:tc>
          <w:tcPr>
            <w:tcW w:w="3000" w:type="dxa"/>
            <w:tcBorders>
              <w:top w:val="none" w:sz="0" w:space="0" w:color="FFFFFF"/>
              <w:left w:val="none" w:sz="0" w:space="0" w:color="FFFFFF"/>
              <w:bottom w:val="none" w:sz="0" w:space="0" w:color="FFFFFF"/>
              <w:right w:val="none" w:sz="0" w:space="0" w:color="FFFFFF"/>
            </w:tcBorders>
            <w:tcMar>
              <w:top w:w="100" w:type="dxa"/>
              <w:left w:w="0" w:type="dxa"/>
              <w:bottom w:w="100" w:type="dxa"/>
              <w:right w:w="200" w:type="dxa"/>
            </w:tcMar>
          </w:tcPr>
          <w:p w14:paraId="7D95B697" w14:textId="77777777" w:rsidR="001727BE" w:rsidRDefault="004533AB">
            <w:r>
              <w:rPr>
                <w:b/>
                <w:bCs/>
                <w:caps/>
                <w:color w:val="1F3B5A"/>
                <w:sz w:val="20"/>
                <w:szCs w:val="20"/>
              </w:rPr>
              <w:t>Candidat</w:t>
            </w:r>
          </w:p>
        </w:tc>
        <w:tc>
          <w:tcPr>
            <w:tcW w:w="6360" w:type="dxa"/>
            <w:tcBorders>
              <w:top w:val="none" w:sz="0" w:space="0" w:color="FFFFFF"/>
              <w:left w:val="none" w:sz="0" w:space="0" w:color="FFFFFF"/>
              <w:bottom w:val="none" w:sz="0" w:space="0" w:color="FFFFFF"/>
              <w:right w:val="none" w:sz="0" w:space="0" w:color="FFFFFF"/>
            </w:tcBorders>
            <w:tcMar>
              <w:top w:w="100" w:type="dxa"/>
              <w:left w:w="0" w:type="dxa"/>
              <w:bottom w:w="100" w:type="dxa"/>
              <w:right w:w="0" w:type="dxa"/>
            </w:tcMar>
          </w:tcPr>
          <w:p w14:paraId="738ACD24" w14:textId="77777777" w:rsidR="001727BE" w:rsidRDefault="004533AB">
            <w:r>
              <w:t>Shalom KAMOKOUE</w:t>
            </w:r>
          </w:p>
        </w:tc>
      </w:tr>
      <w:tr w:rsidR="001727BE" w14:paraId="688A3668" w14:textId="77777777">
        <w:tc>
          <w:tcPr>
            <w:tcW w:w="3000" w:type="dxa"/>
            <w:tcBorders>
              <w:top w:val="none" w:sz="0" w:space="0" w:color="FFFFFF"/>
              <w:left w:val="none" w:sz="0" w:space="0" w:color="FFFFFF"/>
              <w:bottom w:val="none" w:sz="0" w:space="0" w:color="FFFFFF"/>
              <w:right w:val="none" w:sz="0" w:space="0" w:color="FFFFFF"/>
            </w:tcBorders>
            <w:tcMar>
              <w:top w:w="100" w:type="dxa"/>
              <w:left w:w="0" w:type="dxa"/>
              <w:bottom w:w="100" w:type="dxa"/>
              <w:right w:w="200" w:type="dxa"/>
            </w:tcMar>
          </w:tcPr>
          <w:p w14:paraId="4FBC460A" w14:textId="77777777" w:rsidR="001727BE" w:rsidRDefault="004533AB">
            <w:r>
              <w:rPr>
                <w:b/>
                <w:bCs/>
                <w:caps/>
                <w:color w:val="1F3B5A"/>
                <w:sz w:val="20"/>
                <w:szCs w:val="20"/>
              </w:rPr>
              <w:t>Spécialité</w:t>
            </w:r>
          </w:p>
        </w:tc>
        <w:tc>
          <w:tcPr>
            <w:tcW w:w="6360" w:type="dxa"/>
            <w:tcBorders>
              <w:top w:val="none" w:sz="0" w:space="0" w:color="FFFFFF"/>
              <w:left w:val="none" w:sz="0" w:space="0" w:color="FFFFFF"/>
              <w:bottom w:val="none" w:sz="0" w:space="0" w:color="FFFFFF"/>
              <w:right w:val="none" w:sz="0" w:space="0" w:color="FFFFFF"/>
            </w:tcBorders>
            <w:tcMar>
              <w:top w:w="100" w:type="dxa"/>
              <w:left w:w="0" w:type="dxa"/>
              <w:bottom w:w="100" w:type="dxa"/>
              <w:right w:w="0" w:type="dxa"/>
            </w:tcMar>
          </w:tcPr>
          <w:p w14:paraId="04D7DEC7" w14:textId="77777777" w:rsidR="001727BE" w:rsidRDefault="004533AB">
            <w:r>
              <w:t>Génie Mécatronique — Robotique et Intelligence Artificielle</w:t>
            </w:r>
          </w:p>
        </w:tc>
      </w:tr>
      <w:tr w:rsidR="001727BE" w14:paraId="76C57B3D" w14:textId="77777777">
        <w:tc>
          <w:tcPr>
            <w:tcW w:w="3000" w:type="dxa"/>
            <w:tcBorders>
              <w:top w:val="none" w:sz="0" w:space="0" w:color="FFFFFF"/>
              <w:left w:val="none" w:sz="0" w:space="0" w:color="FFFFFF"/>
              <w:bottom w:val="none" w:sz="0" w:space="0" w:color="FFFFFF"/>
              <w:right w:val="none" w:sz="0" w:space="0" w:color="FFFFFF"/>
            </w:tcBorders>
            <w:tcMar>
              <w:top w:w="100" w:type="dxa"/>
              <w:left w:w="0" w:type="dxa"/>
              <w:bottom w:w="100" w:type="dxa"/>
              <w:right w:w="200" w:type="dxa"/>
            </w:tcMar>
          </w:tcPr>
          <w:p w14:paraId="195623E0" w14:textId="77777777" w:rsidR="001727BE" w:rsidRDefault="004533AB">
            <w:r>
              <w:rPr>
                <w:b/>
                <w:bCs/>
                <w:caps/>
                <w:color w:val="1F3B5A"/>
                <w:sz w:val="20"/>
                <w:szCs w:val="20"/>
              </w:rPr>
              <w:t>Établissement</w:t>
            </w:r>
          </w:p>
        </w:tc>
        <w:tc>
          <w:tcPr>
            <w:tcW w:w="6360" w:type="dxa"/>
            <w:tcBorders>
              <w:top w:val="none" w:sz="0" w:space="0" w:color="FFFFFF"/>
              <w:left w:val="none" w:sz="0" w:space="0" w:color="FFFFFF"/>
              <w:bottom w:val="none" w:sz="0" w:space="0" w:color="FFFFFF"/>
              <w:right w:val="none" w:sz="0" w:space="0" w:color="FFFFFF"/>
            </w:tcBorders>
            <w:tcMar>
              <w:top w:w="100" w:type="dxa"/>
              <w:left w:w="0" w:type="dxa"/>
              <w:bottom w:w="100" w:type="dxa"/>
              <w:right w:w="0" w:type="dxa"/>
            </w:tcMar>
          </w:tcPr>
          <w:p w14:paraId="18AB1807" w14:textId="47C2A626" w:rsidR="001727BE" w:rsidRDefault="004533AB">
            <w:r>
              <w:t xml:space="preserve">Saint Jérôme Polytechnic </w:t>
            </w:r>
          </w:p>
        </w:tc>
      </w:tr>
      <w:tr w:rsidR="001727BE" w14:paraId="23BFD44A" w14:textId="77777777">
        <w:tc>
          <w:tcPr>
            <w:tcW w:w="3000" w:type="dxa"/>
            <w:tcBorders>
              <w:top w:val="none" w:sz="0" w:space="0" w:color="FFFFFF"/>
              <w:left w:val="none" w:sz="0" w:space="0" w:color="FFFFFF"/>
              <w:bottom w:val="none" w:sz="0" w:space="0" w:color="FFFFFF"/>
              <w:right w:val="none" w:sz="0" w:space="0" w:color="FFFFFF"/>
            </w:tcBorders>
            <w:tcMar>
              <w:top w:w="100" w:type="dxa"/>
              <w:left w:w="0" w:type="dxa"/>
              <w:bottom w:w="100" w:type="dxa"/>
              <w:right w:w="200" w:type="dxa"/>
            </w:tcMar>
          </w:tcPr>
          <w:p w14:paraId="1115C3EE" w14:textId="4157116F" w:rsidR="001727BE" w:rsidRPr="00D87877" w:rsidRDefault="00D87877">
            <w:pPr>
              <w:rPr>
                <w:b/>
                <w:bCs/>
                <w:color w:val="1F3864" w:themeColor="accent1" w:themeShade="80"/>
              </w:rPr>
            </w:pPr>
            <w:r w:rsidRPr="00D87877">
              <w:rPr>
                <w:b/>
                <w:bCs/>
                <w:color w:val="1F3864" w:themeColor="accent1" w:themeShade="80"/>
              </w:rPr>
              <w:t>LIEU DU STAGE</w:t>
            </w:r>
          </w:p>
        </w:tc>
        <w:tc>
          <w:tcPr>
            <w:tcW w:w="6360" w:type="dxa"/>
            <w:tcBorders>
              <w:top w:val="none" w:sz="0" w:space="0" w:color="FFFFFF"/>
              <w:left w:val="none" w:sz="0" w:space="0" w:color="FFFFFF"/>
              <w:bottom w:val="none" w:sz="0" w:space="0" w:color="FFFFFF"/>
              <w:right w:val="none" w:sz="0" w:space="0" w:color="FFFFFF"/>
            </w:tcBorders>
            <w:tcMar>
              <w:top w:w="100" w:type="dxa"/>
              <w:left w:w="0" w:type="dxa"/>
              <w:bottom w:w="100" w:type="dxa"/>
              <w:right w:w="0" w:type="dxa"/>
            </w:tcMar>
          </w:tcPr>
          <w:p w14:paraId="0B0A432D" w14:textId="77777777" w:rsidR="001727BE" w:rsidRDefault="004533AB">
            <w:r>
              <w:t>ASECNA — Aéroport international de Douala</w:t>
            </w:r>
          </w:p>
        </w:tc>
      </w:tr>
      <w:tr w:rsidR="001727BE" w14:paraId="4055EEBF" w14:textId="77777777">
        <w:tc>
          <w:tcPr>
            <w:tcW w:w="3000" w:type="dxa"/>
            <w:tcBorders>
              <w:top w:val="none" w:sz="0" w:space="0" w:color="FFFFFF"/>
              <w:left w:val="none" w:sz="0" w:space="0" w:color="FFFFFF"/>
              <w:bottom w:val="none" w:sz="0" w:space="0" w:color="FFFFFF"/>
              <w:right w:val="none" w:sz="0" w:space="0" w:color="FFFFFF"/>
            </w:tcBorders>
            <w:tcMar>
              <w:top w:w="100" w:type="dxa"/>
              <w:left w:w="0" w:type="dxa"/>
              <w:bottom w:w="100" w:type="dxa"/>
              <w:right w:w="200" w:type="dxa"/>
            </w:tcMar>
          </w:tcPr>
          <w:p w14:paraId="113FE48A" w14:textId="77777777" w:rsidR="001727BE" w:rsidRDefault="004533AB">
            <w:r>
              <w:rPr>
                <w:b/>
                <w:bCs/>
                <w:caps/>
                <w:color w:val="1F3B5A"/>
                <w:sz w:val="20"/>
                <w:szCs w:val="20"/>
              </w:rPr>
              <w:t>Année académique</w:t>
            </w:r>
          </w:p>
        </w:tc>
        <w:tc>
          <w:tcPr>
            <w:tcW w:w="6360" w:type="dxa"/>
            <w:tcBorders>
              <w:top w:val="none" w:sz="0" w:space="0" w:color="FFFFFF"/>
              <w:left w:val="none" w:sz="0" w:space="0" w:color="FFFFFF"/>
              <w:bottom w:val="none" w:sz="0" w:space="0" w:color="FFFFFF"/>
              <w:right w:val="none" w:sz="0" w:space="0" w:color="FFFFFF"/>
            </w:tcBorders>
            <w:tcMar>
              <w:top w:w="100" w:type="dxa"/>
              <w:left w:w="0" w:type="dxa"/>
              <w:bottom w:w="100" w:type="dxa"/>
              <w:right w:w="0" w:type="dxa"/>
            </w:tcMar>
          </w:tcPr>
          <w:p w14:paraId="5B2F4AD0" w14:textId="77777777" w:rsidR="001727BE" w:rsidRDefault="004533AB">
            <w:r>
              <w:t>2025 – 2026</w:t>
            </w:r>
          </w:p>
        </w:tc>
      </w:tr>
    </w:tbl>
    <w:p w14:paraId="3BB4DF6B" w14:textId="77777777" w:rsidR="001727BE" w:rsidRDefault="004533AB">
      <w:r>
        <w:br w:type="page"/>
      </w:r>
    </w:p>
    <w:p w14:paraId="24EBD108" w14:textId="77777777" w:rsidR="001727BE" w:rsidRDefault="004533AB">
      <w:pPr>
        <w:pBdr>
          <w:bottom w:val="single" w:sz="18" w:space="8" w:color="1F3B5A"/>
        </w:pBdr>
        <w:spacing w:after="240"/>
      </w:pPr>
      <w:r>
        <w:rPr>
          <w:b/>
          <w:bCs/>
          <w:color w:val="1F3B5A"/>
          <w:sz w:val="32"/>
          <w:szCs w:val="32"/>
        </w:rPr>
        <w:lastRenderedPageBreak/>
        <w:t>Résumé</w:t>
      </w:r>
    </w:p>
    <w:p w14:paraId="05BEEC7D" w14:textId="77777777" w:rsidR="001727BE" w:rsidRDefault="004533AB">
      <w:pPr>
        <w:spacing w:after="120" w:line="320" w:lineRule="auto"/>
        <w:jc w:val="both"/>
      </w:pPr>
      <w:r>
        <w:t xml:space="preserve">Le balisage lumineux des aérodromes est un système </w:t>
      </w:r>
      <w:r>
        <w:rPr>
          <w:i/>
          <w:iCs/>
        </w:rPr>
        <w:t>critique au sens aéronautique</w:t>
      </w:r>
      <w:r>
        <w:t xml:space="preserve"> : son indisponibilité compromet directement la sécurité des opérations d'atterrissage et de décollage de nuit ou par conditions de faible visibilité. Sur l'aéroport international de Douala, exploité par l'ASECNA, le balisage repose sur onze boucles série indépendantes alimentées en 6,6 A par des régulateurs à courant constant DIAM4100. La surveillance native du régulateur est une surveillance </w:t>
      </w:r>
      <w:r>
        <w:rPr>
          <w:b/>
          <w:bCs/>
        </w:rPr>
        <w:t>de seuil</w:t>
      </w:r>
      <w:r>
        <w:t xml:space="preserve"> : elle alerte lorsqu'un défaut d'isolement existe, sans le localiser et sans en anticiper l'évolution.</w:t>
      </w:r>
    </w:p>
    <w:p w14:paraId="08831CF4" w14:textId="77777777" w:rsidR="001727BE" w:rsidRDefault="004533AB">
      <w:pPr>
        <w:spacing w:after="120" w:line="320" w:lineRule="auto"/>
        <w:jc w:val="both"/>
      </w:pPr>
      <w:r>
        <w:t xml:space="preserve">Ce projet propose la conception d'une architecture </w:t>
      </w:r>
      <w:r>
        <w:rPr>
          <w:b/>
          <w:bCs/>
        </w:rPr>
        <w:t>non intrusive</w:t>
      </w:r>
      <w:r>
        <w:t xml:space="preserve"> de surveillance, d'alerte et de localisation, fondée sur un jumeau numérique de la boucle, l'analyse spectrale du courant et l'apprentissage automatique. L'algorithme final est destiné à être embarqué sur microcontrôleur et coiffé d'une couche de supervision exploitable par l'équipe de maintenance balisage. Le travail s'inscrit dans le cadre du projet de fin d'études du Génie Mécatronique – Robotique et Intelligence Artificielle de Saint Jérôme Polytechnic.</w:t>
      </w:r>
    </w:p>
    <w:p w14:paraId="28FA7031" w14:textId="77777777" w:rsidR="001727BE" w:rsidRDefault="001727BE">
      <w:pPr>
        <w:spacing w:after="120"/>
      </w:pPr>
    </w:p>
    <w:p w14:paraId="2AAEE071" w14:textId="77777777" w:rsidR="001727BE" w:rsidRDefault="001727BE">
      <w:pPr>
        <w:pBdr>
          <w:top w:val="single" w:sz="4" w:space="6" w:color="C9D2DA"/>
        </w:pBdr>
        <w:spacing w:after="100"/>
      </w:pPr>
    </w:p>
    <w:p w14:paraId="6A67474F" w14:textId="1727885B" w:rsidR="001727BE" w:rsidRPr="00D87877" w:rsidRDefault="004533AB">
      <w:pPr>
        <w:spacing w:after="120" w:line="320" w:lineRule="auto"/>
        <w:rPr>
          <w:i/>
          <w:iCs/>
          <w:sz w:val="20"/>
          <w:szCs w:val="20"/>
        </w:rPr>
      </w:pPr>
      <w:r>
        <w:rPr>
          <w:b/>
          <w:bCs/>
          <w:caps/>
          <w:color w:val="1F3B5A"/>
          <w:sz w:val="18"/>
          <w:szCs w:val="18"/>
        </w:rPr>
        <w:t xml:space="preserve">Mots-clés  ·  </w:t>
      </w:r>
      <w:r>
        <w:rPr>
          <w:i/>
          <w:iCs/>
          <w:sz w:val="20"/>
          <w:szCs w:val="20"/>
        </w:rPr>
        <w:t>balisage aéronautique  ·  défaut d'isolement  ·  jumeau numérique  ·  analyse spectrale  ·  apprentissage automatique  ·  surveillance non intrusive  ·  microcontrôleur  ·  ASECNA</w:t>
      </w:r>
      <w:r w:rsidR="00D87877">
        <w:rPr>
          <w:i/>
          <w:iCs/>
          <w:sz w:val="20"/>
          <w:szCs w:val="20"/>
        </w:rPr>
        <w:br w:type="page"/>
      </w:r>
    </w:p>
    <w:p w14:paraId="1EAF2C64" w14:textId="77777777" w:rsidR="001727BE" w:rsidRDefault="004533AB">
      <w:pPr>
        <w:pBdr>
          <w:left w:val="single" w:sz="24" w:space="12" w:color="C4463A"/>
        </w:pBdr>
        <w:spacing w:before="360" w:after="180"/>
      </w:pPr>
      <w:r>
        <w:rPr>
          <w:b/>
          <w:bCs/>
          <w:color w:val="C4463A"/>
          <w:sz w:val="32"/>
          <w:szCs w:val="32"/>
        </w:rPr>
        <w:lastRenderedPageBreak/>
        <w:t xml:space="preserve">1. </w:t>
      </w:r>
      <w:r>
        <w:rPr>
          <w:b/>
          <w:bCs/>
          <w:color w:val="1F3B5A"/>
          <w:sz w:val="32"/>
          <w:szCs w:val="32"/>
        </w:rPr>
        <w:t>Contexte et justification</w:t>
      </w:r>
    </w:p>
    <w:p w14:paraId="4146C08F" w14:textId="77777777" w:rsidR="001727BE" w:rsidRDefault="004533AB">
      <w:pPr>
        <w:spacing w:after="120" w:line="320" w:lineRule="auto"/>
        <w:jc w:val="both"/>
      </w:pPr>
      <w:r>
        <w:t>Le balisage lumineux d'un aérodrome est l'ensemble des feux et indicateurs visuels qui assurent au pilote la perception de la piste et des voies de circulation, en particulier de nuit ou par visibilité réduite. À ce titre, son indisponibilité constitue un facteur immédiat de restriction d'exploitation, voire de fermeture de la plateforme. La réglementation internationale (Annexe 14 de l'OACI) et les guides techniques nationaux (STAC) imposent en conséquence un seuil minimal de résistance d'isolement par boucle, dont le franchissement déclenche une obligation d'intervention.</w:t>
      </w:r>
    </w:p>
    <w:p w14:paraId="52560BAF" w14:textId="77777777" w:rsidR="001727BE" w:rsidRDefault="004533AB">
      <w:pPr>
        <w:spacing w:after="120" w:line="320" w:lineRule="auto"/>
        <w:jc w:val="both"/>
      </w:pPr>
      <w:r>
        <w:t xml:space="preserve">Sur le site d'étude — l'aéroport international de Douala, exploité par l'Agence pour la Sécurité de la Navigation aérienne en Afrique et à Madagascar (ASECNA) — l'installation est composée de </w:t>
      </w:r>
      <w:r>
        <w:rPr>
          <w:b/>
          <w:bCs/>
        </w:rPr>
        <w:t>onze boucles série indépendantes</w:t>
      </w:r>
      <w:r>
        <w:t xml:space="preserve"> (référencées A à L), alimentées chacune par un régulateur à courant constant (RCC) DIAM4100 de marque OCEM Airfield Technology, dans des calibres 4 kVA et 10 kVA. Plus de cinq cents transformateurs d'isolement (TI), répartis dans des regards enterrés tout au long des pistes et des voies de circulation, constituent la chaîne de charge.</w:t>
      </w:r>
    </w:p>
    <w:p w14:paraId="4A0B1B54" w14:textId="77777777" w:rsidR="001727BE" w:rsidRDefault="004533AB">
      <w:pPr>
        <w:spacing w:after="120" w:line="320" w:lineRule="auto"/>
        <w:jc w:val="both"/>
      </w:pPr>
      <w:r>
        <w:t>La surveillance native du DIAM4100 (détecteur de défaut à la terre EFD, détecteur de lampe défaillante LFD) fournit une indication de seuil : elle signale qu'un défaut existe, sans le localiser le long de la boucle et sans anticiper son évolution avant le franchissement du seuil. La conséquence opérationnelle est qu'une dégradation progressive (humidité saisonnière, vieillissement diélectrique d'un TI, parafoudre détérioré) ne devient visible qu'au moment où elle compromet déjà la disponibilité ; la localisation du point défaillant nécessite ensuite une investigation manuelle, hors tension, regard par regard, sur des boucles pouvant dépasser neuf kilomètres.</w:t>
      </w:r>
    </w:p>
    <w:p w14:paraId="27244ECB" w14:textId="77777777" w:rsidR="001727BE" w:rsidRDefault="004533AB">
      <w:pPr>
        <w:spacing w:after="120" w:line="320" w:lineRule="auto"/>
        <w:jc w:val="both"/>
      </w:pPr>
      <w:r>
        <w:t xml:space="preserve">Ce projet propose une réponse à ce double manque. Il vise à concevoir une architecture </w:t>
      </w:r>
      <w:r>
        <w:rPr>
          <w:b/>
          <w:bCs/>
          <w:color w:val="C4463A"/>
        </w:rPr>
        <w:t>non intrusive</w:t>
      </w:r>
      <w:r>
        <w:t xml:space="preserve"> — qui n'altère ni le câblage, ni les équipements existants — capable simultanément de </w:t>
      </w:r>
      <w:r>
        <w:rPr>
          <w:b/>
          <w:bCs/>
        </w:rPr>
        <w:t>surveiller</w:t>
      </w:r>
      <w:r>
        <w:t xml:space="preserve"> en continu l'état diélectrique du réseau, d'</w:t>
      </w:r>
      <w:r>
        <w:rPr>
          <w:b/>
          <w:bCs/>
        </w:rPr>
        <w:t>alerter</w:t>
      </w:r>
      <w:r>
        <w:t xml:space="preserve"> de façon hiérarchisée avant le franchissement du seuil réglementaire, et de </w:t>
      </w:r>
      <w:r>
        <w:rPr>
          <w:b/>
          <w:bCs/>
        </w:rPr>
        <w:t>localiser</w:t>
      </w:r>
      <w:r>
        <w:t xml:space="preserve"> le tronçon défaillant à l'échelle du regard de balisage.</w:t>
      </w:r>
    </w:p>
    <w:p w14:paraId="36EF7D17" w14:textId="77777777" w:rsidR="001727BE" w:rsidRDefault="004533AB">
      <w:pPr>
        <w:pBdr>
          <w:left w:val="single" w:sz="24" w:space="12" w:color="C4463A"/>
        </w:pBdr>
        <w:spacing w:before="360" w:after="180"/>
      </w:pPr>
      <w:r>
        <w:rPr>
          <w:b/>
          <w:bCs/>
          <w:color w:val="C4463A"/>
          <w:sz w:val="32"/>
          <w:szCs w:val="32"/>
        </w:rPr>
        <w:t xml:space="preserve">2. </w:t>
      </w:r>
      <w:r>
        <w:rPr>
          <w:b/>
          <w:bCs/>
          <w:color w:val="1F3B5A"/>
          <w:sz w:val="32"/>
          <w:szCs w:val="32"/>
        </w:rPr>
        <w:t>Problématique et questions de recherche</w:t>
      </w:r>
    </w:p>
    <w:p w14:paraId="1C9EAFCD" w14:textId="77777777" w:rsidR="001727BE" w:rsidRDefault="004533AB">
      <w:pPr>
        <w:spacing w:after="120" w:line="320" w:lineRule="auto"/>
        <w:jc w:val="both"/>
      </w:pPr>
      <w:r>
        <w:t>La problématique centrale du travail s'énonce ainsi :</w:t>
      </w:r>
    </w:p>
    <w:p w14:paraId="0ECB1A27" w14:textId="77777777" w:rsidR="001727BE" w:rsidRDefault="001727B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727BE" w14:paraId="6AD0C7F3" w14:textId="77777777">
        <w:tc>
          <w:tcPr>
            <w:tcW w:w="9360" w:type="dxa"/>
            <w:tcBorders>
              <w:top w:val="single" w:sz="4" w:space="0" w:color="1F3B5A"/>
              <w:left w:val="single" w:sz="24" w:space="0" w:color="1F3B5A"/>
              <w:bottom w:val="single" w:sz="4" w:space="0" w:color="1F3B5A"/>
              <w:right w:val="single" w:sz="4" w:space="0" w:color="1F3B5A"/>
            </w:tcBorders>
            <w:shd w:val="clear" w:color="auto" w:fill="F0F4F8"/>
            <w:tcMar>
              <w:top w:w="160" w:type="dxa"/>
              <w:left w:w="240" w:type="dxa"/>
              <w:bottom w:w="160" w:type="dxa"/>
              <w:right w:w="240" w:type="dxa"/>
            </w:tcMar>
          </w:tcPr>
          <w:p w14:paraId="20B6F302" w14:textId="77777777" w:rsidR="001727BE" w:rsidRDefault="004533AB">
            <w:pPr>
              <w:spacing w:after="60"/>
            </w:pPr>
            <w:r>
              <w:rPr>
                <w:b/>
                <w:bCs/>
                <w:caps/>
                <w:color w:val="1F3B5A"/>
                <w:sz w:val="20"/>
                <w:szCs w:val="20"/>
              </w:rPr>
              <w:t>Question principale</w:t>
            </w:r>
          </w:p>
          <w:p w14:paraId="259546FB" w14:textId="77777777" w:rsidR="001727BE" w:rsidRDefault="004533AB">
            <w:pPr>
              <w:spacing w:line="320" w:lineRule="auto"/>
            </w:pPr>
            <w:r>
              <w:rPr>
                <w:i/>
                <w:iCs/>
              </w:rPr>
              <w:t>Comment détecter précocement et localiser, sans intrusion sur le réseau et sans interruption de service, un défaut d'isolement sur une boucle série 6,6 A à partir de la seule instrumentation placée en tête de régulateur ?</w:t>
            </w:r>
          </w:p>
        </w:tc>
      </w:tr>
    </w:tbl>
    <w:p w14:paraId="66939B07" w14:textId="77777777" w:rsidR="001727BE" w:rsidRDefault="001727BE">
      <w:pPr>
        <w:spacing w:after="120"/>
      </w:pPr>
    </w:p>
    <w:p w14:paraId="47AF4F28" w14:textId="77777777" w:rsidR="001727BE" w:rsidRDefault="004533AB">
      <w:pPr>
        <w:spacing w:after="120" w:line="320" w:lineRule="auto"/>
        <w:jc w:val="both"/>
      </w:pPr>
      <w:r>
        <w:t>Trois sous-questions découlent de cette problématique :</w:t>
      </w:r>
    </w:p>
    <w:p w14:paraId="2B7C95C9" w14:textId="77777777" w:rsidR="001727BE" w:rsidRDefault="004533AB">
      <w:pPr>
        <w:spacing w:after="100" w:line="320" w:lineRule="auto"/>
        <w:ind w:left="360" w:hanging="240"/>
        <w:jc w:val="both"/>
      </w:pPr>
      <w:r>
        <w:rPr>
          <w:b/>
          <w:bCs/>
          <w:color w:val="C4463A"/>
        </w:rPr>
        <w:t xml:space="preserve">—  </w:t>
      </w:r>
      <w:r>
        <w:rPr>
          <w:b/>
          <w:bCs/>
          <w:color w:val="1F3B5A"/>
        </w:rPr>
        <w:t>Q1 — Détection précoce.</w:t>
      </w:r>
      <w:r>
        <w:t xml:space="preserve"> Quelles signatures électriques (spectrales, temporelles, statistiques) du courant et de la tension d'une boucle, observables en tête de régulateur, sont sensibles à une dégradation incipiente de l'isolement, en amont du seuil EFD réglementaire ?</w:t>
      </w:r>
    </w:p>
    <w:p w14:paraId="658B1B35" w14:textId="77777777" w:rsidR="001727BE" w:rsidRDefault="004533AB">
      <w:pPr>
        <w:spacing w:after="100" w:line="320" w:lineRule="auto"/>
        <w:ind w:left="360" w:hanging="240"/>
        <w:jc w:val="both"/>
      </w:pPr>
      <w:r>
        <w:rPr>
          <w:b/>
          <w:bCs/>
          <w:color w:val="C4463A"/>
        </w:rPr>
        <w:lastRenderedPageBreak/>
        <w:t xml:space="preserve">—  </w:t>
      </w:r>
      <w:r>
        <w:rPr>
          <w:b/>
          <w:bCs/>
          <w:color w:val="1F3B5A"/>
        </w:rPr>
        <w:t>Q2 — Localisation à source unique.</w:t>
      </w:r>
      <w:r>
        <w:t xml:space="preserve"> À partir de la seule mesure prélevée en tête de RCC, est-il possible de retrouver la position d'un défaut le long de la boucle, à l'échelle du regard de balisage, sans recourir à une excitation haute fréquence dédiée ?</w:t>
      </w:r>
    </w:p>
    <w:p w14:paraId="249F9C45" w14:textId="77777777" w:rsidR="001727BE" w:rsidRDefault="004533AB">
      <w:pPr>
        <w:spacing w:after="100" w:line="320" w:lineRule="auto"/>
        <w:ind w:left="360" w:hanging="240"/>
        <w:jc w:val="both"/>
      </w:pPr>
      <w:r>
        <w:rPr>
          <w:b/>
          <w:bCs/>
          <w:color w:val="C4463A"/>
        </w:rPr>
        <w:t xml:space="preserve">—  </w:t>
      </w:r>
      <w:r>
        <w:rPr>
          <w:b/>
          <w:bCs/>
          <w:color w:val="1F3B5A"/>
        </w:rPr>
        <w:t>Q3 — Implémentation embarquée.</w:t>
      </w:r>
      <w:r>
        <w:t xml:space="preserve"> La chaîne algorithmique correspondante peut-elle être réduite aux contraintes d'un microcontrôleur (mémoire, puissance de calcul, énergie) tout en garantissant un fonctionnement temps réel compatible avec l'exploitation 24 h/24 du balisage ?</w:t>
      </w:r>
    </w:p>
    <w:p w14:paraId="1A3AB8A5" w14:textId="77777777" w:rsidR="001727BE" w:rsidRDefault="004533AB">
      <w:pPr>
        <w:pBdr>
          <w:left w:val="single" w:sz="24" w:space="12" w:color="C4463A"/>
        </w:pBdr>
        <w:spacing w:before="360" w:after="180"/>
      </w:pPr>
      <w:r>
        <w:rPr>
          <w:b/>
          <w:bCs/>
          <w:color w:val="C4463A"/>
          <w:sz w:val="32"/>
          <w:szCs w:val="32"/>
        </w:rPr>
        <w:t xml:space="preserve">3. </w:t>
      </w:r>
      <w:r>
        <w:rPr>
          <w:b/>
          <w:bCs/>
          <w:color w:val="1F3B5A"/>
          <w:sz w:val="32"/>
          <w:szCs w:val="32"/>
        </w:rPr>
        <w:t>État de l'art synthétique et verrou identifié</w:t>
      </w:r>
    </w:p>
    <w:p w14:paraId="59CA408C" w14:textId="77777777" w:rsidR="001727BE" w:rsidRDefault="004533AB">
      <w:pPr>
        <w:spacing w:after="120" w:line="320" w:lineRule="auto"/>
        <w:jc w:val="both"/>
      </w:pPr>
      <w:r>
        <w:t>L'état de l'art des solutions de surveillance et de localisation des défauts d'isolement sur câble électrique a été dressé dans le chapitre II du mémoire. Cinq grandes familles y sont passées en revue :</w:t>
      </w:r>
    </w:p>
    <w:p w14:paraId="3F1B13F3" w14:textId="77777777" w:rsidR="001727BE" w:rsidRDefault="004533AB">
      <w:pPr>
        <w:spacing w:after="100" w:line="320" w:lineRule="auto"/>
        <w:ind w:left="360" w:hanging="240"/>
        <w:jc w:val="both"/>
      </w:pPr>
      <w:r>
        <w:rPr>
          <w:b/>
          <w:bCs/>
          <w:color w:val="C4463A"/>
        </w:rPr>
        <w:t xml:space="preserve">—  </w:t>
      </w:r>
      <w:r>
        <w:rPr>
          <w:b/>
          <w:bCs/>
          <w:color w:val="1F3B5A"/>
        </w:rPr>
        <w:t>Solutions industrielles dédiées au balisage —</w:t>
      </w:r>
      <w:r>
        <w:t xml:space="preserve"> détecteurs EFD et LFD intégrés aux régulateurs, systèmes de contrôle et surveillance individuelle à la lampe (ILCMS) ; efficaces pour la détection seuil mais incapables de localisation interne et imposant souvent une modification matérielle du parc.</w:t>
      </w:r>
    </w:p>
    <w:p w14:paraId="0CD929FF" w14:textId="77777777" w:rsidR="001727BE" w:rsidRDefault="004533AB">
      <w:pPr>
        <w:spacing w:after="100" w:line="320" w:lineRule="auto"/>
        <w:ind w:left="360" w:hanging="240"/>
        <w:jc w:val="both"/>
      </w:pPr>
      <w:r>
        <w:rPr>
          <w:b/>
          <w:bCs/>
          <w:color w:val="C4463A"/>
        </w:rPr>
        <w:t xml:space="preserve">—  </w:t>
      </w:r>
      <w:r>
        <w:rPr>
          <w:b/>
          <w:bCs/>
          <w:color w:val="1F3B5A"/>
        </w:rPr>
        <w:t>Analyse spectrale et traitement du signal —</w:t>
      </w:r>
      <w:r>
        <w:t xml:space="preserve"> décomposition de Fourier, transformées temps-fréquence, ondelettes ; exploitent la signature harmonique du courant haché par le régulateur SCR, riche en information sur l'état électromécanique de la chaîne.</w:t>
      </w:r>
    </w:p>
    <w:p w14:paraId="022CD184" w14:textId="77777777" w:rsidR="001727BE" w:rsidRDefault="004533AB">
      <w:pPr>
        <w:spacing w:after="100" w:line="320" w:lineRule="auto"/>
        <w:ind w:left="360" w:hanging="240"/>
        <w:jc w:val="both"/>
      </w:pPr>
      <w:r>
        <w:rPr>
          <w:b/>
          <w:bCs/>
          <w:color w:val="C4463A"/>
        </w:rPr>
        <w:t xml:space="preserve">—  </w:t>
      </w:r>
      <w:r>
        <w:rPr>
          <w:b/>
          <w:bCs/>
          <w:color w:val="1F3B5A"/>
        </w:rPr>
        <w:t>Réflectométrie (TDR, FDR, MCTDR) —</w:t>
      </w:r>
      <w:r>
        <w:t xml:space="preserve"> localise efficacement les défauts francs sur câble mais demande une excitation HF dédiée incompatible avec l'exploitation 24 h/24 ; constitue donc une intrusion sur le réseau.</w:t>
      </w:r>
    </w:p>
    <w:p w14:paraId="0C6E5912" w14:textId="77777777" w:rsidR="001727BE" w:rsidRDefault="004533AB">
      <w:pPr>
        <w:spacing w:after="100" w:line="320" w:lineRule="auto"/>
        <w:ind w:left="360" w:hanging="240"/>
        <w:jc w:val="both"/>
      </w:pPr>
      <w:r>
        <w:rPr>
          <w:b/>
          <w:bCs/>
          <w:color w:val="C4463A"/>
        </w:rPr>
        <w:t xml:space="preserve">—  </w:t>
      </w:r>
      <w:r>
        <w:rPr>
          <w:b/>
          <w:bCs/>
          <w:color w:val="1F3B5A"/>
        </w:rPr>
        <w:t>Apprentissage automatique —</w:t>
      </w:r>
      <w:r>
        <w:t xml:space="preserve"> forêts aléatoires, SVM, CNN 1D, autoencodeurs ; capables d'extraire des décisions discriminantes des signatures spectrales, mais limités par la disponibilité d'un corpus d'apprentissage représentatif.</w:t>
      </w:r>
    </w:p>
    <w:p w14:paraId="005BD027" w14:textId="77777777" w:rsidR="001727BE" w:rsidRDefault="004533AB">
      <w:pPr>
        <w:spacing w:after="100" w:line="320" w:lineRule="auto"/>
        <w:ind w:left="360" w:hanging="240"/>
        <w:jc w:val="both"/>
      </w:pPr>
      <w:r>
        <w:rPr>
          <w:b/>
          <w:bCs/>
          <w:color w:val="C4463A"/>
        </w:rPr>
        <w:t xml:space="preserve">—  </w:t>
      </w:r>
      <w:r>
        <w:rPr>
          <w:b/>
          <w:bCs/>
          <w:color w:val="1F3B5A"/>
        </w:rPr>
        <w:t>Jumeau numérique et approches hybrides —</w:t>
      </w:r>
      <w:r>
        <w:t xml:space="preserve"> observateurs d'état, filtres de Kalman, réseaux à physique informée ; réconcilient modèle physique et données mesurées.</w:t>
      </w:r>
    </w:p>
    <w:p w14:paraId="5D4D0CA6" w14:textId="77777777" w:rsidR="001727BE" w:rsidRDefault="001727BE">
      <w:pPr>
        <w:spacing w:after="60"/>
      </w:pPr>
    </w:p>
    <w:p w14:paraId="6FEB187E" w14:textId="77777777" w:rsidR="001727BE" w:rsidRDefault="004533AB">
      <w:pPr>
        <w:spacing w:after="120" w:line="320" w:lineRule="auto"/>
        <w:jc w:val="both"/>
      </w:pPr>
      <w:r>
        <w:t xml:space="preserve">Le </w:t>
      </w:r>
      <w:r>
        <w:rPr>
          <w:b/>
          <w:bCs/>
          <w:color w:val="C4463A"/>
        </w:rPr>
        <w:t>verrou</w:t>
      </w:r>
      <w:r>
        <w:t xml:space="preserve"> mis en évidence par cette revue tient à la combinaison de trois exigences rarement satisfaites simultanément : (i) </w:t>
      </w:r>
      <w:r>
        <w:rPr>
          <w:b/>
          <w:bCs/>
        </w:rPr>
        <w:t>localisation à source unique</w:t>
      </w:r>
      <w:r>
        <w:t xml:space="preserve"> depuis la tête de régulateur, (ii) sans excitation haute fréquence dédiée donc </w:t>
      </w:r>
      <w:r>
        <w:rPr>
          <w:b/>
          <w:bCs/>
        </w:rPr>
        <w:t>non intrusive</w:t>
      </w:r>
      <w:r>
        <w:t xml:space="preserve">, (iii) sur un réseau </w:t>
      </w:r>
      <w:r>
        <w:rPr>
          <w:b/>
          <w:bCs/>
        </w:rPr>
        <w:t>série 6,6 A à régulateur SCR</w:t>
      </w:r>
      <w:r>
        <w:t xml:space="preserve"> dont la signature est dominée par les harmoniques de découpage. La voie envisagée consiste à composer un jumeau numérique de la boucle, à exploiter la signature spectrale déjà présente dans le courant régulé, et à entraîner une chaîne d'apprentissage sur les données issues du jumeau pour reconstruire la position du défaut.</w:t>
      </w:r>
    </w:p>
    <w:p w14:paraId="29179974" w14:textId="77777777" w:rsidR="001727BE" w:rsidRDefault="004533AB">
      <w:pPr>
        <w:pBdr>
          <w:left w:val="single" w:sz="24" w:space="12" w:color="C4463A"/>
        </w:pBdr>
        <w:spacing w:before="360" w:after="180"/>
      </w:pPr>
      <w:r>
        <w:rPr>
          <w:b/>
          <w:bCs/>
          <w:color w:val="C4463A"/>
          <w:sz w:val="32"/>
          <w:szCs w:val="32"/>
        </w:rPr>
        <w:t xml:space="preserve">4. </w:t>
      </w:r>
      <w:r>
        <w:rPr>
          <w:b/>
          <w:bCs/>
          <w:color w:val="1F3B5A"/>
          <w:sz w:val="32"/>
          <w:szCs w:val="32"/>
        </w:rPr>
        <w:t>Objectifs</w:t>
      </w:r>
    </w:p>
    <w:p w14:paraId="0966BE67" w14:textId="77777777" w:rsidR="001727BE" w:rsidRDefault="004533AB">
      <w:pPr>
        <w:spacing w:after="120" w:line="320" w:lineRule="auto"/>
        <w:jc w:val="both"/>
      </w:pPr>
      <w:r>
        <w:t>L'</w:t>
      </w:r>
      <w:r>
        <w:rPr>
          <w:b/>
          <w:bCs/>
          <w:color w:val="1F3B5A"/>
        </w:rPr>
        <w:t>objectif général</w:t>
      </w:r>
      <w:r>
        <w:t xml:space="preserve"> est de concevoir, réaliser et valider une architecture matérielle et logicielle </w:t>
      </w:r>
      <w:r>
        <w:rPr>
          <w:i/>
          <w:iCs/>
        </w:rPr>
        <w:t>non intrusive</w:t>
      </w:r>
      <w:r>
        <w:t xml:space="preserve"> de surveillance, d'alerte et de localisation des défauts d'isolement sur le réseau de balisage 6,6 A de l'aéroport international de Douala.</w:t>
      </w:r>
    </w:p>
    <w:p w14:paraId="45A31EEE" w14:textId="77777777" w:rsidR="001727BE" w:rsidRDefault="004533AB">
      <w:pPr>
        <w:spacing w:after="120" w:line="320" w:lineRule="auto"/>
        <w:jc w:val="both"/>
      </w:pPr>
      <w:r>
        <w:t>Cet objectif général se décline en cinq objectifs spécifiques, présentés dans leur ordre logique de réalisation :</w:t>
      </w:r>
    </w:p>
    <w:p w14:paraId="1DE65C11" w14:textId="77777777" w:rsidR="001727BE" w:rsidRDefault="004533AB">
      <w:pPr>
        <w:spacing w:after="100" w:line="320" w:lineRule="auto"/>
        <w:ind w:left="360" w:hanging="360"/>
        <w:jc w:val="both"/>
      </w:pPr>
      <w:r>
        <w:rPr>
          <w:b/>
          <w:bCs/>
          <w:color w:val="C4463A"/>
        </w:rPr>
        <w:lastRenderedPageBreak/>
        <w:t xml:space="preserve">O1. </w:t>
      </w:r>
      <w:r>
        <w:t>Construire le jumeau numérique d'une boucle 6,6 A — modéliser la chaîne complète (régulateur SCR à angle de phase, câble haute tension distribué, transformateurs d'isolement saturables, feux, parafoudres) et la valider par confrontation aux datasheets constructeur. C'est sur cette base que reposeront toutes les phases ultérieures.</w:t>
      </w:r>
    </w:p>
    <w:p w14:paraId="2966B638" w14:textId="77777777" w:rsidR="001727BE" w:rsidRDefault="004533AB">
      <w:pPr>
        <w:spacing w:after="100" w:line="320" w:lineRule="auto"/>
        <w:ind w:left="360" w:hanging="360"/>
        <w:jc w:val="both"/>
      </w:pPr>
      <w:r>
        <w:rPr>
          <w:b/>
          <w:bCs/>
          <w:color w:val="C4463A"/>
        </w:rPr>
        <w:t xml:space="preserve">O2. </w:t>
      </w:r>
      <w:r>
        <w:t>Caractériser les signatures saines et dégradées par simulation sur le jumeau numérique, en couvrant les modes de défaut typiques (humidité progressive, court-circuit franc, parafoudre dégradé, transformateur d'isolement compromis) à différentes positions le long de la boucle.</w:t>
      </w:r>
    </w:p>
    <w:p w14:paraId="6469451A" w14:textId="77777777" w:rsidR="001727BE" w:rsidRDefault="004533AB">
      <w:pPr>
        <w:spacing w:after="100" w:line="320" w:lineRule="auto"/>
        <w:ind w:left="360" w:hanging="360"/>
        <w:jc w:val="both"/>
      </w:pPr>
      <w:r>
        <w:rPr>
          <w:b/>
          <w:bCs/>
          <w:color w:val="C4463A"/>
        </w:rPr>
        <w:t xml:space="preserve">O3. </w:t>
      </w:r>
      <w:r>
        <w:t>Développer la chaîne algorithmique : extraction de caractéristiques spectrales, module de détection d'anomalie par apprentissage non supervisé et module de localisation par régression supervisée entraînée sur les données issues du jumeau.</w:t>
      </w:r>
    </w:p>
    <w:p w14:paraId="358CF094" w14:textId="77777777" w:rsidR="001727BE" w:rsidRDefault="004533AB">
      <w:pPr>
        <w:spacing w:after="100" w:line="320" w:lineRule="auto"/>
        <w:ind w:left="360" w:hanging="360"/>
        <w:jc w:val="both"/>
      </w:pPr>
      <w:r>
        <w:rPr>
          <w:b/>
          <w:bCs/>
          <w:color w:val="C4463A"/>
        </w:rPr>
        <w:t xml:space="preserve">O4. </w:t>
      </w:r>
      <w:r>
        <w:t>Embarquer l'algorithme sur un microcontrôleur — sélection de la cible matérielle, dimensionnement de la chaîne d'acquisition non intrusive, optimisation mémoire et temps de calcul, gestion temps réel.</w:t>
      </w:r>
    </w:p>
    <w:p w14:paraId="7AF63A73" w14:textId="77777777" w:rsidR="001727BE" w:rsidRDefault="004533AB">
      <w:pPr>
        <w:spacing w:after="100" w:line="320" w:lineRule="auto"/>
        <w:ind w:left="360" w:hanging="360"/>
        <w:jc w:val="both"/>
      </w:pPr>
      <w:r>
        <w:rPr>
          <w:b/>
          <w:bCs/>
          <w:color w:val="C4463A"/>
        </w:rPr>
        <w:t xml:space="preserve">O5. </w:t>
      </w:r>
      <w:r>
        <w:t>Concevoir la couche de supervision (interface homme-machine, communication avec le régulateur, alertes hiérarchisées) et démontrer son intégration dans l'environnement d'exploitation balisage de l'ASECNA.</w:t>
      </w:r>
    </w:p>
    <w:p w14:paraId="532D4211" w14:textId="77777777" w:rsidR="001727BE" w:rsidRDefault="004533AB">
      <w:pPr>
        <w:pBdr>
          <w:left w:val="single" w:sz="24" w:space="12" w:color="C4463A"/>
        </w:pBdr>
        <w:spacing w:before="360" w:after="180"/>
      </w:pPr>
      <w:r>
        <w:rPr>
          <w:b/>
          <w:bCs/>
          <w:color w:val="C4463A"/>
          <w:sz w:val="32"/>
          <w:szCs w:val="32"/>
        </w:rPr>
        <w:t xml:space="preserve">5. </w:t>
      </w:r>
      <w:r>
        <w:rPr>
          <w:b/>
          <w:bCs/>
          <w:color w:val="1F3B5A"/>
          <w:sz w:val="32"/>
          <w:szCs w:val="32"/>
        </w:rPr>
        <w:t>Hypothèses de recherche</w:t>
      </w:r>
    </w:p>
    <w:p w14:paraId="0A4C5C6C" w14:textId="77777777" w:rsidR="001727BE" w:rsidRDefault="004533AB">
      <w:pPr>
        <w:spacing w:after="120" w:line="320" w:lineRule="auto"/>
        <w:jc w:val="both"/>
      </w:pPr>
      <w:r>
        <w:t>Le travail repose sur trois hypothèses dont la validation constitue l'enjeu scientifique du projet :</w:t>
      </w:r>
    </w:p>
    <w:p w14:paraId="2E825156" w14:textId="77777777" w:rsidR="001727BE" w:rsidRDefault="001727B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1727BE" w14:paraId="301F3D33" w14:textId="77777777">
        <w:tc>
          <w:tcPr>
            <w:tcW w:w="800" w:type="dxa"/>
            <w:tcBorders>
              <w:top w:val="single" w:sz="6" w:space="0" w:color="C9D2DA"/>
              <w:left w:val="single" w:sz="6" w:space="0" w:color="C9D2DA"/>
              <w:bottom w:val="single" w:sz="6" w:space="0" w:color="C9D2DA"/>
              <w:right w:val="single" w:sz="6" w:space="0" w:color="C9D2DA"/>
            </w:tcBorders>
            <w:shd w:val="clear" w:color="auto" w:fill="1F3B5A"/>
            <w:tcMar>
              <w:top w:w="100" w:type="dxa"/>
              <w:left w:w="80" w:type="dxa"/>
              <w:bottom w:w="100" w:type="dxa"/>
              <w:right w:w="80" w:type="dxa"/>
            </w:tcMar>
            <w:vAlign w:val="center"/>
          </w:tcPr>
          <w:p w14:paraId="58770943" w14:textId="77777777" w:rsidR="001727BE" w:rsidRDefault="004533AB">
            <w:pPr>
              <w:jc w:val="center"/>
            </w:pPr>
            <w:r>
              <w:rPr>
                <w:b/>
                <w:bCs/>
                <w:color w:val="FFFFFF"/>
                <w:sz w:val="32"/>
                <w:szCs w:val="32"/>
              </w:rPr>
              <w:t>H1</w:t>
            </w:r>
          </w:p>
        </w:tc>
        <w:tc>
          <w:tcPr>
            <w:tcW w:w="8560" w:type="dxa"/>
            <w:tcBorders>
              <w:top w:val="single" w:sz="6" w:space="0" w:color="C9D2DA"/>
              <w:left w:val="single" w:sz="6" w:space="0" w:color="C9D2DA"/>
              <w:bottom w:val="single" w:sz="6" w:space="0" w:color="C9D2DA"/>
              <w:right w:val="single" w:sz="6" w:space="0" w:color="C9D2DA"/>
            </w:tcBorders>
            <w:shd w:val="clear" w:color="auto" w:fill="F0F4F8"/>
            <w:tcMar>
              <w:top w:w="100" w:type="dxa"/>
              <w:left w:w="200" w:type="dxa"/>
              <w:bottom w:w="100" w:type="dxa"/>
              <w:right w:w="200" w:type="dxa"/>
            </w:tcMar>
          </w:tcPr>
          <w:p w14:paraId="69AB31F1" w14:textId="77777777" w:rsidR="001727BE" w:rsidRDefault="004533AB">
            <w:pPr>
              <w:spacing w:after="60"/>
            </w:pPr>
            <w:r>
              <w:rPr>
                <w:b/>
                <w:bCs/>
                <w:color w:val="1F3B5A"/>
              </w:rPr>
              <w:t>Hypothèse de signature.</w:t>
            </w:r>
          </w:p>
          <w:p w14:paraId="67A7EC40" w14:textId="77777777" w:rsidR="001727BE" w:rsidRDefault="004533AB">
            <w:pPr>
              <w:spacing w:line="300" w:lineRule="auto"/>
              <w:jc w:val="both"/>
            </w:pPr>
            <w:r>
              <w:t>La signature harmonique du courant et de la tension d'une boucle 6,6 A, telle qu'elle est observée en tête de régulateur, contient une information discriminante sur l'état diélectrique du réseau, exploitable en amont du seuil EFD réglementaire.</w:t>
            </w:r>
          </w:p>
        </w:tc>
      </w:tr>
    </w:tbl>
    <w:p w14:paraId="397BA139" w14:textId="77777777" w:rsidR="001727BE" w:rsidRDefault="001727B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1727BE" w14:paraId="19D9C82F" w14:textId="77777777">
        <w:tc>
          <w:tcPr>
            <w:tcW w:w="800" w:type="dxa"/>
            <w:tcBorders>
              <w:top w:val="single" w:sz="6" w:space="0" w:color="C9D2DA"/>
              <w:left w:val="single" w:sz="6" w:space="0" w:color="C9D2DA"/>
              <w:bottom w:val="single" w:sz="6" w:space="0" w:color="C9D2DA"/>
              <w:right w:val="single" w:sz="6" w:space="0" w:color="C9D2DA"/>
            </w:tcBorders>
            <w:shd w:val="clear" w:color="auto" w:fill="1F3B5A"/>
            <w:tcMar>
              <w:top w:w="100" w:type="dxa"/>
              <w:left w:w="80" w:type="dxa"/>
              <w:bottom w:w="100" w:type="dxa"/>
              <w:right w:w="80" w:type="dxa"/>
            </w:tcMar>
            <w:vAlign w:val="center"/>
          </w:tcPr>
          <w:p w14:paraId="56E4DD6D" w14:textId="77777777" w:rsidR="001727BE" w:rsidRDefault="004533AB">
            <w:pPr>
              <w:jc w:val="center"/>
            </w:pPr>
            <w:r>
              <w:rPr>
                <w:b/>
                <w:bCs/>
                <w:color w:val="FFFFFF"/>
                <w:sz w:val="32"/>
                <w:szCs w:val="32"/>
              </w:rPr>
              <w:t>H2</w:t>
            </w:r>
          </w:p>
        </w:tc>
        <w:tc>
          <w:tcPr>
            <w:tcW w:w="8560" w:type="dxa"/>
            <w:tcBorders>
              <w:top w:val="single" w:sz="6" w:space="0" w:color="C9D2DA"/>
              <w:left w:val="single" w:sz="6" w:space="0" w:color="C9D2DA"/>
              <w:bottom w:val="single" w:sz="6" w:space="0" w:color="C9D2DA"/>
              <w:right w:val="single" w:sz="6" w:space="0" w:color="C9D2DA"/>
            </w:tcBorders>
            <w:shd w:val="clear" w:color="auto" w:fill="F0F4F8"/>
            <w:tcMar>
              <w:top w:w="100" w:type="dxa"/>
              <w:left w:w="200" w:type="dxa"/>
              <w:bottom w:w="100" w:type="dxa"/>
              <w:right w:w="200" w:type="dxa"/>
            </w:tcMar>
          </w:tcPr>
          <w:p w14:paraId="250F70A5" w14:textId="77777777" w:rsidR="001727BE" w:rsidRDefault="004533AB">
            <w:pPr>
              <w:spacing w:after="60"/>
            </w:pPr>
            <w:r>
              <w:rPr>
                <w:b/>
                <w:bCs/>
                <w:color w:val="1F3B5A"/>
              </w:rPr>
              <w:t>Hypothèse d'inversibilité.</w:t>
            </w:r>
          </w:p>
          <w:p w14:paraId="5C613FCF" w14:textId="77777777" w:rsidR="001727BE" w:rsidRDefault="004533AB">
            <w:pPr>
              <w:spacing w:line="300" w:lineRule="auto"/>
              <w:jc w:val="both"/>
            </w:pPr>
            <w:r>
              <w:t>L'impédance vue depuis la source dépend suffisamment de la position d'un défaut pour permettre, par un modèle appris sur jumeau numérique, de reconstruire cette position à l'échelle du regard de balisage.</w:t>
            </w:r>
          </w:p>
        </w:tc>
      </w:tr>
    </w:tbl>
    <w:p w14:paraId="52E180B3" w14:textId="77777777" w:rsidR="001727BE" w:rsidRDefault="001727B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1727BE" w14:paraId="54015EAA" w14:textId="77777777">
        <w:tc>
          <w:tcPr>
            <w:tcW w:w="800" w:type="dxa"/>
            <w:tcBorders>
              <w:top w:val="single" w:sz="6" w:space="0" w:color="C9D2DA"/>
              <w:left w:val="single" w:sz="6" w:space="0" w:color="C9D2DA"/>
              <w:bottom w:val="single" w:sz="6" w:space="0" w:color="C9D2DA"/>
              <w:right w:val="single" w:sz="6" w:space="0" w:color="C9D2DA"/>
            </w:tcBorders>
            <w:shd w:val="clear" w:color="auto" w:fill="1F3B5A"/>
            <w:tcMar>
              <w:top w:w="100" w:type="dxa"/>
              <w:left w:w="80" w:type="dxa"/>
              <w:bottom w:w="100" w:type="dxa"/>
              <w:right w:w="80" w:type="dxa"/>
            </w:tcMar>
            <w:vAlign w:val="center"/>
          </w:tcPr>
          <w:p w14:paraId="301333C3" w14:textId="77777777" w:rsidR="001727BE" w:rsidRDefault="004533AB">
            <w:pPr>
              <w:jc w:val="center"/>
            </w:pPr>
            <w:r>
              <w:rPr>
                <w:b/>
                <w:bCs/>
                <w:color w:val="FFFFFF"/>
                <w:sz w:val="32"/>
                <w:szCs w:val="32"/>
              </w:rPr>
              <w:t>H3</w:t>
            </w:r>
          </w:p>
        </w:tc>
        <w:tc>
          <w:tcPr>
            <w:tcW w:w="8560" w:type="dxa"/>
            <w:tcBorders>
              <w:top w:val="single" w:sz="6" w:space="0" w:color="C9D2DA"/>
              <w:left w:val="single" w:sz="6" w:space="0" w:color="C9D2DA"/>
              <w:bottom w:val="single" w:sz="6" w:space="0" w:color="C9D2DA"/>
              <w:right w:val="single" w:sz="6" w:space="0" w:color="C9D2DA"/>
            </w:tcBorders>
            <w:shd w:val="clear" w:color="auto" w:fill="F0F4F8"/>
            <w:tcMar>
              <w:top w:w="100" w:type="dxa"/>
              <w:left w:w="200" w:type="dxa"/>
              <w:bottom w:w="100" w:type="dxa"/>
              <w:right w:w="200" w:type="dxa"/>
            </w:tcMar>
          </w:tcPr>
          <w:p w14:paraId="6BB5866C" w14:textId="77777777" w:rsidR="001727BE" w:rsidRDefault="004533AB">
            <w:pPr>
              <w:spacing w:after="60"/>
            </w:pPr>
            <w:r>
              <w:rPr>
                <w:b/>
                <w:bCs/>
                <w:color w:val="1F3B5A"/>
              </w:rPr>
              <w:t>Hypothèse d'embarquabilité.</w:t>
            </w:r>
          </w:p>
          <w:p w14:paraId="2DF2BB1F" w14:textId="77777777" w:rsidR="001727BE" w:rsidRDefault="004533AB">
            <w:pPr>
              <w:spacing w:line="300" w:lineRule="auto"/>
              <w:jc w:val="both"/>
            </w:pPr>
            <w:r>
              <w:t>La chaîne algorithmique complète — extraction de caractéristiques, détection, régression de localisation — peut être ramenée à des contraintes de calcul, de mémoire et de consommation compatibles avec un microcontrôleur de classe Cortex-M ou équivalent, en fonctionnement temps réel.</w:t>
            </w:r>
          </w:p>
        </w:tc>
      </w:tr>
    </w:tbl>
    <w:p w14:paraId="539987C2" w14:textId="77777777" w:rsidR="001727BE" w:rsidRDefault="004533AB">
      <w:pPr>
        <w:pBdr>
          <w:left w:val="single" w:sz="24" w:space="12" w:color="C4463A"/>
        </w:pBdr>
        <w:spacing w:before="360" w:after="180"/>
      </w:pPr>
      <w:r>
        <w:rPr>
          <w:b/>
          <w:bCs/>
          <w:color w:val="C4463A"/>
          <w:sz w:val="32"/>
          <w:szCs w:val="32"/>
        </w:rPr>
        <w:t xml:space="preserve">6. </w:t>
      </w:r>
      <w:r>
        <w:rPr>
          <w:b/>
          <w:bCs/>
          <w:color w:val="1F3B5A"/>
          <w:sz w:val="32"/>
          <w:szCs w:val="32"/>
        </w:rPr>
        <w:t>Méthodologie</w:t>
      </w:r>
    </w:p>
    <w:p w14:paraId="43F9FBD0" w14:textId="77777777" w:rsidR="001727BE" w:rsidRDefault="004533AB">
      <w:pPr>
        <w:spacing w:after="120" w:line="320" w:lineRule="auto"/>
        <w:jc w:val="both"/>
      </w:pPr>
      <w:r>
        <w:t>La démarche s'organise en cinq phases successives, alignées sur les cinq objectifs spécifiques. Chaque phase produit des artefacts concrets qui alimentent la suivante.</w:t>
      </w:r>
    </w:p>
    <w:p w14:paraId="683E2856" w14:textId="77777777" w:rsidR="001727BE" w:rsidRDefault="004533AB">
      <w:pPr>
        <w:spacing w:before="240" w:after="120"/>
      </w:pPr>
      <w:r>
        <w:rPr>
          <w:b/>
          <w:bCs/>
          <w:color w:val="C4463A"/>
          <w:sz w:val="26"/>
          <w:szCs w:val="26"/>
        </w:rPr>
        <w:lastRenderedPageBreak/>
        <w:t xml:space="preserve">Phase 1.  </w:t>
      </w:r>
      <w:r>
        <w:rPr>
          <w:b/>
          <w:bCs/>
          <w:color w:val="1F3B5A"/>
          <w:sz w:val="26"/>
          <w:szCs w:val="26"/>
        </w:rPr>
        <w:t>Construction et validation du jumeau numérique</w:t>
      </w:r>
    </w:p>
    <w:p w14:paraId="339E59EA" w14:textId="77777777" w:rsidR="001727BE" w:rsidRDefault="004533AB">
      <w:pPr>
        <w:spacing w:after="120" w:line="320" w:lineRule="auto"/>
        <w:jc w:val="both"/>
      </w:pPr>
      <w:r>
        <w:t>Le jumeau est construit à partir de la documentation collectée durant la phase de recherche documentaire qui a précédé la rédaction du chapitre I (datasheets constructeur du régulateur DIAM4100, des transformateurs d'isolement ITT-xxx, du câble NF C 33-225 ; guides techniques STAC ; normes CEI 61822 et CEI 61820). Chaque composant — gradateur SCR à angle de phase, câble distribué à pertes, transformateur d'isolement saturable, charge de feu, parafoudre — est modélisé sous un environnement de simulation. La validation des modèles physiques numériques se fait par confrontation aux datasheets constructeur : courbes courant-tension, rendement, comportement en régime nominal, tenue diélectrique. Cette étape conditionne la fiabilité de l'ensemble du travail aval.</w:t>
      </w:r>
    </w:p>
    <w:p w14:paraId="5CEC2459" w14:textId="77777777" w:rsidR="001727BE" w:rsidRDefault="004533AB">
      <w:pPr>
        <w:spacing w:before="240" w:after="120"/>
      </w:pPr>
      <w:r>
        <w:rPr>
          <w:b/>
          <w:bCs/>
          <w:color w:val="C4463A"/>
          <w:sz w:val="26"/>
          <w:szCs w:val="26"/>
        </w:rPr>
        <w:t xml:space="preserve">Phase 2.  </w:t>
      </w:r>
      <w:r>
        <w:rPr>
          <w:b/>
          <w:bCs/>
          <w:color w:val="1F3B5A"/>
          <w:sz w:val="26"/>
          <w:szCs w:val="26"/>
        </w:rPr>
        <w:t>Caractérisation des signatures</w:t>
      </w:r>
    </w:p>
    <w:p w14:paraId="6A3B48F7" w14:textId="77777777" w:rsidR="001727BE" w:rsidRDefault="004533AB">
      <w:pPr>
        <w:spacing w:after="120" w:line="320" w:lineRule="auto"/>
        <w:jc w:val="both"/>
      </w:pPr>
      <w:r>
        <w:t>Le jumeau est exploité pour générer, par simulation, les signatures électriques attendues en régime nominal et sous différents scénarios de défaut : humidité progressive, court-circuit franc d'un secondaire de transformateur d'isolement, dégradation diélectrique localisée, parafoudre détérioré. Pour chaque scénario, la position du défaut est balayée le long de la boucle. Les enregistrements ainsi produits constituent les jeux de données d'apprentissage et de test pour les phases suivantes.</w:t>
      </w:r>
    </w:p>
    <w:p w14:paraId="7F6B1560" w14:textId="77777777" w:rsidR="001727BE" w:rsidRDefault="004533AB">
      <w:pPr>
        <w:spacing w:before="240" w:after="120"/>
      </w:pPr>
      <w:r>
        <w:rPr>
          <w:b/>
          <w:bCs/>
          <w:color w:val="C4463A"/>
          <w:sz w:val="26"/>
          <w:szCs w:val="26"/>
        </w:rPr>
        <w:t xml:space="preserve">Phase 3.  </w:t>
      </w:r>
      <w:r>
        <w:rPr>
          <w:b/>
          <w:bCs/>
          <w:color w:val="1F3B5A"/>
          <w:sz w:val="26"/>
          <w:szCs w:val="26"/>
        </w:rPr>
        <w:t>Développement de la chaîne algorithmique</w:t>
      </w:r>
    </w:p>
    <w:p w14:paraId="4A20086C" w14:textId="77777777" w:rsidR="001727BE" w:rsidRDefault="004533AB">
      <w:pPr>
        <w:spacing w:after="120" w:line="320" w:lineRule="auto"/>
        <w:jc w:val="both"/>
      </w:pPr>
      <w:r>
        <w:t>Trois étages sont conçus séquentiellement : extraction de caractéristiques (analyse spectrale par transformée de Fourier rapide, indicateurs harmoniques, descripteurs temps-fréquence) ; module de détection d'anomalie par apprentissage non supervisé (autoencodeur ou One-Class SVM) ; module de localisation par régression supervisée entraînée sur les signatures simulées. La chaîne est validée hors ligne sur les jeux de test issus du jumeau.</w:t>
      </w:r>
    </w:p>
    <w:p w14:paraId="49EFFD83" w14:textId="77777777" w:rsidR="001727BE" w:rsidRDefault="004533AB">
      <w:pPr>
        <w:spacing w:before="240" w:after="120"/>
      </w:pPr>
      <w:r>
        <w:rPr>
          <w:b/>
          <w:bCs/>
          <w:color w:val="C4463A"/>
          <w:sz w:val="26"/>
          <w:szCs w:val="26"/>
        </w:rPr>
        <w:t xml:space="preserve">Phase 4.  </w:t>
      </w:r>
      <w:r>
        <w:rPr>
          <w:b/>
          <w:bCs/>
          <w:color w:val="1F3B5A"/>
          <w:sz w:val="26"/>
          <w:szCs w:val="26"/>
        </w:rPr>
        <w:t>Implémentation embarquée</w:t>
      </w:r>
    </w:p>
    <w:p w14:paraId="16DD621C" w14:textId="77777777" w:rsidR="001727BE" w:rsidRDefault="004533AB">
      <w:pPr>
        <w:spacing w:after="120" w:line="320" w:lineRule="auto"/>
        <w:jc w:val="both"/>
      </w:pPr>
      <w:r>
        <w:t>Le portage de la chaîne algorithmique est réalisé sur un microcontrôleur dont la cible est sélectionnée à partir des contraintes identifiées en phase 3 (mémoire requise, latence acceptable, consommation). Un dimensionnement de la chaîne d'acquisition non intrusive est conduit en parallèle : capteur, conditionnement, isolation, échantillonnage. Les optimisations classiques (quantification, élagage du modèle d'apprentissage, structure de calcul vectorisée) sont mises en œuvre pour respecter les contraintes embarquées.</w:t>
      </w:r>
    </w:p>
    <w:p w14:paraId="460985A4" w14:textId="77777777" w:rsidR="001727BE" w:rsidRDefault="004533AB">
      <w:pPr>
        <w:spacing w:before="240" w:after="120"/>
      </w:pPr>
      <w:r>
        <w:rPr>
          <w:b/>
          <w:bCs/>
          <w:color w:val="C4463A"/>
          <w:sz w:val="26"/>
          <w:szCs w:val="26"/>
        </w:rPr>
        <w:t xml:space="preserve">Phase 5.  </w:t>
      </w:r>
      <w:r>
        <w:rPr>
          <w:b/>
          <w:bCs/>
          <w:color w:val="1F3B5A"/>
          <w:sz w:val="26"/>
          <w:szCs w:val="26"/>
        </w:rPr>
        <w:t>Supervision et validation système</w:t>
      </w:r>
    </w:p>
    <w:p w14:paraId="7658CAA1" w14:textId="77777777" w:rsidR="001727BE" w:rsidRDefault="004533AB">
      <w:pPr>
        <w:spacing w:after="120" w:line="320" w:lineRule="auto"/>
        <w:jc w:val="both"/>
      </w:pPr>
      <w:r>
        <w:t>La dernière phase intègre l'algorithme embarqué dans une couche de supervision (interface homme-machine, communication avec le régulateur, alertes hiérarchisées) et procède à la validation système sur les scénarios construits à partir du jumeau. Le détail des critères de validation sera arrêté lors de la formalisation du cahier des charges qui ouvrira ces travaux.</w:t>
      </w:r>
    </w:p>
    <w:p w14:paraId="47626B76" w14:textId="77777777" w:rsidR="001727BE" w:rsidRDefault="004533AB">
      <w:pPr>
        <w:pBdr>
          <w:left w:val="single" w:sz="24" w:space="12" w:color="C4463A"/>
        </w:pBdr>
        <w:spacing w:before="360" w:after="180"/>
      </w:pPr>
      <w:r>
        <w:rPr>
          <w:b/>
          <w:bCs/>
          <w:color w:val="C4463A"/>
          <w:sz w:val="32"/>
          <w:szCs w:val="32"/>
        </w:rPr>
        <w:t xml:space="preserve">7. </w:t>
      </w:r>
      <w:r>
        <w:rPr>
          <w:b/>
          <w:bCs/>
          <w:color w:val="1F3B5A"/>
          <w:sz w:val="32"/>
          <w:szCs w:val="32"/>
        </w:rPr>
        <w:t>Calendrier prévisionnel</w:t>
      </w:r>
    </w:p>
    <w:p w14:paraId="25C17A24" w14:textId="77777777" w:rsidR="001727BE" w:rsidRDefault="004533AB">
      <w:pPr>
        <w:spacing w:after="120" w:line="320" w:lineRule="auto"/>
        <w:jc w:val="both"/>
      </w:pPr>
      <w:r>
        <w:lastRenderedPageBreak/>
        <w:t xml:space="preserve">Le projet doit s'achever en </w:t>
      </w:r>
      <w:r>
        <w:rPr>
          <w:b/>
          <w:bCs/>
          <w:color w:val="C4463A"/>
        </w:rPr>
        <w:t>six semaines</w:t>
      </w:r>
      <w:r>
        <w:t xml:space="preserve">. Une </w:t>
      </w:r>
      <w:r>
        <w:rPr>
          <w:b/>
          <w:bCs/>
          <w:color w:val="1F3B5A"/>
        </w:rPr>
        <w:t>revue hebdomadaire</w:t>
      </w:r>
      <w:r>
        <w:t xml:space="preserve"> est tenue avec les encadrants académique et industriel pour ajuster la trajectoire et lever les blocages éventuels. La répartition prévisionnelle est résumée ci-dessous.</w:t>
      </w:r>
    </w:p>
    <w:p w14:paraId="0A777C9D" w14:textId="77777777" w:rsidR="001727BE" w:rsidRDefault="001727B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4000"/>
        <w:gridCol w:w="2360"/>
      </w:tblGrid>
      <w:tr w:rsidR="001727BE" w14:paraId="62F2DEEA" w14:textId="77777777">
        <w:trPr>
          <w:tblHeader/>
        </w:trPr>
        <w:tc>
          <w:tcPr>
            <w:tcW w:w="0" w:type="auto"/>
            <w:tcBorders>
              <w:top w:val="single" w:sz="6" w:space="0" w:color="C9D2DA"/>
              <w:left w:val="single" w:sz="6" w:space="0" w:color="C9D2DA"/>
              <w:bottom w:val="single" w:sz="6" w:space="0" w:color="C9D2DA"/>
              <w:right w:val="single" w:sz="6" w:space="0" w:color="C9D2DA"/>
            </w:tcBorders>
            <w:shd w:val="clear" w:color="auto" w:fill="1F3B5A"/>
            <w:tcMar>
              <w:top w:w="100" w:type="dxa"/>
              <w:left w:w="120" w:type="dxa"/>
              <w:bottom w:w="100" w:type="dxa"/>
              <w:right w:w="120" w:type="dxa"/>
            </w:tcMar>
            <w:vAlign w:val="center"/>
          </w:tcPr>
          <w:p w14:paraId="24F45C18" w14:textId="77777777" w:rsidR="001727BE" w:rsidRDefault="004533AB">
            <w:pPr>
              <w:jc w:val="center"/>
            </w:pPr>
            <w:r>
              <w:rPr>
                <w:b/>
                <w:bCs/>
                <w:color w:val="FFFFFF"/>
                <w:sz w:val="20"/>
                <w:szCs w:val="20"/>
              </w:rPr>
              <w:t>Sem.</w:t>
            </w:r>
          </w:p>
        </w:tc>
        <w:tc>
          <w:tcPr>
            <w:tcW w:w="0" w:type="auto"/>
            <w:tcBorders>
              <w:top w:val="single" w:sz="6" w:space="0" w:color="C9D2DA"/>
              <w:left w:val="single" w:sz="6" w:space="0" w:color="C9D2DA"/>
              <w:bottom w:val="single" w:sz="6" w:space="0" w:color="C9D2DA"/>
              <w:right w:val="single" w:sz="6" w:space="0" w:color="C9D2DA"/>
            </w:tcBorders>
            <w:shd w:val="clear" w:color="auto" w:fill="1F3B5A"/>
            <w:tcMar>
              <w:top w:w="100" w:type="dxa"/>
              <w:left w:w="120" w:type="dxa"/>
              <w:bottom w:w="100" w:type="dxa"/>
              <w:right w:w="120" w:type="dxa"/>
            </w:tcMar>
            <w:vAlign w:val="center"/>
          </w:tcPr>
          <w:p w14:paraId="4D7DBC04" w14:textId="77777777" w:rsidR="001727BE" w:rsidRDefault="004533AB">
            <w:pPr>
              <w:jc w:val="center"/>
            </w:pPr>
            <w:r>
              <w:rPr>
                <w:b/>
                <w:bCs/>
                <w:color w:val="FFFFFF"/>
                <w:sz w:val="20"/>
                <w:szCs w:val="20"/>
              </w:rPr>
              <w:t>Phase</w:t>
            </w:r>
          </w:p>
        </w:tc>
        <w:tc>
          <w:tcPr>
            <w:tcW w:w="0" w:type="auto"/>
            <w:tcBorders>
              <w:top w:val="single" w:sz="6" w:space="0" w:color="C9D2DA"/>
              <w:left w:val="single" w:sz="6" w:space="0" w:color="C9D2DA"/>
              <w:bottom w:val="single" w:sz="6" w:space="0" w:color="C9D2DA"/>
              <w:right w:val="single" w:sz="6" w:space="0" w:color="C9D2DA"/>
            </w:tcBorders>
            <w:shd w:val="clear" w:color="auto" w:fill="1F3B5A"/>
            <w:tcMar>
              <w:top w:w="100" w:type="dxa"/>
              <w:left w:w="120" w:type="dxa"/>
              <w:bottom w:w="100" w:type="dxa"/>
              <w:right w:w="120" w:type="dxa"/>
            </w:tcMar>
            <w:vAlign w:val="center"/>
          </w:tcPr>
          <w:p w14:paraId="6BA2C13D" w14:textId="77777777" w:rsidR="001727BE" w:rsidRDefault="004533AB">
            <w:pPr>
              <w:jc w:val="center"/>
            </w:pPr>
            <w:r>
              <w:rPr>
                <w:b/>
                <w:bCs/>
                <w:color w:val="FFFFFF"/>
                <w:sz w:val="20"/>
                <w:szCs w:val="20"/>
              </w:rPr>
              <w:t>Activités principales</w:t>
            </w:r>
          </w:p>
        </w:tc>
        <w:tc>
          <w:tcPr>
            <w:tcW w:w="0" w:type="auto"/>
            <w:tcBorders>
              <w:top w:val="single" w:sz="6" w:space="0" w:color="C9D2DA"/>
              <w:left w:val="single" w:sz="6" w:space="0" w:color="C9D2DA"/>
              <w:bottom w:val="single" w:sz="6" w:space="0" w:color="C9D2DA"/>
              <w:right w:val="single" w:sz="6" w:space="0" w:color="C9D2DA"/>
            </w:tcBorders>
            <w:shd w:val="clear" w:color="auto" w:fill="1F3B5A"/>
            <w:tcMar>
              <w:top w:w="100" w:type="dxa"/>
              <w:left w:w="120" w:type="dxa"/>
              <w:bottom w:w="100" w:type="dxa"/>
              <w:right w:w="120" w:type="dxa"/>
            </w:tcMar>
            <w:vAlign w:val="center"/>
          </w:tcPr>
          <w:p w14:paraId="5DDC2E8E" w14:textId="77777777" w:rsidR="001727BE" w:rsidRDefault="004533AB">
            <w:pPr>
              <w:jc w:val="center"/>
            </w:pPr>
            <w:r>
              <w:rPr>
                <w:b/>
                <w:bCs/>
                <w:color w:val="FFFFFF"/>
                <w:sz w:val="20"/>
                <w:szCs w:val="20"/>
              </w:rPr>
              <w:t>Livrable de fin de semaine</w:t>
            </w:r>
          </w:p>
        </w:tc>
      </w:tr>
      <w:tr w:rsidR="001727BE" w14:paraId="2F6993A3" w14:textId="77777777">
        <w:tc>
          <w:tcPr>
            <w:tcW w:w="800" w:type="dxa"/>
            <w:tcBorders>
              <w:top w:val="single" w:sz="6" w:space="0" w:color="C9D2DA"/>
              <w:left w:val="single" w:sz="6" w:space="0" w:color="C9D2DA"/>
              <w:bottom w:val="single" w:sz="6" w:space="0" w:color="C9D2DA"/>
              <w:right w:val="single" w:sz="6" w:space="0" w:color="C9D2DA"/>
            </w:tcBorders>
            <w:shd w:val="clear" w:color="auto" w:fill="F0F4F8"/>
            <w:tcMar>
              <w:top w:w="100" w:type="dxa"/>
              <w:left w:w="120" w:type="dxa"/>
              <w:bottom w:w="100" w:type="dxa"/>
              <w:right w:w="120" w:type="dxa"/>
            </w:tcMar>
            <w:vAlign w:val="center"/>
          </w:tcPr>
          <w:p w14:paraId="1A5EB557" w14:textId="77777777" w:rsidR="001727BE" w:rsidRDefault="004533AB">
            <w:pPr>
              <w:jc w:val="center"/>
            </w:pPr>
            <w:r>
              <w:rPr>
                <w:b/>
                <w:bCs/>
                <w:color w:val="1F3B5A"/>
                <w:sz w:val="20"/>
                <w:szCs w:val="20"/>
              </w:rPr>
              <w:t>S1</w:t>
            </w:r>
          </w:p>
        </w:tc>
        <w:tc>
          <w:tcPr>
            <w:tcW w:w="2200" w:type="dxa"/>
            <w:tcBorders>
              <w:top w:val="single" w:sz="6" w:space="0" w:color="C9D2DA"/>
              <w:left w:val="single" w:sz="6" w:space="0" w:color="C9D2DA"/>
              <w:bottom w:val="single" w:sz="6" w:space="0" w:color="C9D2DA"/>
              <w:right w:val="single" w:sz="6" w:space="0" w:color="C9D2DA"/>
            </w:tcBorders>
            <w:tcMar>
              <w:top w:w="100" w:type="dxa"/>
              <w:left w:w="120" w:type="dxa"/>
              <w:bottom w:w="100" w:type="dxa"/>
              <w:right w:w="120" w:type="dxa"/>
            </w:tcMar>
            <w:vAlign w:val="center"/>
          </w:tcPr>
          <w:p w14:paraId="3E5F8786" w14:textId="77777777" w:rsidR="001727BE" w:rsidRDefault="004533AB">
            <w:r>
              <w:rPr>
                <w:sz w:val="20"/>
                <w:szCs w:val="20"/>
              </w:rPr>
              <w:t>Cadrage + début Phase 1</w:t>
            </w:r>
          </w:p>
        </w:tc>
        <w:tc>
          <w:tcPr>
            <w:tcW w:w="4000" w:type="dxa"/>
            <w:tcBorders>
              <w:top w:val="single" w:sz="6" w:space="0" w:color="C9D2DA"/>
              <w:left w:val="single" w:sz="6" w:space="0" w:color="C9D2DA"/>
              <w:bottom w:val="single" w:sz="6" w:space="0" w:color="C9D2DA"/>
              <w:right w:val="single" w:sz="6" w:space="0" w:color="C9D2DA"/>
            </w:tcBorders>
            <w:tcMar>
              <w:top w:w="100" w:type="dxa"/>
              <w:left w:w="120" w:type="dxa"/>
              <w:bottom w:w="100" w:type="dxa"/>
              <w:right w:w="120" w:type="dxa"/>
            </w:tcMar>
            <w:vAlign w:val="center"/>
          </w:tcPr>
          <w:p w14:paraId="71DEED01" w14:textId="77777777" w:rsidR="001727BE" w:rsidRDefault="004533AB">
            <w:r>
              <w:rPr>
                <w:sz w:val="20"/>
                <w:szCs w:val="20"/>
              </w:rPr>
              <w:t>Cahier des charges détaillé ; modèles individuels des composants (régulateur, câble, TI, feu, parafoudre)</w:t>
            </w:r>
          </w:p>
        </w:tc>
        <w:tc>
          <w:tcPr>
            <w:tcW w:w="2360" w:type="dxa"/>
            <w:tcBorders>
              <w:top w:val="single" w:sz="6" w:space="0" w:color="C9D2DA"/>
              <w:left w:val="single" w:sz="6" w:space="0" w:color="C9D2DA"/>
              <w:bottom w:val="single" w:sz="6" w:space="0" w:color="C9D2DA"/>
              <w:right w:val="single" w:sz="6" w:space="0" w:color="C9D2DA"/>
            </w:tcBorders>
            <w:tcMar>
              <w:top w:w="100" w:type="dxa"/>
              <w:left w:w="120" w:type="dxa"/>
              <w:bottom w:w="100" w:type="dxa"/>
              <w:right w:w="120" w:type="dxa"/>
            </w:tcMar>
            <w:vAlign w:val="center"/>
          </w:tcPr>
          <w:p w14:paraId="10372A97" w14:textId="77777777" w:rsidR="001727BE" w:rsidRDefault="004533AB">
            <w:r>
              <w:rPr>
                <w:sz w:val="20"/>
                <w:szCs w:val="20"/>
              </w:rPr>
              <w:t>CdC validé ; bibliothèque de composants</w:t>
            </w:r>
          </w:p>
        </w:tc>
      </w:tr>
      <w:tr w:rsidR="001727BE" w14:paraId="630F0C3B" w14:textId="77777777">
        <w:tc>
          <w:tcPr>
            <w:tcW w:w="800" w:type="dxa"/>
            <w:tcBorders>
              <w:top w:val="single" w:sz="6" w:space="0" w:color="C9D2DA"/>
              <w:left w:val="single" w:sz="6" w:space="0" w:color="C9D2DA"/>
              <w:bottom w:val="single" w:sz="6" w:space="0" w:color="C9D2DA"/>
              <w:right w:val="single" w:sz="6" w:space="0" w:color="C9D2DA"/>
            </w:tcBorders>
            <w:shd w:val="clear" w:color="auto" w:fill="F0F4F8"/>
            <w:tcMar>
              <w:top w:w="100" w:type="dxa"/>
              <w:left w:w="120" w:type="dxa"/>
              <w:bottom w:w="100" w:type="dxa"/>
              <w:right w:w="120" w:type="dxa"/>
            </w:tcMar>
            <w:vAlign w:val="center"/>
          </w:tcPr>
          <w:p w14:paraId="00519136" w14:textId="77777777" w:rsidR="001727BE" w:rsidRDefault="004533AB">
            <w:pPr>
              <w:jc w:val="center"/>
            </w:pPr>
            <w:r>
              <w:rPr>
                <w:b/>
                <w:bCs/>
                <w:color w:val="1F3B5A"/>
                <w:sz w:val="20"/>
                <w:szCs w:val="20"/>
              </w:rPr>
              <w:t>S2</w:t>
            </w:r>
          </w:p>
        </w:tc>
        <w:tc>
          <w:tcPr>
            <w:tcW w:w="2200" w:type="dxa"/>
            <w:tcBorders>
              <w:top w:val="single" w:sz="6" w:space="0" w:color="C9D2DA"/>
              <w:left w:val="single" w:sz="6" w:space="0" w:color="C9D2DA"/>
              <w:bottom w:val="single" w:sz="6" w:space="0" w:color="C9D2DA"/>
              <w:right w:val="single" w:sz="6" w:space="0" w:color="C9D2DA"/>
            </w:tcBorders>
            <w:tcMar>
              <w:top w:w="100" w:type="dxa"/>
              <w:left w:w="120" w:type="dxa"/>
              <w:bottom w:w="100" w:type="dxa"/>
              <w:right w:w="120" w:type="dxa"/>
            </w:tcMar>
            <w:vAlign w:val="center"/>
          </w:tcPr>
          <w:p w14:paraId="543C728C" w14:textId="77777777" w:rsidR="001727BE" w:rsidRDefault="004533AB">
            <w:r>
              <w:rPr>
                <w:sz w:val="20"/>
                <w:szCs w:val="20"/>
              </w:rPr>
              <w:t>Phase 1</w:t>
            </w:r>
          </w:p>
        </w:tc>
        <w:tc>
          <w:tcPr>
            <w:tcW w:w="4000" w:type="dxa"/>
            <w:tcBorders>
              <w:top w:val="single" w:sz="6" w:space="0" w:color="C9D2DA"/>
              <w:left w:val="single" w:sz="6" w:space="0" w:color="C9D2DA"/>
              <w:bottom w:val="single" w:sz="6" w:space="0" w:color="C9D2DA"/>
              <w:right w:val="single" w:sz="6" w:space="0" w:color="C9D2DA"/>
            </w:tcBorders>
            <w:tcMar>
              <w:top w:w="100" w:type="dxa"/>
              <w:left w:w="120" w:type="dxa"/>
              <w:bottom w:w="100" w:type="dxa"/>
              <w:right w:w="120" w:type="dxa"/>
            </w:tcMar>
            <w:vAlign w:val="center"/>
          </w:tcPr>
          <w:p w14:paraId="2E034BF7" w14:textId="77777777" w:rsidR="001727BE" w:rsidRDefault="004533AB">
            <w:r>
              <w:rPr>
                <w:sz w:val="20"/>
                <w:szCs w:val="20"/>
              </w:rPr>
              <w:t>Assemblage du jumeau ; calibration et confrontation systématique aux datasheets constructeur</w:t>
            </w:r>
          </w:p>
        </w:tc>
        <w:tc>
          <w:tcPr>
            <w:tcW w:w="2360" w:type="dxa"/>
            <w:tcBorders>
              <w:top w:val="single" w:sz="6" w:space="0" w:color="C9D2DA"/>
              <w:left w:val="single" w:sz="6" w:space="0" w:color="C9D2DA"/>
              <w:bottom w:val="single" w:sz="6" w:space="0" w:color="C9D2DA"/>
              <w:right w:val="single" w:sz="6" w:space="0" w:color="C9D2DA"/>
            </w:tcBorders>
            <w:tcMar>
              <w:top w:w="100" w:type="dxa"/>
              <w:left w:w="120" w:type="dxa"/>
              <w:bottom w:w="100" w:type="dxa"/>
              <w:right w:w="120" w:type="dxa"/>
            </w:tcMar>
            <w:vAlign w:val="center"/>
          </w:tcPr>
          <w:p w14:paraId="4F860232" w14:textId="77777777" w:rsidR="001727BE" w:rsidRDefault="004533AB">
            <w:r>
              <w:rPr>
                <w:sz w:val="20"/>
                <w:szCs w:val="20"/>
              </w:rPr>
              <w:t>Jumeau numérique opérationnel</w:t>
            </w:r>
          </w:p>
        </w:tc>
      </w:tr>
      <w:tr w:rsidR="001727BE" w14:paraId="5A743C48" w14:textId="77777777">
        <w:tc>
          <w:tcPr>
            <w:tcW w:w="800" w:type="dxa"/>
            <w:tcBorders>
              <w:top w:val="single" w:sz="6" w:space="0" w:color="C9D2DA"/>
              <w:left w:val="single" w:sz="6" w:space="0" w:color="C9D2DA"/>
              <w:bottom w:val="single" w:sz="6" w:space="0" w:color="C9D2DA"/>
              <w:right w:val="single" w:sz="6" w:space="0" w:color="C9D2DA"/>
            </w:tcBorders>
            <w:shd w:val="clear" w:color="auto" w:fill="F0F4F8"/>
            <w:tcMar>
              <w:top w:w="100" w:type="dxa"/>
              <w:left w:w="120" w:type="dxa"/>
              <w:bottom w:w="100" w:type="dxa"/>
              <w:right w:w="120" w:type="dxa"/>
            </w:tcMar>
            <w:vAlign w:val="center"/>
          </w:tcPr>
          <w:p w14:paraId="53552BFE" w14:textId="77777777" w:rsidR="001727BE" w:rsidRDefault="004533AB">
            <w:pPr>
              <w:jc w:val="center"/>
            </w:pPr>
            <w:r>
              <w:rPr>
                <w:b/>
                <w:bCs/>
                <w:color w:val="1F3B5A"/>
                <w:sz w:val="20"/>
                <w:szCs w:val="20"/>
              </w:rPr>
              <w:t>S3</w:t>
            </w:r>
          </w:p>
        </w:tc>
        <w:tc>
          <w:tcPr>
            <w:tcW w:w="2200" w:type="dxa"/>
            <w:tcBorders>
              <w:top w:val="single" w:sz="6" w:space="0" w:color="C9D2DA"/>
              <w:left w:val="single" w:sz="6" w:space="0" w:color="C9D2DA"/>
              <w:bottom w:val="single" w:sz="6" w:space="0" w:color="C9D2DA"/>
              <w:right w:val="single" w:sz="6" w:space="0" w:color="C9D2DA"/>
            </w:tcBorders>
            <w:tcMar>
              <w:top w:w="100" w:type="dxa"/>
              <w:left w:w="120" w:type="dxa"/>
              <w:bottom w:w="100" w:type="dxa"/>
              <w:right w:w="120" w:type="dxa"/>
            </w:tcMar>
            <w:vAlign w:val="center"/>
          </w:tcPr>
          <w:p w14:paraId="05859315" w14:textId="77777777" w:rsidR="001727BE" w:rsidRDefault="004533AB">
            <w:r>
              <w:rPr>
                <w:sz w:val="20"/>
                <w:szCs w:val="20"/>
              </w:rPr>
              <w:t>Phase 2</w:t>
            </w:r>
          </w:p>
        </w:tc>
        <w:tc>
          <w:tcPr>
            <w:tcW w:w="4000" w:type="dxa"/>
            <w:tcBorders>
              <w:top w:val="single" w:sz="6" w:space="0" w:color="C9D2DA"/>
              <w:left w:val="single" w:sz="6" w:space="0" w:color="C9D2DA"/>
              <w:bottom w:val="single" w:sz="6" w:space="0" w:color="C9D2DA"/>
              <w:right w:val="single" w:sz="6" w:space="0" w:color="C9D2DA"/>
            </w:tcBorders>
            <w:tcMar>
              <w:top w:w="100" w:type="dxa"/>
              <w:left w:w="120" w:type="dxa"/>
              <w:bottom w:w="100" w:type="dxa"/>
              <w:right w:w="120" w:type="dxa"/>
            </w:tcMar>
            <w:vAlign w:val="center"/>
          </w:tcPr>
          <w:p w14:paraId="70683E01" w14:textId="77777777" w:rsidR="001727BE" w:rsidRDefault="004533AB">
            <w:r>
              <w:rPr>
                <w:sz w:val="20"/>
                <w:szCs w:val="20"/>
              </w:rPr>
              <w:t>Génération des scénarios de défaut ; constitution des jeux de données d'apprentissage et de test</w:t>
            </w:r>
          </w:p>
        </w:tc>
        <w:tc>
          <w:tcPr>
            <w:tcW w:w="2360" w:type="dxa"/>
            <w:tcBorders>
              <w:top w:val="single" w:sz="6" w:space="0" w:color="C9D2DA"/>
              <w:left w:val="single" w:sz="6" w:space="0" w:color="C9D2DA"/>
              <w:bottom w:val="single" w:sz="6" w:space="0" w:color="C9D2DA"/>
              <w:right w:val="single" w:sz="6" w:space="0" w:color="C9D2DA"/>
            </w:tcBorders>
            <w:tcMar>
              <w:top w:w="100" w:type="dxa"/>
              <w:left w:w="120" w:type="dxa"/>
              <w:bottom w:w="100" w:type="dxa"/>
              <w:right w:w="120" w:type="dxa"/>
            </w:tcMar>
            <w:vAlign w:val="center"/>
          </w:tcPr>
          <w:p w14:paraId="6A1FA119" w14:textId="77777777" w:rsidR="001727BE" w:rsidRDefault="004533AB">
            <w:r>
              <w:rPr>
                <w:sz w:val="20"/>
                <w:szCs w:val="20"/>
              </w:rPr>
              <w:t>Bases de données complètes</w:t>
            </w:r>
          </w:p>
        </w:tc>
      </w:tr>
      <w:tr w:rsidR="001727BE" w14:paraId="79DB6095" w14:textId="77777777">
        <w:tc>
          <w:tcPr>
            <w:tcW w:w="800" w:type="dxa"/>
            <w:tcBorders>
              <w:top w:val="single" w:sz="6" w:space="0" w:color="C9D2DA"/>
              <w:left w:val="single" w:sz="6" w:space="0" w:color="C9D2DA"/>
              <w:bottom w:val="single" w:sz="6" w:space="0" w:color="C9D2DA"/>
              <w:right w:val="single" w:sz="6" w:space="0" w:color="C9D2DA"/>
            </w:tcBorders>
            <w:shd w:val="clear" w:color="auto" w:fill="F0F4F8"/>
            <w:tcMar>
              <w:top w:w="100" w:type="dxa"/>
              <w:left w:w="120" w:type="dxa"/>
              <w:bottom w:w="100" w:type="dxa"/>
              <w:right w:w="120" w:type="dxa"/>
            </w:tcMar>
            <w:vAlign w:val="center"/>
          </w:tcPr>
          <w:p w14:paraId="38398E31" w14:textId="77777777" w:rsidR="001727BE" w:rsidRDefault="004533AB">
            <w:pPr>
              <w:jc w:val="center"/>
            </w:pPr>
            <w:r>
              <w:rPr>
                <w:b/>
                <w:bCs/>
                <w:color w:val="1F3B5A"/>
                <w:sz w:val="20"/>
                <w:szCs w:val="20"/>
              </w:rPr>
              <w:t>S4</w:t>
            </w:r>
          </w:p>
        </w:tc>
        <w:tc>
          <w:tcPr>
            <w:tcW w:w="2200" w:type="dxa"/>
            <w:tcBorders>
              <w:top w:val="single" w:sz="6" w:space="0" w:color="C9D2DA"/>
              <w:left w:val="single" w:sz="6" w:space="0" w:color="C9D2DA"/>
              <w:bottom w:val="single" w:sz="6" w:space="0" w:color="C9D2DA"/>
              <w:right w:val="single" w:sz="6" w:space="0" w:color="C9D2DA"/>
            </w:tcBorders>
            <w:tcMar>
              <w:top w:w="100" w:type="dxa"/>
              <w:left w:w="120" w:type="dxa"/>
              <w:bottom w:w="100" w:type="dxa"/>
              <w:right w:w="120" w:type="dxa"/>
            </w:tcMar>
            <w:vAlign w:val="center"/>
          </w:tcPr>
          <w:p w14:paraId="1310C731" w14:textId="77777777" w:rsidR="001727BE" w:rsidRDefault="004533AB">
            <w:r>
              <w:rPr>
                <w:sz w:val="20"/>
                <w:szCs w:val="20"/>
              </w:rPr>
              <w:t>Phase 3</w:t>
            </w:r>
          </w:p>
        </w:tc>
        <w:tc>
          <w:tcPr>
            <w:tcW w:w="4000" w:type="dxa"/>
            <w:tcBorders>
              <w:top w:val="single" w:sz="6" w:space="0" w:color="C9D2DA"/>
              <w:left w:val="single" w:sz="6" w:space="0" w:color="C9D2DA"/>
              <w:bottom w:val="single" w:sz="6" w:space="0" w:color="C9D2DA"/>
              <w:right w:val="single" w:sz="6" w:space="0" w:color="C9D2DA"/>
            </w:tcBorders>
            <w:tcMar>
              <w:top w:w="100" w:type="dxa"/>
              <w:left w:w="120" w:type="dxa"/>
              <w:bottom w:w="100" w:type="dxa"/>
              <w:right w:w="120" w:type="dxa"/>
            </w:tcMar>
            <w:vAlign w:val="center"/>
          </w:tcPr>
          <w:p w14:paraId="05B67108" w14:textId="77777777" w:rsidR="001727BE" w:rsidRDefault="004533AB">
            <w:r>
              <w:rPr>
                <w:sz w:val="20"/>
                <w:szCs w:val="20"/>
              </w:rPr>
              <w:t>Extraction de caractéristiques, détection d'anomalie, régression de localisation, validation hors-ligne</w:t>
            </w:r>
          </w:p>
        </w:tc>
        <w:tc>
          <w:tcPr>
            <w:tcW w:w="2360" w:type="dxa"/>
            <w:tcBorders>
              <w:top w:val="single" w:sz="6" w:space="0" w:color="C9D2DA"/>
              <w:left w:val="single" w:sz="6" w:space="0" w:color="C9D2DA"/>
              <w:bottom w:val="single" w:sz="6" w:space="0" w:color="C9D2DA"/>
              <w:right w:val="single" w:sz="6" w:space="0" w:color="C9D2DA"/>
            </w:tcBorders>
            <w:tcMar>
              <w:top w:w="100" w:type="dxa"/>
              <w:left w:w="120" w:type="dxa"/>
              <w:bottom w:w="100" w:type="dxa"/>
              <w:right w:w="120" w:type="dxa"/>
            </w:tcMar>
            <w:vAlign w:val="center"/>
          </w:tcPr>
          <w:p w14:paraId="431AE54C" w14:textId="77777777" w:rsidR="001727BE" w:rsidRDefault="004533AB">
            <w:r>
              <w:rPr>
                <w:sz w:val="20"/>
                <w:szCs w:val="20"/>
              </w:rPr>
              <w:t>Pipeline IA fonctionnel</w:t>
            </w:r>
          </w:p>
        </w:tc>
      </w:tr>
      <w:tr w:rsidR="001727BE" w14:paraId="3776E9BE" w14:textId="77777777">
        <w:tc>
          <w:tcPr>
            <w:tcW w:w="800" w:type="dxa"/>
            <w:tcBorders>
              <w:top w:val="single" w:sz="6" w:space="0" w:color="C9D2DA"/>
              <w:left w:val="single" w:sz="6" w:space="0" w:color="C9D2DA"/>
              <w:bottom w:val="single" w:sz="6" w:space="0" w:color="C9D2DA"/>
              <w:right w:val="single" w:sz="6" w:space="0" w:color="C9D2DA"/>
            </w:tcBorders>
            <w:shd w:val="clear" w:color="auto" w:fill="F0F4F8"/>
            <w:tcMar>
              <w:top w:w="100" w:type="dxa"/>
              <w:left w:w="120" w:type="dxa"/>
              <w:bottom w:w="100" w:type="dxa"/>
              <w:right w:w="120" w:type="dxa"/>
            </w:tcMar>
            <w:vAlign w:val="center"/>
          </w:tcPr>
          <w:p w14:paraId="70153B5F" w14:textId="77777777" w:rsidR="001727BE" w:rsidRDefault="004533AB">
            <w:pPr>
              <w:jc w:val="center"/>
            </w:pPr>
            <w:r>
              <w:rPr>
                <w:b/>
                <w:bCs/>
                <w:color w:val="1F3B5A"/>
                <w:sz w:val="20"/>
                <w:szCs w:val="20"/>
              </w:rPr>
              <w:t>S5</w:t>
            </w:r>
          </w:p>
        </w:tc>
        <w:tc>
          <w:tcPr>
            <w:tcW w:w="2200" w:type="dxa"/>
            <w:tcBorders>
              <w:top w:val="single" w:sz="6" w:space="0" w:color="C9D2DA"/>
              <w:left w:val="single" w:sz="6" w:space="0" w:color="C9D2DA"/>
              <w:bottom w:val="single" w:sz="6" w:space="0" w:color="C9D2DA"/>
              <w:right w:val="single" w:sz="6" w:space="0" w:color="C9D2DA"/>
            </w:tcBorders>
            <w:tcMar>
              <w:top w:w="100" w:type="dxa"/>
              <w:left w:w="120" w:type="dxa"/>
              <w:bottom w:w="100" w:type="dxa"/>
              <w:right w:w="120" w:type="dxa"/>
            </w:tcMar>
            <w:vAlign w:val="center"/>
          </w:tcPr>
          <w:p w14:paraId="7993A677" w14:textId="77777777" w:rsidR="001727BE" w:rsidRDefault="004533AB">
            <w:r>
              <w:rPr>
                <w:sz w:val="20"/>
                <w:szCs w:val="20"/>
              </w:rPr>
              <w:t>Phase 4</w:t>
            </w:r>
          </w:p>
        </w:tc>
        <w:tc>
          <w:tcPr>
            <w:tcW w:w="4000" w:type="dxa"/>
            <w:tcBorders>
              <w:top w:val="single" w:sz="6" w:space="0" w:color="C9D2DA"/>
              <w:left w:val="single" w:sz="6" w:space="0" w:color="C9D2DA"/>
              <w:bottom w:val="single" w:sz="6" w:space="0" w:color="C9D2DA"/>
              <w:right w:val="single" w:sz="6" w:space="0" w:color="C9D2DA"/>
            </w:tcBorders>
            <w:tcMar>
              <w:top w:w="100" w:type="dxa"/>
              <w:left w:w="120" w:type="dxa"/>
              <w:bottom w:w="100" w:type="dxa"/>
              <w:right w:w="120" w:type="dxa"/>
            </w:tcMar>
            <w:vAlign w:val="center"/>
          </w:tcPr>
          <w:p w14:paraId="30662648" w14:textId="77777777" w:rsidR="001727BE" w:rsidRDefault="004533AB">
            <w:r>
              <w:rPr>
                <w:sz w:val="20"/>
                <w:szCs w:val="20"/>
              </w:rPr>
              <w:t>Choix MCU ; portage embarqué ; chaîne d'acquisition non intrusive ; optimisations temps réel</w:t>
            </w:r>
          </w:p>
        </w:tc>
        <w:tc>
          <w:tcPr>
            <w:tcW w:w="2360" w:type="dxa"/>
            <w:tcBorders>
              <w:top w:val="single" w:sz="6" w:space="0" w:color="C9D2DA"/>
              <w:left w:val="single" w:sz="6" w:space="0" w:color="C9D2DA"/>
              <w:bottom w:val="single" w:sz="6" w:space="0" w:color="C9D2DA"/>
              <w:right w:val="single" w:sz="6" w:space="0" w:color="C9D2DA"/>
            </w:tcBorders>
            <w:tcMar>
              <w:top w:w="100" w:type="dxa"/>
              <w:left w:w="120" w:type="dxa"/>
              <w:bottom w:w="100" w:type="dxa"/>
              <w:right w:w="120" w:type="dxa"/>
            </w:tcMar>
            <w:vAlign w:val="center"/>
          </w:tcPr>
          <w:p w14:paraId="59D76628" w14:textId="77777777" w:rsidR="001727BE" w:rsidRDefault="004533AB">
            <w:r>
              <w:rPr>
                <w:sz w:val="20"/>
                <w:szCs w:val="20"/>
              </w:rPr>
              <w:t>Prototype embarqué fonctionnel</w:t>
            </w:r>
          </w:p>
        </w:tc>
      </w:tr>
      <w:tr w:rsidR="001727BE" w14:paraId="7528C1BE" w14:textId="77777777">
        <w:tc>
          <w:tcPr>
            <w:tcW w:w="800" w:type="dxa"/>
            <w:tcBorders>
              <w:top w:val="single" w:sz="6" w:space="0" w:color="C9D2DA"/>
              <w:left w:val="single" w:sz="6" w:space="0" w:color="C9D2DA"/>
              <w:bottom w:val="single" w:sz="6" w:space="0" w:color="C9D2DA"/>
              <w:right w:val="single" w:sz="6" w:space="0" w:color="C9D2DA"/>
            </w:tcBorders>
            <w:shd w:val="clear" w:color="auto" w:fill="F0F4F8"/>
            <w:tcMar>
              <w:top w:w="100" w:type="dxa"/>
              <w:left w:w="120" w:type="dxa"/>
              <w:bottom w:w="100" w:type="dxa"/>
              <w:right w:w="120" w:type="dxa"/>
            </w:tcMar>
            <w:vAlign w:val="center"/>
          </w:tcPr>
          <w:p w14:paraId="67F1F65D" w14:textId="77777777" w:rsidR="001727BE" w:rsidRDefault="004533AB">
            <w:pPr>
              <w:jc w:val="center"/>
            </w:pPr>
            <w:r>
              <w:rPr>
                <w:b/>
                <w:bCs/>
                <w:color w:val="1F3B5A"/>
                <w:sz w:val="20"/>
                <w:szCs w:val="20"/>
              </w:rPr>
              <w:t>S6</w:t>
            </w:r>
          </w:p>
        </w:tc>
        <w:tc>
          <w:tcPr>
            <w:tcW w:w="2200" w:type="dxa"/>
            <w:tcBorders>
              <w:top w:val="single" w:sz="6" w:space="0" w:color="C9D2DA"/>
              <w:left w:val="single" w:sz="6" w:space="0" w:color="C9D2DA"/>
              <w:bottom w:val="single" w:sz="6" w:space="0" w:color="C9D2DA"/>
              <w:right w:val="single" w:sz="6" w:space="0" w:color="C9D2DA"/>
            </w:tcBorders>
            <w:tcMar>
              <w:top w:w="100" w:type="dxa"/>
              <w:left w:w="120" w:type="dxa"/>
              <w:bottom w:w="100" w:type="dxa"/>
              <w:right w:w="120" w:type="dxa"/>
            </w:tcMar>
            <w:vAlign w:val="center"/>
          </w:tcPr>
          <w:p w14:paraId="48852D8B" w14:textId="77777777" w:rsidR="001727BE" w:rsidRDefault="004533AB">
            <w:r>
              <w:rPr>
                <w:sz w:val="20"/>
                <w:szCs w:val="20"/>
              </w:rPr>
              <w:t>Phase 5</w:t>
            </w:r>
          </w:p>
        </w:tc>
        <w:tc>
          <w:tcPr>
            <w:tcW w:w="4000" w:type="dxa"/>
            <w:tcBorders>
              <w:top w:val="single" w:sz="6" w:space="0" w:color="C9D2DA"/>
              <w:left w:val="single" w:sz="6" w:space="0" w:color="C9D2DA"/>
              <w:bottom w:val="single" w:sz="6" w:space="0" w:color="C9D2DA"/>
              <w:right w:val="single" w:sz="6" w:space="0" w:color="C9D2DA"/>
            </w:tcBorders>
            <w:tcMar>
              <w:top w:w="100" w:type="dxa"/>
              <w:left w:w="120" w:type="dxa"/>
              <w:bottom w:w="100" w:type="dxa"/>
              <w:right w:w="120" w:type="dxa"/>
            </w:tcMar>
            <w:vAlign w:val="center"/>
          </w:tcPr>
          <w:p w14:paraId="38310C95" w14:textId="77777777" w:rsidR="001727BE" w:rsidRDefault="004533AB">
            <w:r>
              <w:rPr>
                <w:sz w:val="20"/>
                <w:szCs w:val="20"/>
              </w:rPr>
              <w:t>IHM de supervision ; intégration ; validation système ; rédaction finale</w:t>
            </w:r>
          </w:p>
        </w:tc>
        <w:tc>
          <w:tcPr>
            <w:tcW w:w="2360" w:type="dxa"/>
            <w:tcBorders>
              <w:top w:val="single" w:sz="6" w:space="0" w:color="C9D2DA"/>
              <w:left w:val="single" w:sz="6" w:space="0" w:color="C9D2DA"/>
              <w:bottom w:val="single" w:sz="6" w:space="0" w:color="C9D2DA"/>
              <w:right w:val="single" w:sz="6" w:space="0" w:color="C9D2DA"/>
            </w:tcBorders>
            <w:tcMar>
              <w:top w:w="100" w:type="dxa"/>
              <w:left w:w="120" w:type="dxa"/>
              <w:bottom w:w="100" w:type="dxa"/>
              <w:right w:w="120" w:type="dxa"/>
            </w:tcMar>
            <w:vAlign w:val="center"/>
          </w:tcPr>
          <w:p w14:paraId="4CBC76DC" w14:textId="77777777" w:rsidR="001727BE" w:rsidRDefault="004533AB">
            <w:r>
              <w:rPr>
                <w:sz w:val="20"/>
                <w:szCs w:val="20"/>
              </w:rPr>
              <w:t>Mémoire complet et démonstrateur</w:t>
            </w:r>
          </w:p>
        </w:tc>
      </w:tr>
    </w:tbl>
    <w:p w14:paraId="379D7E79" w14:textId="77777777" w:rsidR="001727BE" w:rsidRDefault="001727BE">
      <w:pPr>
        <w:spacing w:after="160"/>
      </w:pPr>
    </w:p>
    <w:p w14:paraId="3009C9E4" w14:textId="77777777" w:rsidR="001727BE" w:rsidRDefault="004533AB">
      <w:pPr>
        <w:spacing w:after="120" w:line="320" w:lineRule="auto"/>
        <w:jc w:val="both"/>
      </w:pPr>
      <w:r>
        <w:rPr>
          <w:b/>
          <w:bCs/>
          <w:i/>
          <w:iCs/>
          <w:sz w:val="20"/>
          <w:szCs w:val="20"/>
        </w:rPr>
        <w:t xml:space="preserve">Note. </w:t>
      </w:r>
      <w:r>
        <w:rPr>
          <w:i/>
          <w:iCs/>
          <w:sz w:val="20"/>
          <w:szCs w:val="20"/>
        </w:rPr>
        <w:t>Ce calendrier est prévisionnel et pourra être réajusté lors des revues hebdomadaires en fonction de l'avancement effectif et des contraintes opérationnelles rencontrées sur le site d'exploitation.</w:t>
      </w:r>
    </w:p>
    <w:sectPr w:rsidR="001727BE">
      <w:headerReference w:type="first" r:id="rId7"/>
      <w:footerReference w:type="first" r:id="rId8"/>
      <w:pgSz w:w="11906" w:h="16838"/>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17E6F" w14:textId="77777777" w:rsidR="00DF4622" w:rsidRDefault="00DF4622">
      <w:r>
        <w:separator/>
      </w:r>
    </w:p>
  </w:endnote>
  <w:endnote w:type="continuationSeparator" w:id="0">
    <w:p w14:paraId="3E2EB15E" w14:textId="77777777" w:rsidR="00DF4622" w:rsidRDefault="00DF4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3BB6D" w14:textId="77777777" w:rsidR="001727BE" w:rsidRDefault="001727B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81923" w14:textId="77777777" w:rsidR="00DF4622" w:rsidRDefault="00DF4622">
      <w:r>
        <w:separator/>
      </w:r>
    </w:p>
  </w:footnote>
  <w:footnote w:type="continuationSeparator" w:id="0">
    <w:p w14:paraId="26C36A0A" w14:textId="77777777" w:rsidR="00DF4622" w:rsidRDefault="00DF46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3950E" w14:textId="77777777" w:rsidR="001727BE" w:rsidRDefault="001727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15F98"/>
    <w:multiLevelType w:val="hybridMultilevel"/>
    <w:tmpl w:val="1F56A39A"/>
    <w:lvl w:ilvl="0" w:tplc="DBB2C00A">
      <w:start w:val="1"/>
      <w:numFmt w:val="bullet"/>
      <w:lvlText w:val="●"/>
      <w:lvlJc w:val="left"/>
      <w:pPr>
        <w:ind w:left="720" w:hanging="360"/>
      </w:pPr>
    </w:lvl>
    <w:lvl w:ilvl="1" w:tplc="C2B40088">
      <w:start w:val="1"/>
      <w:numFmt w:val="bullet"/>
      <w:lvlText w:val="○"/>
      <w:lvlJc w:val="left"/>
      <w:pPr>
        <w:ind w:left="1440" w:hanging="360"/>
      </w:pPr>
    </w:lvl>
    <w:lvl w:ilvl="2" w:tplc="C94AB606">
      <w:start w:val="1"/>
      <w:numFmt w:val="bullet"/>
      <w:lvlText w:val="■"/>
      <w:lvlJc w:val="left"/>
      <w:pPr>
        <w:ind w:left="2160" w:hanging="360"/>
      </w:pPr>
    </w:lvl>
    <w:lvl w:ilvl="3" w:tplc="B2BC7CBC">
      <w:start w:val="1"/>
      <w:numFmt w:val="bullet"/>
      <w:lvlText w:val="●"/>
      <w:lvlJc w:val="left"/>
      <w:pPr>
        <w:ind w:left="2880" w:hanging="360"/>
      </w:pPr>
    </w:lvl>
    <w:lvl w:ilvl="4" w:tplc="A3544D4C">
      <w:start w:val="1"/>
      <w:numFmt w:val="bullet"/>
      <w:lvlText w:val="○"/>
      <w:lvlJc w:val="left"/>
      <w:pPr>
        <w:ind w:left="3600" w:hanging="360"/>
      </w:pPr>
    </w:lvl>
    <w:lvl w:ilvl="5" w:tplc="E61A0972">
      <w:start w:val="1"/>
      <w:numFmt w:val="bullet"/>
      <w:lvlText w:val="■"/>
      <w:lvlJc w:val="left"/>
      <w:pPr>
        <w:ind w:left="4320" w:hanging="360"/>
      </w:pPr>
    </w:lvl>
    <w:lvl w:ilvl="6" w:tplc="C4CC469C">
      <w:start w:val="1"/>
      <w:numFmt w:val="bullet"/>
      <w:lvlText w:val="●"/>
      <w:lvlJc w:val="left"/>
      <w:pPr>
        <w:ind w:left="5040" w:hanging="360"/>
      </w:pPr>
    </w:lvl>
    <w:lvl w:ilvl="7" w:tplc="31282E96">
      <w:start w:val="1"/>
      <w:numFmt w:val="bullet"/>
      <w:lvlText w:val="●"/>
      <w:lvlJc w:val="left"/>
      <w:pPr>
        <w:ind w:left="5760" w:hanging="360"/>
      </w:pPr>
    </w:lvl>
    <w:lvl w:ilvl="8" w:tplc="B12C62A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7BE"/>
    <w:rsid w:val="001727BE"/>
    <w:rsid w:val="004533AB"/>
    <w:rsid w:val="005E2FB4"/>
    <w:rsid w:val="00D87877"/>
    <w:rsid w:val="00DF46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FD2EC"/>
  <w15:docId w15:val="{18DDAB53-FD1E-4FD2-9FE6-770AE9B53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2195</Words>
  <Characters>12078</Characters>
  <Application>Microsoft Office Word</Application>
  <DocSecurity>0</DocSecurity>
  <Lines>100</Lines>
  <Paragraphs>28</Paragraphs>
  <ScaleCrop>false</ScaleCrop>
  <Company/>
  <LinksUpToDate>false</LinksUpToDate>
  <CharactersWithSpaces>14245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 de recherche — PFE</dc:title>
  <dc:creator>Shalom KAMOKOUE</dc:creator>
  <cp:lastModifiedBy>KSSS</cp:lastModifiedBy>
  <cp:revision>3</cp:revision>
  <dcterms:created xsi:type="dcterms:W3CDTF">2026-04-19T12:03:00Z</dcterms:created>
  <dcterms:modified xsi:type="dcterms:W3CDTF">2026-05-08T08:19:00Z</dcterms:modified>
</cp:coreProperties>
</file>