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УТВЕРЖДАЮ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  <w:t>должность</w:t>
      </w:r>
    </w:p>
    <w:p>
      <w:pPr>
        <w:pStyle w:val="BodyText"/>
        <w:bidi w:val="0"/>
        <w:jc w:val="center"/>
        <w:rPr/>
      </w:pPr>
      <w:r>
        <w:rPr/>
        <w:t>____________ /____________________/</w:t>
        <w:br/>
        <w:t>подпись, расшифровка</w:t>
      </w:r>
    </w:p>
    <w:p>
      <w:pPr>
        <w:pStyle w:val="BodyText"/>
        <w:bidi w:val="0"/>
        <w:jc w:val="center"/>
        <w:rPr/>
      </w:pPr>
      <w:r>
        <w:rPr/>
        <w:t>«____» ____________ 2026 г.</w:t>
      </w:r>
    </w:p>
    <w:p>
      <w:pPr>
        <w:pStyle w:val="Heading1"/>
        <w:bidi w:val="0"/>
        <w:jc w:val="center"/>
        <w:rPr/>
      </w:pPr>
      <w:r>
        <w:rPr/>
        <w:t>NETBOX</w:t>
      </w:r>
    </w:p>
    <w:p>
      <w:pPr>
        <w:pStyle w:val="Heading2"/>
        <w:bidi w:val="0"/>
        <w:jc w:val="center"/>
        <w:rPr/>
      </w:pPr>
      <w:r>
        <w:rPr/>
        <w:t>МАТРИЦА РАЗГРАНИЧЕНИЯ ДОСТУПА</w:t>
      </w:r>
    </w:p>
    <w:p>
      <w:pPr>
        <w:pStyle w:val="BodyText"/>
        <w:bidi w:val="0"/>
        <w:jc w:val="center"/>
        <w:rPr/>
      </w:pPr>
      <w:r>
        <w:rPr/>
        <w:t xml:space="preserve">Обозначение: </w:t>
      </w:r>
      <w:r>
        <w:rPr>
          <w:rStyle w:val="SourceText"/>
        </w:rPr>
        <w:t>RU.__________.NETBOX.RBAC.01</w:t>
      </w:r>
    </w:p>
    <w:p>
      <w:pPr>
        <w:pStyle w:val="BodyText"/>
        <w:bidi w:val="0"/>
        <w:jc w:val="center"/>
        <w:rPr/>
      </w:pPr>
      <w:r>
        <w:rPr/>
        <w:t>Версия 1.0</w:t>
      </w:r>
    </w:p>
    <w:p>
      <w:pPr>
        <w:pStyle w:val="BodyText"/>
        <w:bidi w:val="0"/>
        <w:jc w:val="center"/>
        <w:rPr/>
      </w:pPr>
      <w:r>
        <w:rPr/>
        <w:t>2026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АННОТАЦИЯ</w:t>
      </w:r>
    </w:p>
    <w:p>
      <w:pPr>
        <w:pStyle w:val="BodyText"/>
        <w:bidi w:val="0"/>
        <w:jc w:val="left"/>
        <w:rPr/>
      </w:pPr>
      <w:r>
        <w:rPr/>
        <w:t xml:space="preserve">Документ задаёт проектную ролевую модель и матрицу разрешений NetBox с плагином </w:t>
      </w:r>
      <w:r>
        <w:rPr>
          <w:rStyle w:val="SourceText"/>
        </w:rPr>
        <w:t>netbox_map</w:t>
      </w:r>
      <w:r>
        <w:rPr/>
        <w:t>. Матрица не считается подтверждением фактической настройки до выполнения приёмочных тестов раздела 10 и подписания листа утверждения.</w:t>
      </w:r>
    </w:p>
    <w:p>
      <w:pPr>
        <w:pStyle w:val="BodyText"/>
        <w:bidi w:val="0"/>
        <w:jc w:val="left"/>
        <w:rPr/>
      </w:pPr>
      <w:r>
        <w:rPr/>
        <w:t>Формат матрицы основан на положениях ГОСТ Р 59453.1-2021 о представлении прав субъектов к объектам и описании ролевого управления доступом. Требования минимальных привилегий и управления ролями учитывают ГОСТ Р ИСО/МЭК 27002-2021. Отдельного ГОСТ, устанавливающего единственную форму прикладной ролевой матрицы, нет.</w:t>
      </w:r>
    </w:p>
    <w:p>
      <w:pPr>
        <w:pStyle w:val="BodyText"/>
        <w:bidi w:val="0"/>
        <w:jc w:val="left"/>
        <w:rPr/>
      </w:pPr>
      <w:r>
        <w:rPr>
          <w:rStyle w:val="Strong"/>
        </w:rPr>
        <w:t>Система:</w:t>
      </w:r>
      <w:r>
        <w:rPr/>
        <w:t xml:space="preserve"> NetBox 4.6.4 Community с плагином </w:t>
      </w:r>
      <w:r>
        <w:rPr>
          <w:rStyle w:val="SourceText"/>
        </w:rPr>
        <w:t>netbox_map</w:t>
      </w:r>
      <w:r>
        <w:rPr/>
        <w:t xml:space="preserve"> 0.11.0</w:t>
        <w:br/>
      </w:r>
      <w:r>
        <w:rPr>
          <w:rStyle w:val="Strong"/>
        </w:rPr>
        <w:t>Дата актуализации:</w:t>
      </w:r>
      <w:r>
        <w:rPr/>
        <w:t xml:space="preserve"> 03.08.2026</w:t>
        <w:br/>
      </w:r>
      <w:r>
        <w:rPr>
          <w:rStyle w:val="Strong"/>
        </w:rPr>
        <w:t>Статус:</w:t>
      </w:r>
      <w:r>
        <w:rPr/>
        <w:t xml:space="preserve"> проект к утверждению владельцем ИС и службой информационной безопасности.</w:t>
      </w:r>
    </w:p>
    <w:p>
      <w:pPr>
        <w:pStyle w:val="BodyText"/>
        <w:bidi w:val="0"/>
        <w:jc w:val="left"/>
        <w:rPr/>
      </w:pPr>
      <w:r>
        <w:rPr/>
        <w:t xml:space="preserve">Порядок практического применения матрицы — предоставление, изменение, отзыв и пересмотр доступа — установлен документом «Руководство администратора NetBox» </w:t>
      </w:r>
      <w:r>
        <w:rPr>
          <w:rStyle w:val="SourceText"/>
        </w:rPr>
        <w:t>RU.__________.00001-01 90 01</w:t>
      </w:r>
      <w:r>
        <w:rPr/>
        <w:t>.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Heading2"/>
        <w:bidi w:val="0"/>
        <w:jc w:val="left"/>
        <w:rPr/>
      </w:pPr>
      <w:r>
        <w:rPr/>
        <w:t>1. Принципы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Доступ выдаётся по заявке и принципу минимальных привилегий.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Права назначаются через группы, прямые права пользователю не используются постоянно.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Просмотр и изменение разделяются.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Удаление, массовый импорт и административные операции выделяются отдельно.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superuser</w:t>
      </w:r>
      <w:r>
        <w:rPr/>
        <w:t xml:space="preserve"> не является рабочей ролью и используется только ограниченным числом администраторов.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Объектные ограничения по площадке, подразделению или владельцу применяются там, где это необходимо.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Сервисным учётным записям запрещён интерактивный вход, если он не требуется.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Все исключения имеют владельца, основание и срок действия. </w:t>
      </w:r>
    </w:p>
    <w:p>
      <w:pPr>
        <w:pStyle w:val="Heading2"/>
        <w:bidi w:val="0"/>
        <w:jc w:val="left"/>
        <w:rPr/>
      </w:pPr>
      <w:r>
        <w:rPr/>
        <w:t>1.1. Элементы модели</w:t>
      </w:r>
    </w:p>
    <w:p>
      <w:pPr>
        <w:pStyle w:val="BodyText"/>
        <w:bidi w:val="0"/>
        <w:jc w:val="left"/>
        <w:rPr/>
      </w:pPr>
      <w:r>
        <w:rPr/>
        <w:t>В документе используются: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U</w:t>
      </w:r>
      <w:r>
        <w:rPr/>
        <w:t xml:space="preserve"> — множество учётных записей пользователей и сервисов;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R</w:t>
      </w:r>
      <w:r>
        <w:rPr/>
        <w:t xml:space="preserve"> — множество ролей из раздела 3;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O</w:t>
      </w:r>
      <w:r>
        <w:rPr/>
        <w:t xml:space="preserve"> — множество объектов доступа: модели и экземпляры NetBox, функции плагина, административные страницы и API;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</w:t>
      </w:r>
      <w:r>
        <w:rPr/>
        <w:t xml:space="preserve"> — множество разрешений;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UA ⊆ U × R</w:t>
      </w:r>
      <w:r>
        <w:rPr/>
        <w:t xml:space="preserve"> — назначение ролей учётным записям;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PA ⊆ R × P</w:t>
      </w:r>
      <w:r>
        <w:rPr/>
        <w:t xml:space="preserve"> — назначение разрешений ролям;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Scope(u, o)</w:t>
      </w:r>
      <w:r>
        <w:rPr/>
        <w:t xml:space="preserve"> — объектное ограничение, определяющее область экземпляров, доступных учётной записи. </w:t>
      </w:r>
    </w:p>
    <w:p>
      <w:pPr>
        <w:pStyle w:val="BodyText"/>
        <w:bidi w:val="0"/>
        <w:jc w:val="left"/>
        <w:rPr/>
      </w:pPr>
      <w:r>
        <w:rPr/>
        <w:t xml:space="preserve">Доступ разрешён только тогда, когда операция входит в </w:t>
      </w:r>
      <w:r>
        <w:rPr>
          <w:rStyle w:val="SourceText"/>
        </w:rPr>
        <w:t>PA</w:t>
      </w:r>
      <w:r>
        <w:rPr/>
        <w:t xml:space="preserve"> активной роли и объект входит в </w:t>
      </w:r>
      <w:r>
        <w:rPr>
          <w:rStyle w:val="SourceText"/>
        </w:rPr>
        <w:t>Scope</w:t>
      </w:r>
      <w:r>
        <w:rPr/>
        <w:t xml:space="preserve">. Для URL с проверкой </w:t>
      </w:r>
      <w:r>
        <w:rPr>
          <w:rStyle w:val="SourceText"/>
        </w:rPr>
        <w:t>is_superuser</w:t>
      </w:r>
      <w:r>
        <w:rPr/>
        <w:t xml:space="preserve"> дополнительно требуется флаг суперпользователя.</w:t>
      </w:r>
    </w:p>
    <w:p>
      <w:pPr>
        <w:pStyle w:val="Heading2"/>
        <w:bidi w:val="0"/>
        <w:jc w:val="left"/>
        <w:rPr/>
      </w:pPr>
      <w:r>
        <w:rPr/>
        <w:t>2. Условные обозначения</w:t>
      </w:r>
    </w:p>
    <w:tbl>
      <w:tblPr>
        <w:tblW w:w="576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66"/>
        <w:gridCol w:w="5195"/>
      </w:tblGrid>
      <w:tr>
        <w:trPr>
          <w:tblHeader w:val="true"/>
        </w:trPr>
        <w:tc>
          <w:tcPr>
            <w:tcW w:w="56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Код</w:t>
            </w:r>
          </w:p>
        </w:tc>
        <w:tc>
          <w:tcPr>
            <w:tcW w:w="519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5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просмотр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</w:t>
            </w:r>
          </w:p>
        </w:tc>
        <w:tc>
          <w:tcPr>
            <w:tcW w:w="5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создание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</w:t>
            </w:r>
          </w:p>
        </w:tc>
        <w:tc>
          <w:tcPr>
            <w:tcW w:w="5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изменение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</w:t>
            </w:r>
          </w:p>
        </w:tc>
        <w:tc>
          <w:tcPr>
            <w:tcW w:w="5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удаление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</w:t>
            </w:r>
          </w:p>
        </w:tc>
        <w:tc>
          <w:tcPr>
            <w:tcW w:w="5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массовые операции/импорт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  <w:tc>
          <w:tcPr>
            <w:tcW w:w="5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административная операция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5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доступа нет</w:t>
            </w:r>
          </w:p>
        </w:tc>
      </w:tr>
      <w:tr>
        <w:trPr/>
        <w:tc>
          <w:tcPr>
            <w:tcW w:w="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ОГР</w:t>
            </w:r>
          </w:p>
        </w:tc>
        <w:tc>
          <w:tcPr>
            <w:tcW w:w="5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доступ только к согласованной области объектов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 Роли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10"/>
        <w:gridCol w:w="6655"/>
      </w:tblGrid>
      <w:tr>
        <w:trPr>
          <w:tblHeader w:val="true"/>
        </w:trPr>
        <w:tc>
          <w:tcPr>
            <w:tcW w:w="321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Роль</w:t>
            </w:r>
          </w:p>
        </w:tc>
        <w:tc>
          <w:tcPr>
            <w:tcW w:w="665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3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Наблюдатель</w:t>
            </w:r>
          </w:p>
        </w:tc>
        <w:tc>
          <w:tcPr>
            <w:tcW w:w="66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чтение согласованных данных без изменения</w:t>
            </w:r>
          </w:p>
        </w:tc>
      </w:tr>
      <w:tr>
        <w:trPr/>
        <w:tc>
          <w:tcPr>
            <w:tcW w:w="3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Оператор DCIM</w:t>
            </w:r>
          </w:p>
        </w:tc>
        <w:tc>
          <w:tcPr>
            <w:tcW w:w="66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ведение площадок, стоек, устройств, портов и кабелей</w:t>
            </w:r>
          </w:p>
        </w:tc>
      </w:tr>
      <w:tr>
        <w:trPr/>
        <w:tc>
          <w:tcPr>
            <w:tcW w:w="3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Оператор IPAM</w:t>
            </w:r>
          </w:p>
        </w:tc>
        <w:tc>
          <w:tcPr>
            <w:tcW w:w="66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ведение префиксов, адресов, VLAN и VRF</w:t>
            </w:r>
          </w:p>
        </w:tc>
      </w:tr>
      <w:tr>
        <w:trPr/>
        <w:tc>
          <w:tcPr>
            <w:tcW w:w="3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Инженер кабельной инфраструктуры</w:t>
            </w:r>
          </w:p>
        </w:tc>
        <w:tc>
          <w:tcPr>
            <w:tcW w:w="66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карта, трассы, муфты, разварка и связанные DCIM-объекты</w:t>
            </w:r>
          </w:p>
        </w:tc>
      </w:tr>
      <w:tr>
        <w:trPr/>
        <w:tc>
          <w:tcPr>
            <w:tcW w:w="3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Аудитор</w:t>
            </w:r>
          </w:p>
        </w:tc>
        <w:tc>
          <w:tcPr>
            <w:tcW w:w="66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чтение данных, журналов и отчётов без изменения</w:t>
            </w:r>
          </w:p>
        </w:tc>
      </w:tr>
      <w:tr>
        <w:trPr/>
        <w:tc>
          <w:tcPr>
            <w:tcW w:w="3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NetBox</w:t>
            </w:r>
          </w:p>
        </w:tc>
        <w:tc>
          <w:tcPr>
            <w:tcW w:w="66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пользователи, группы, настройки и эксплуатация приложения без постоянного </w:t>
            </w:r>
            <w:r>
              <w:rPr>
                <w:rStyle w:val="SourceText"/>
              </w:rPr>
              <w:t>superuser</w:t>
            </w:r>
          </w:p>
        </w:tc>
      </w:tr>
      <w:tr>
        <w:trPr/>
        <w:tc>
          <w:tcPr>
            <w:tcW w:w="3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Суперпользователь</w:t>
            </w:r>
          </w:p>
        </w:tc>
        <w:tc>
          <w:tcPr>
            <w:tcW w:w="66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аварийное/платформенное администрирование и защищённые инструменты</w:t>
            </w:r>
          </w:p>
        </w:tc>
      </w:tr>
      <w:tr>
        <w:trPr/>
        <w:tc>
          <w:tcPr>
            <w:tcW w:w="3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Интеграция API</w:t>
            </w:r>
          </w:p>
        </w:tc>
        <w:tc>
          <w:tcPr>
            <w:tcW w:w="66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программный доступ только к заранее определённым моделям и операциям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Сводная матрица</w:t>
      </w:r>
    </w:p>
    <w:p>
      <w:pPr>
        <w:pStyle w:val="BodyText"/>
        <w:bidi w:val="0"/>
        <w:jc w:val="left"/>
        <w:rPr/>
      </w:pPr>
      <w:r>
        <w:rPr/>
        <w:t>Для размещения на листе А4 книжной ориентации матрица разделена на таблицы 4.1 и 4.2. Строки обеих таблиц относятся к одним и тем же объектам доступа.</w:t>
      </w:r>
    </w:p>
    <w:p>
      <w:pPr>
        <w:pStyle w:val="Heading3"/>
        <w:bidi w:val="0"/>
        <w:jc w:val="left"/>
        <w:rPr/>
      </w:pPr>
      <w:r>
        <w:rPr/>
        <w:t>4.1. Пользовательские и эксплуатационные роли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90"/>
        <w:gridCol w:w="1578"/>
        <w:gridCol w:w="1735"/>
        <w:gridCol w:w="1735"/>
        <w:gridCol w:w="2127"/>
      </w:tblGrid>
      <w:tr>
        <w:trPr>
          <w:tblHeader w:val="true"/>
        </w:trPr>
        <w:tc>
          <w:tcPr>
            <w:tcW w:w="269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Функциональная область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Наблюдатель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Оператор DCIM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Оператор IPAM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Кабельный инженер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Площадки, локации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И/ОГР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Стойки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И/ОГР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Устройства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И/ОГР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Интерфейсы и порты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И/ОГР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Кабели DCIM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И/ОГР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Префиксы и IP-адреса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И/ОГР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VLAN и VRF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И/ОГР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Каналы связи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И/ОГР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Виртуализация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И/ОГР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Карта объектов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И/ОГР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И/ОГР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Маркеры карты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И/ОГР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Трассы </w:t>
            </w:r>
            <w:r>
              <w:rPr>
                <w:rStyle w:val="SourceText"/>
              </w:rPr>
              <w:t>CablePath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И/ОГР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Топология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И/ОГР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Сохранённые виды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И/ОГР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Муфты и разварка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И/ОГР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Врезка муфты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А/ОГР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Настройки плагина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Инструменты карты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Пользователи и группы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Назначение прав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Журнал изменений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П/ОГР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REST/GraphQL API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заявке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заявке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заявке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Массовый импорт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временная группа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временная группа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временная группа</w:t>
            </w:r>
          </w:p>
        </w:tc>
      </w:tr>
      <w:tr>
        <w:trPr/>
        <w:tc>
          <w:tcPr>
            <w:tcW w:w="2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Массовое удаление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Heading3"/>
        <w:bidi w:val="0"/>
        <w:jc w:val="left"/>
        <w:rPr/>
      </w:pPr>
      <w:r>
        <w:rPr/>
        <w:t>4.2. Контрольные, административные и сервисные роли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04"/>
        <w:gridCol w:w="1785"/>
        <w:gridCol w:w="1896"/>
        <w:gridCol w:w="2249"/>
        <w:gridCol w:w="1831"/>
      </w:tblGrid>
      <w:tr>
        <w:trPr>
          <w:tblHeader w:val="true"/>
        </w:trPr>
        <w:tc>
          <w:tcPr>
            <w:tcW w:w="2104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Функциональная область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Аудитор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Администратор NetBox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Суперпользователь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Интеграция API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Площадки, локации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И, У, М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договору API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Стойки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И, У, М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договору API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Устройства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И, У, М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договору API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Интерфейсы и порты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И, У, М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договору API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Кабели DCIM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И, У, М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договору API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Префиксы и IP-адреса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И, У, М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договору API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VLAN и VRF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И, У, М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договору API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Каналы связи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И, У, М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договору API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Виртуализация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И, У, М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договору API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Карта объектов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полный доступ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чтение при необходимости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Маркеры карты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И, У, М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договору API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Трассы </w:t>
            </w:r>
            <w:r>
              <w:rPr>
                <w:rStyle w:val="SourceText"/>
              </w:rPr>
              <w:t>CablePath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И, У, М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договору API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Топология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полный доступ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чтение при необходимости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Сохранённые виды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И, У, М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Муфты и разварка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полный доступ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Врезка муфты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Настройки плагина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И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полный доступ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Инструменты карты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Пользователи и группы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П, С, И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полный доступ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Назначение прав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П, С, И без </w:t>
            </w:r>
            <w:r>
              <w:rPr>
                <w:rStyle w:val="SourceText"/>
              </w:rPr>
              <w:t>superuser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полный доступ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Журнал изменений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REST/GraphQL API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чтение при необходимости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токены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полный доступ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строго по договору API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Массовый импорт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контроль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полный доступ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Массовое удаление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22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согласованию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Heading2"/>
        <w:bidi w:val="0"/>
        <w:jc w:val="left"/>
        <w:rPr/>
      </w:pPr>
      <w:r>
        <w:rPr/>
        <w:t xml:space="preserve">5. Детализация прав плагина </w:t>
      </w:r>
      <w:r>
        <w:rPr>
          <w:rStyle w:val="SourceText"/>
        </w:rPr>
        <w:t>netbox_map</w:t>
      </w:r>
    </w:p>
    <w:p>
      <w:pPr>
        <w:pStyle w:val="BodyText"/>
        <w:bidi w:val="0"/>
        <w:jc w:val="left"/>
        <w:rPr/>
      </w:pPr>
      <w:r>
        <w:rPr/>
        <w:t>Стандартные модели используют разрешения вида: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view_&lt;model&gt;</w:t>
      </w:r>
      <w:r>
        <w:rPr/>
        <w:t xml:space="preserve"> — просмотр;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add_&lt;model&gt;</w:t>
      </w:r>
      <w:r>
        <w:rPr/>
        <w:t xml:space="preserve"> — создание;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change_&lt;model&gt;</w:t>
      </w:r>
      <w:r>
        <w:rPr/>
        <w:t xml:space="preserve"> — изменение;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delete_&lt;model&gt;</w:t>
      </w:r>
      <w:r>
        <w:rPr/>
        <w:t xml:space="preserve"> — удаление. </w:t>
      </w:r>
    </w:p>
    <w:p>
      <w:pPr>
        <w:pStyle w:val="BodyText"/>
        <w:bidi w:val="0"/>
        <w:jc w:val="left"/>
        <w:rPr/>
      </w:pPr>
      <w:r>
        <w:rPr/>
        <w:t>Основные модели: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mapmarker</w:t>
      </w:r>
      <w:r>
        <w:rPr/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cablepath</w:t>
      </w:r>
      <w:r>
        <w:rPr/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floorplan</w:t>
      </w:r>
      <w:r>
        <w:rPr/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floorplantile</w:t>
      </w:r>
      <w:r>
        <w:rPr/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custommarkertype</w:t>
      </w:r>
      <w:r>
        <w:rPr/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topologysavedview</w:t>
      </w:r>
      <w:r>
        <w:rPr/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applicationgroup</w:t>
      </w:r>
      <w:r>
        <w:rPr/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applicationtemplate</w:t>
      </w:r>
      <w:r>
        <w:rPr/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application</w:t>
      </w:r>
      <w:r>
        <w:rPr/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applicationdeployment</w:t>
      </w:r>
      <w:r>
        <w:rPr/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applicationdependency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/>
        <w:t xml:space="preserve">Страница настроек плагина требует как минимум </w:t>
      </w:r>
      <w:r>
        <w:rPr>
          <w:rStyle w:val="SourceText"/>
        </w:rPr>
        <w:t>netbox_map.view_floorplan</w:t>
      </w:r>
      <w:r>
        <w:rPr/>
        <w:t>. Изменение настроек следует разрешать только администратору NetBox.</w:t>
      </w:r>
    </w:p>
    <w:p>
      <w:pPr>
        <w:pStyle w:val="BodyText"/>
        <w:bidi w:val="0"/>
        <w:jc w:val="left"/>
        <w:rPr/>
      </w:pPr>
      <w:r>
        <w:rPr/>
        <w:t xml:space="preserve">Развёртывание шаблона приложения и массовое развёртывание требуют </w:t>
      </w:r>
      <w:r>
        <w:rPr>
          <w:rStyle w:val="SourceText"/>
        </w:rPr>
        <w:t>netbox_map.add_applicationdeployment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Раздел </w:t>
      </w:r>
      <w:r>
        <w:rPr>
          <w:rStyle w:val="SourceText"/>
        </w:rPr>
        <w:t>/plugins/netbox-map/map-tools/</w:t>
      </w:r>
      <w:r>
        <w:rPr/>
        <w:t xml:space="preserve"> и его операции защищены проверкой </w:t>
      </w:r>
      <w:r>
        <w:rPr>
          <w:rStyle w:val="SourceText"/>
        </w:rPr>
        <w:t>is_superuser</w:t>
      </w:r>
      <w:r>
        <w:rPr/>
        <w:t xml:space="preserve">; обычное назначение модельных разрешений доступа к нему не даёт. При этом пункт меню «Инструменты карты» отображается по праву </w:t>
      </w:r>
      <w:r>
        <w:rPr>
          <w:rStyle w:val="SourceText"/>
        </w:rPr>
        <w:t>netbox_map.change_mapsettings</w:t>
      </w:r>
      <w:r>
        <w:rPr/>
        <w:t>. Выдача этого права лицу без флага суперпользователя создаёт в интерфейсе заведомо неработающий пункт, завершающийся ответом 403, и не допускается.</w:t>
      </w:r>
    </w:p>
    <w:p>
      <w:pPr>
        <w:pStyle w:val="Heading2"/>
        <w:bidi w:val="0"/>
        <w:jc w:val="left"/>
        <w:rPr/>
      </w:pPr>
      <w:r>
        <w:rPr/>
        <w:t xml:space="preserve">5.2. Право </w:t>
      </w:r>
      <w:r>
        <w:rPr>
          <w:rStyle w:val="SourceText"/>
        </w:rPr>
        <w:t>netbox_map.change_mapmarker</w:t>
      </w:r>
      <w:r>
        <w:rPr/>
        <w:t xml:space="preserve"> и операции над слоем карты</w:t>
      </w:r>
    </w:p>
    <w:p>
      <w:pPr>
        <w:pStyle w:val="BodyText"/>
        <w:bidi w:val="0"/>
        <w:jc w:val="left"/>
        <w:rPr/>
      </w:pPr>
      <w:r>
        <w:rPr/>
        <w:t xml:space="preserve">Установлено по коду версии 0.11.0: режим редактирования карты объектов включается при наличии права </w:t>
      </w:r>
      <w:r>
        <w:rPr>
          <w:rStyle w:val="SourceText"/>
        </w:rPr>
        <w:t>netbox_map.change_mapmarker</w:t>
      </w:r>
      <w:r>
        <w:rPr/>
        <w:t xml:space="preserve">. Тем же признаком в интерфейсе открывается меню «Синхронизация», содержащее операции </w:t>
      </w:r>
      <w:r>
        <w:rPr>
          <w:rStyle w:val="Strong"/>
        </w:rPr>
        <w:t>«Удалить все маркеры»</w:t>
      </w:r>
      <w:r>
        <w:rPr/>
        <w:t xml:space="preserve"> и </w:t>
      </w:r>
      <w:r>
        <w:rPr>
          <w:rStyle w:val="Strong"/>
        </w:rPr>
        <w:t>«Очистить все трассы»</w:t>
      </w:r>
      <w:r>
        <w:rPr/>
        <w:t>, действующие на весь слой карты целиком.</w:t>
      </w:r>
    </w:p>
    <w:p>
      <w:pPr>
        <w:pStyle w:val="BodyText"/>
        <w:bidi w:val="0"/>
        <w:jc w:val="left"/>
        <w:rPr/>
      </w:pPr>
      <w:r>
        <w:rPr/>
        <w:t>Отдельного разрешения на эти операции плагин не предусматривает. Следствия для ролевой модели: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Право </w:t>
      </w:r>
      <w:r>
        <w:rPr>
          <w:rStyle w:val="SourceText"/>
        </w:rPr>
        <w:t>netbox_map.change_mapmarker</w:t>
      </w:r>
      <w:r>
        <w:rPr/>
        <w:t xml:space="preserve"> приравнивается по последствиям к праву массового удаления и выдаётся поимённо, а не в составе широкой группы.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Право выдаётся только роли кабельного инженера, с объектным ограничением по зоне ответственности.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Выдача права сопровождается инструктажем и регистрируется в заявке.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Перечень обладателей права проверяется при каждом квартальном пересмотре доступа.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Обязательным компенсирующим контролем является ежедневный просмотр журнала изменений на предмет массового удаления маркеров и трасс. </w:t>
      </w:r>
    </w:p>
    <w:p>
      <w:pPr>
        <w:pStyle w:val="BodyText"/>
        <w:bidi w:val="0"/>
        <w:jc w:val="left"/>
        <w:rPr/>
      </w:pPr>
      <w:r>
        <w:rPr/>
        <w:t>Ограничение состава обладателей права — единственная действующая мера: подтверждения области действия интерфейс не запрашивает.</w:t>
      </w:r>
    </w:p>
    <w:p>
      <w:pPr>
        <w:pStyle w:val="Heading2"/>
        <w:bidi w:val="0"/>
        <w:jc w:val="left"/>
        <w:rPr/>
      </w:pPr>
      <w:r>
        <w:rPr/>
        <w:t xml:space="preserve">5.3. Представления, защищённые проверкой </w:t>
      </w:r>
      <w:r>
        <w:rPr>
          <w:rStyle w:val="SourceText"/>
        </w:rPr>
        <w:t>is_superuser</w:t>
      </w:r>
    </w:p>
    <w:p>
      <w:pPr>
        <w:pStyle w:val="BodyText"/>
        <w:bidi w:val="0"/>
        <w:jc w:val="left"/>
        <w:rPr/>
      </w:pPr>
      <w:r>
        <w:rPr/>
        <w:t>Перечень установлен по коду NetBox 4.6.4. Модельные разрешения, членство в группах и объектные ограничения доступа к этим представлениям не дают.</w:t>
      </w:r>
    </w:p>
    <w:tbl>
      <w:tblPr>
        <w:tblW w:w="666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96"/>
        <w:gridCol w:w="4471"/>
      </w:tblGrid>
      <w:tr>
        <w:trPr>
          <w:tblHeader w:val="true"/>
        </w:trPr>
        <w:tc>
          <w:tcPr>
            <w:tcW w:w="219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Раздел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Адрес</w:t>
            </w:r>
          </w:p>
        </w:tc>
      </w:tr>
      <w:tr>
        <w:trPr/>
        <w:tc>
          <w:tcPr>
            <w:tcW w:w="21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Сведения о системе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/core/system/</w:t>
            </w:r>
          </w:p>
        </w:tc>
      </w:tr>
      <w:tr>
        <w:trPr/>
        <w:tc>
          <w:tcPr>
            <w:tcW w:w="21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Схема базы данных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/core/system/db-schema/</w:t>
            </w:r>
          </w:p>
        </w:tc>
      </w:tr>
      <w:tr>
        <w:trPr/>
        <w:tc>
          <w:tcPr>
            <w:tcW w:w="21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Плагины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/core/plugins/</w:t>
            </w:r>
          </w:p>
        </w:tc>
      </w:tr>
      <w:tr>
        <w:trPr/>
        <w:tc>
          <w:tcPr>
            <w:tcW w:w="21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Фоновые очереди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/core/background-queues/</w:t>
            </w:r>
          </w:p>
        </w:tc>
      </w:tr>
      <w:tr>
        <w:trPr/>
        <w:tc>
          <w:tcPr>
            <w:tcW w:w="21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Фоновые воркеры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/core/background-workers/</w:t>
            </w:r>
          </w:p>
        </w:tc>
      </w:tr>
      <w:tr>
        <w:trPr/>
        <w:tc>
          <w:tcPr>
            <w:tcW w:w="21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Инструменты карты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/plugins/netbox-map/map-tools/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Признак </w:t>
      </w:r>
      <w:r>
        <w:rPr>
          <w:rStyle w:val="SourceText"/>
        </w:rPr>
        <w:t>is_staff</w:t>
      </w:r>
      <w:r>
        <w:rPr/>
        <w:t xml:space="preserve"> в навигации NetBox 4.6.4 самостоятельного значения не имеет: пункты меню, помеченные </w:t>
      </w:r>
      <w:r>
        <w:rPr>
          <w:rStyle w:val="SourceText"/>
        </w:rPr>
        <w:t>staff_only</w:t>
      </w:r>
      <w:r>
        <w:rPr/>
        <w:t xml:space="preserve">, скрываются проверкой </w:t>
      </w:r>
      <w:r>
        <w:rPr>
          <w:rStyle w:val="SourceText"/>
        </w:rPr>
        <w:t>is_superuser</w:t>
      </w:r>
      <w:r>
        <w:rPr/>
        <w:t>. Назначение флага «Статус персонала» административных разделов не открывает.</w:t>
      </w:r>
    </w:p>
    <w:p>
      <w:pPr>
        <w:pStyle w:val="BodyText"/>
        <w:bidi w:val="0"/>
        <w:jc w:val="left"/>
        <w:rPr/>
      </w:pPr>
      <w:r>
        <w:rPr/>
        <w:t>Раздел «История конфигурации» (</w:t>
      </w:r>
      <w:r>
        <w:rPr>
          <w:rStyle w:val="SourceText"/>
        </w:rPr>
        <w:t>/core/config-revisions/</w:t>
      </w:r>
      <w:r>
        <w:rPr/>
        <w:t xml:space="preserve">) составляет исключение: пункт меню скрыт признаком </w:t>
      </w:r>
      <w:r>
        <w:rPr>
          <w:rStyle w:val="SourceText"/>
        </w:rPr>
        <w:t>staff_only</w:t>
      </w:r>
      <w:r>
        <w:rPr/>
        <w:t xml:space="preserve">, но представление доступно по прямому адресу при наличии права </w:t>
      </w:r>
      <w:r>
        <w:rPr>
          <w:rStyle w:val="SourceText"/>
        </w:rPr>
        <w:t>core.view_configrevision</w:t>
      </w:r>
      <w:r>
        <w:rPr/>
        <w:t>. Для роли «Администратор NetBox» это штатный порядок доступа.</w:t>
      </w:r>
    </w:p>
    <w:p>
      <w:pPr>
        <w:pStyle w:val="BodyText"/>
        <w:bidi w:val="0"/>
        <w:jc w:val="left"/>
        <w:rPr/>
      </w:pPr>
      <w:r>
        <w:rPr/>
        <w:t>Перечень настоящего пункта не гарантирован между версиями и проверяется заново после каждого обновления NetBox или плагина.</w:t>
      </w:r>
    </w:p>
    <w:p>
      <w:pPr>
        <w:pStyle w:val="Heading2"/>
        <w:bidi w:val="0"/>
        <w:jc w:val="left"/>
        <w:rPr/>
      </w:pPr>
      <w:r>
        <w:rPr/>
        <w:t>5.1. Соответствие действий разрешениям Django/NetBox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99"/>
        <w:gridCol w:w="6966"/>
      </w:tblGrid>
      <w:tr>
        <w:trPr>
          <w:tblHeader w:val="true"/>
        </w:trPr>
        <w:tc>
          <w:tcPr>
            <w:tcW w:w="289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Действие</w:t>
            </w:r>
          </w:p>
        </w:tc>
        <w:tc>
          <w:tcPr>
            <w:tcW w:w="6966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Требуемое разрешение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открыть список/карточку/API GET</w:t>
            </w:r>
          </w:p>
        </w:tc>
        <w:tc>
          <w:tcPr>
            <w:tcW w:w="6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view_&lt;model&gt;</w:t>
            </w:r>
            <w:r>
              <w:rPr/>
              <w:t xml:space="preserve"> и попадание объекта в область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создать объект/API POST</w:t>
            </w:r>
          </w:p>
        </w:tc>
        <w:tc>
          <w:tcPr>
            <w:tcW w:w="6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add_&lt;model&gt;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изменить объект/API PUT/PATCH</w:t>
            </w:r>
          </w:p>
        </w:tc>
        <w:tc>
          <w:tcPr>
            <w:tcW w:w="6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change_&lt;model&gt;</w:t>
            </w:r>
            <w:r>
              <w:rPr/>
              <w:t xml:space="preserve"> и попадание объекта в область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удалить объект/API DELETE</w:t>
            </w:r>
          </w:p>
        </w:tc>
        <w:tc>
          <w:tcPr>
            <w:tcW w:w="6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delete_&lt;model&gt;</w:t>
            </w:r>
            <w:r>
              <w:rPr/>
              <w:t xml:space="preserve"> и попадание объекта в область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массовый импорт</w:t>
            </w:r>
          </w:p>
        </w:tc>
        <w:tc>
          <w:tcPr>
            <w:tcW w:w="6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add_&lt;model&gt;</w:t>
            </w:r>
            <w:r>
              <w:rPr/>
              <w:t xml:space="preserve">; для обновления также </w:t>
            </w:r>
            <w:r>
              <w:rPr>
                <w:rStyle w:val="SourceText"/>
              </w:rPr>
              <w:t>change_&lt;model&gt;</w:t>
            </w:r>
            <w:r>
              <w:rPr/>
              <w:t>; плюс отдельная временная группа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массовое удаление</w:t>
            </w:r>
          </w:p>
        </w:tc>
        <w:tc>
          <w:tcPr>
            <w:tcW w:w="6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delete_&lt;model&gt;</w:t>
            </w:r>
            <w:r>
              <w:rPr/>
              <w:t>; организационно оставляется только суперпользователю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открыть настройки плагина</w:t>
            </w:r>
          </w:p>
        </w:tc>
        <w:tc>
          <w:tcPr>
            <w:tcW w:w="6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netbox_map.view_floorplan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развернуть шаблон приложения</w:t>
            </w:r>
          </w:p>
        </w:tc>
        <w:tc>
          <w:tcPr>
            <w:tcW w:w="6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netbox_map.add_applicationdeployment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открыть/выполнить </w:t>
            </w:r>
            <w:r>
              <w:rPr>
                <w:rStyle w:val="SourceText"/>
              </w:rPr>
              <w:t>map-tools</w:t>
            </w:r>
          </w:p>
        </w:tc>
        <w:tc>
          <w:tcPr>
            <w:tcW w:w="6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is_superuser=True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включить режим редактирования карты</w:t>
            </w:r>
          </w:p>
        </w:tc>
        <w:tc>
          <w:tcPr>
            <w:tcW w:w="6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netbox_map.change_mapmarker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удалить все маркеры, очистить все трассы</w:t>
            </w:r>
          </w:p>
        </w:tc>
        <w:tc>
          <w:tcPr>
            <w:tcW w:w="6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netbox_map.change_mapmarker</w:t>
            </w:r>
            <w:r>
              <w:rPr/>
              <w:t xml:space="preserve"> — отдельного права нет, см. 5.2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создать токен другому пользователю</w:t>
            </w:r>
          </w:p>
        </w:tc>
        <w:tc>
          <w:tcPr>
            <w:tcW w:w="6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users.grant_token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просмотреть журнал изменений</w:t>
            </w:r>
          </w:p>
        </w:tc>
        <w:tc>
          <w:tcPr>
            <w:tcW w:w="6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core.view_objectchange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просмотреть задания</w:t>
            </w:r>
          </w:p>
        </w:tc>
        <w:tc>
          <w:tcPr>
            <w:tcW w:w="6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core.view_job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просмотреть историю конфигурации</w:t>
            </w:r>
          </w:p>
        </w:tc>
        <w:tc>
          <w:tcPr>
            <w:tcW w:w="6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core.view_configrevision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изменить параметры конфигурации через UI</w:t>
            </w:r>
          </w:p>
        </w:tc>
        <w:tc>
          <w:tcPr>
            <w:tcW w:w="6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core.add_configrevision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открыть сведения о системе, плагины, очереди</w:t>
            </w:r>
          </w:p>
        </w:tc>
        <w:tc>
          <w:tcPr>
            <w:tcW w:w="6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is_superuser=True</w:t>
            </w:r>
          </w:p>
        </w:tc>
      </w:tr>
    </w:tbl>
    <w:p>
      <w:pPr>
        <w:pStyle w:val="BodyText"/>
        <w:bidi w:val="0"/>
        <w:jc w:val="left"/>
        <w:rPr/>
      </w:pPr>
      <w:r>
        <w:rPr/>
        <w:t>Фактические codenames встроенных моделей DCIM/IPAM выгружаются из установленной версии NetBox перед утверждением. Их нельзя переносить из другой версии без проверки.</w:t>
      </w:r>
    </w:p>
    <w:p>
      <w:pPr>
        <w:pStyle w:val="BodyText"/>
        <w:bidi w:val="0"/>
        <w:jc w:val="left"/>
        <w:rPr/>
      </w:pPr>
      <w:r>
        <w:rPr/>
        <w:t xml:space="preserve">Сведения таблицы проверены на NetBox 4.6.4 Community и плагине </w:t>
      </w:r>
      <w:r>
        <w:rPr>
          <w:rStyle w:val="SourceText"/>
        </w:rPr>
        <w:t>netbox_map</w:t>
      </w:r>
      <w:r>
        <w:rPr/>
        <w:t xml:space="preserve"> 0.11.0.</w:t>
      </w:r>
    </w:p>
    <w:p>
      <w:pPr>
        <w:pStyle w:val="Heading2"/>
        <w:bidi w:val="0"/>
        <w:jc w:val="left"/>
        <w:rPr/>
      </w:pPr>
      <w:r>
        <w:rPr/>
        <w:t>6. Рекомендуемые группы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13"/>
        <w:gridCol w:w="7152"/>
      </w:tblGrid>
      <w:tr>
        <w:trPr>
          <w:tblHeader w:val="true"/>
        </w:trPr>
        <w:tc>
          <w:tcPr>
            <w:tcW w:w="2713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Группа NetBox</w:t>
            </w:r>
          </w:p>
        </w:tc>
        <w:tc>
          <w:tcPr>
            <w:tcW w:w="7152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Состав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NB_VIEWERS</w:t>
            </w:r>
          </w:p>
        </w:tc>
        <w:tc>
          <w:tcPr>
            <w:tcW w:w="7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view</w:t>
            </w:r>
            <w:r>
              <w:rPr/>
              <w:t xml:space="preserve"> на согласованные модели DCIM/IPAM/netbox_map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NB_DCIM_OPERATORS</w:t>
            </w:r>
          </w:p>
        </w:tc>
        <w:tc>
          <w:tcPr>
            <w:tcW w:w="7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view/add/change</w:t>
            </w:r>
            <w:r>
              <w:rPr/>
              <w:t xml:space="preserve"> на DCIM; без массового удаления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NB_IPAM_OPERATORS</w:t>
            </w:r>
          </w:p>
        </w:tc>
        <w:tc>
          <w:tcPr>
            <w:tcW w:w="7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view/add/change</w:t>
            </w:r>
            <w:r>
              <w:rPr/>
              <w:t xml:space="preserve"> на IPAM; без массового удаления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NB_CABLE_ENGINEERS</w:t>
            </w:r>
          </w:p>
        </w:tc>
        <w:tc>
          <w:tcPr>
            <w:tcW w:w="7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view/add/change</w:t>
            </w:r>
            <w:r>
              <w:rPr/>
              <w:t xml:space="preserve"> на кабели, порты, маркеры, трассы, виды топологии; право </w:t>
            </w:r>
            <w:r>
              <w:rPr>
                <w:rStyle w:val="SourceText"/>
              </w:rPr>
              <w:t>netbox_map.change_mapmarker</w:t>
            </w:r>
            <w:r>
              <w:rPr/>
              <w:t xml:space="preserve"> выдаётся поимённо с учётом пункта 5.2; право врезки муфты только после отдельного согласования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NB_AUDITORS</w:t>
            </w:r>
          </w:p>
        </w:tc>
        <w:tc>
          <w:tcPr>
            <w:tcW w:w="7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view</w:t>
            </w:r>
            <w:r>
              <w:rPr/>
              <w:t xml:space="preserve"> на данные, пользователей, группы и журнал изменений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NB_ADMINS</w:t>
            </w:r>
          </w:p>
        </w:tc>
        <w:tc>
          <w:tcPr>
            <w:tcW w:w="7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пользователи, группы, объектные разрешения, токены, журнал изменений, задания, история конфигурации, вебхуки, правила событий, настройка представлений; без флага </w:t>
            </w:r>
            <w:r>
              <w:rPr>
                <w:rStyle w:val="SourceText"/>
              </w:rPr>
              <w:t>superuser</w:t>
            </w:r>
            <w:r>
              <w:rPr/>
              <w:t xml:space="preserve"> и без права </w:t>
            </w:r>
            <w:r>
              <w:rPr>
                <w:rStyle w:val="SourceText"/>
              </w:rPr>
              <w:t>netbox_map.change_mapsettings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NB_BULK_IMPORTERS</w:t>
            </w:r>
          </w:p>
        </w:tc>
        <w:tc>
          <w:tcPr>
            <w:tcW w:w="7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временная дополнительная группа для согласованного импорта</w:t>
            </w:r>
          </w:p>
        </w:tc>
      </w:tr>
    </w:tbl>
    <w:p>
      <w:pPr>
        <w:pStyle w:val="BodyText"/>
        <w:bidi w:val="0"/>
        <w:jc w:val="left"/>
        <w:rPr/>
      </w:pPr>
      <w:r>
        <w:rPr/>
        <w:t>Флаг суперпользователя назначается персонально ограниченному перечню сотрудников и не наследуется из повседневной группы.</w:t>
      </w:r>
    </w:p>
    <w:p>
      <w:pPr>
        <w:pStyle w:val="Heading2"/>
        <w:bidi w:val="0"/>
        <w:jc w:val="left"/>
        <w:rPr/>
      </w:pPr>
      <w:r>
        <w:rPr/>
        <w:t>7. Объектные ограничения</w:t>
      </w:r>
    </w:p>
    <w:p>
      <w:pPr>
        <w:pStyle w:val="BodyText"/>
        <w:bidi w:val="0"/>
        <w:jc w:val="left"/>
        <w:rPr/>
      </w:pPr>
      <w:r>
        <w:rPr/>
        <w:t>Если сотрудники отвечают только за часть инфраструктуры, ограничения задаются по: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площадке/региону;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подразделению или арендатору;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типу объекта;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статусу;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тегу зоны ответственности. </w:t>
      </w:r>
    </w:p>
    <w:p>
      <w:pPr>
        <w:pStyle w:val="BodyText"/>
        <w:bidi w:val="0"/>
        <w:jc w:val="left"/>
        <w:rPr/>
      </w:pPr>
      <w:r>
        <w:rPr/>
        <w:t>Проверять нужно не только списки, но и: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прямой URL карточки;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поиск;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экспорт;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REST/GraphQL API;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связанные объекты;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массовые операции;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карту и топологию. </w:t>
      </w:r>
    </w:p>
    <w:p>
      <w:pPr>
        <w:pStyle w:val="BodyText"/>
        <w:bidi w:val="0"/>
        <w:jc w:val="left"/>
        <w:rPr/>
      </w:pPr>
      <w:r>
        <w:rPr/>
        <w:t>Запрет просмотра объекта должен исключать его раскрытие через связанные представления.</w:t>
      </w:r>
    </w:p>
    <w:p>
      <w:pPr>
        <w:pStyle w:val="Heading2"/>
        <w:bidi w:val="0"/>
        <w:jc w:val="left"/>
        <w:rPr/>
      </w:pPr>
      <w:r>
        <w:rPr/>
        <w:t>8. Опасные и несовместимые сочетания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85"/>
        <w:gridCol w:w="2850"/>
        <w:gridCol w:w="3930"/>
      </w:tblGrid>
      <w:tr>
        <w:trPr>
          <w:tblHeader w:val="true"/>
        </w:trPr>
        <w:tc>
          <w:tcPr>
            <w:tcW w:w="308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Сочетание</w:t>
            </w:r>
          </w:p>
        </w:tc>
        <w:tc>
          <w:tcPr>
            <w:tcW w:w="285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Риск</w:t>
            </w:r>
          </w:p>
        </w:tc>
        <w:tc>
          <w:tcPr>
            <w:tcW w:w="3930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Решение</w:t>
            </w:r>
          </w:p>
        </w:tc>
      </w:tr>
      <w:tr>
        <w:trPr/>
        <w:tc>
          <w:tcPr>
            <w:tcW w:w="3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Создание + удаление без просмотра журнала</w:t>
            </w:r>
          </w:p>
        </w:tc>
        <w:tc>
          <w:tcPr>
            <w:tcW w:w="2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потеря данных без контроля</w:t>
            </w:r>
          </w:p>
        </w:tc>
        <w:tc>
          <w:tcPr>
            <w:tcW w:w="3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удаление оставить суперпользователю</w:t>
            </w:r>
          </w:p>
        </w:tc>
      </w:tr>
      <w:tr>
        <w:trPr/>
        <w:tc>
          <w:tcPr>
            <w:tcW w:w="3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Массовый импорт + изменение справочников</w:t>
            </w:r>
          </w:p>
        </w:tc>
        <w:tc>
          <w:tcPr>
            <w:tcW w:w="2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массовое создание неверных значений</w:t>
            </w:r>
          </w:p>
        </w:tc>
        <w:tc>
          <w:tcPr>
            <w:tcW w:w="3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временная роль и тестовый импорт</w:t>
            </w:r>
          </w:p>
        </w:tc>
      </w:tr>
      <w:tr>
        <w:trPr/>
        <w:tc>
          <w:tcPr>
            <w:tcW w:w="3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Управление группами + назначение </w:t>
            </w:r>
            <w:r>
              <w:rPr>
                <w:rStyle w:val="SourceText"/>
              </w:rPr>
              <w:t>superuser</w:t>
            </w:r>
          </w:p>
        </w:tc>
        <w:tc>
          <w:tcPr>
            <w:tcW w:w="2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самостоятельное повышение привилегий</w:t>
            </w:r>
          </w:p>
        </w:tc>
        <w:tc>
          <w:tcPr>
            <w:tcW w:w="3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superuser</w:t>
            </w:r>
            <w:r>
              <w:rPr/>
              <w:t xml:space="preserve"> назначает только уполномоченный суперпользователь</w:t>
            </w:r>
          </w:p>
        </w:tc>
      </w:tr>
      <w:tr>
        <w:trPr/>
        <w:tc>
          <w:tcPr>
            <w:tcW w:w="3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API write + интерактивный вход</w:t>
            </w:r>
          </w:p>
        </w:tc>
        <w:tc>
          <w:tcPr>
            <w:tcW w:w="2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обход процесса изменений</w:t>
            </w:r>
          </w:p>
        </w:tc>
        <w:tc>
          <w:tcPr>
            <w:tcW w:w="3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сервисной учётной записи запретить интерактивный вход</w:t>
            </w:r>
          </w:p>
        </w:tc>
      </w:tr>
      <w:tr>
        <w:trPr/>
        <w:tc>
          <w:tcPr>
            <w:tcW w:w="3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Карта write без прав на связанные DCIM-объекты</w:t>
            </w:r>
          </w:p>
        </w:tc>
        <w:tc>
          <w:tcPr>
            <w:tcW w:w="2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несогласованные данные</w:t>
            </w:r>
          </w:p>
        </w:tc>
        <w:tc>
          <w:tcPr>
            <w:tcW w:w="3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выдать согласованный набор прав или оставить read-only</w:t>
            </w:r>
          </w:p>
        </w:tc>
      </w:tr>
      <w:tr>
        <w:trPr/>
        <w:tc>
          <w:tcPr>
            <w:tcW w:w="3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Разварка write без изменения портов/кабелей</w:t>
            </w:r>
          </w:p>
        </w:tc>
        <w:tc>
          <w:tcPr>
            <w:tcW w:w="2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невозможность корректно оформить работу</w:t>
            </w:r>
          </w:p>
        </w:tc>
        <w:tc>
          <w:tcPr>
            <w:tcW w:w="3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выделить роль кабельного инженера целиком</w:t>
            </w:r>
          </w:p>
        </w:tc>
      </w:tr>
    </w:tbl>
    <w:p>
      <w:pPr>
        <w:pStyle w:val="Heading2"/>
        <w:bidi w:val="0"/>
        <w:jc w:val="left"/>
        <w:rPr/>
      </w:pPr>
      <w:r>
        <w:rPr/>
        <w:t>9. Жизненный цикл доступа</w:t>
      </w:r>
    </w:p>
    <w:p>
      <w:pPr>
        <w:pStyle w:val="Heading3"/>
        <w:bidi w:val="0"/>
        <w:jc w:val="left"/>
        <w:rPr/>
      </w:pPr>
      <w:r>
        <w:rPr/>
        <w:t>9.1. Предоставление</w:t>
      </w:r>
    </w:p>
    <w:p>
      <w:pPr>
        <w:pStyle w:val="BodyText"/>
        <w:bidi w:val="0"/>
        <w:jc w:val="left"/>
        <w:rPr/>
      </w:pPr>
      <w:r>
        <w:rPr/>
        <w:t>Заявка должна содержать: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пользователя и подразделение;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требуемую роль;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область объектов;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обоснование;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владельца согласования;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срок для временного доступа. </w:t>
      </w:r>
    </w:p>
    <w:p>
      <w:pPr>
        <w:pStyle w:val="BodyText"/>
        <w:bidi w:val="0"/>
        <w:jc w:val="left"/>
        <w:rPr/>
      </w:pPr>
      <w:r>
        <w:rPr/>
        <w:t>Администратор назначает группу, проверяет результат под тестовой ролью и фиксирует выполненные действия.</w:t>
      </w:r>
    </w:p>
    <w:p>
      <w:pPr>
        <w:pStyle w:val="Heading3"/>
        <w:bidi w:val="0"/>
        <w:jc w:val="left"/>
        <w:rPr/>
      </w:pPr>
      <w:r>
        <w:rPr/>
        <w:t>9.2. Изменение</w:t>
      </w:r>
    </w:p>
    <w:p>
      <w:pPr>
        <w:pStyle w:val="BodyText"/>
        <w:bidi w:val="0"/>
        <w:jc w:val="left"/>
        <w:rPr/>
      </w:pPr>
      <w:r>
        <w:rPr/>
        <w:t>При переводе сотрудника прежние группы снимаются до выдачи новых. Расширение роли оформляется как отдельное согласованное изменение.</w:t>
      </w:r>
    </w:p>
    <w:p>
      <w:pPr>
        <w:pStyle w:val="Heading3"/>
        <w:bidi w:val="0"/>
        <w:jc w:val="left"/>
        <w:rPr/>
      </w:pPr>
      <w:r>
        <w:rPr/>
        <w:t>9.3. Отзыв</w:t>
      </w:r>
    </w:p>
    <w:p>
      <w:pPr>
        <w:pStyle w:val="BodyText"/>
        <w:bidi w:val="0"/>
        <w:jc w:val="left"/>
        <w:rPr/>
      </w:pPr>
      <w:r>
        <w:rPr/>
        <w:t>Доступ отзывается при увольнении, переводе, окончании договора, истечении срока, компрометации или отсутствии служебной необходимости. Одновременно отзываются API-токены и активные сессии.</w:t>
      </w:r>
    </w:p>
    <w:p>
      <w:pPr>
        <w:pStyle w:val="Heading3"/>
        <w:bidi w:val="0"/>
        <w:jc w:val="left"/>
        <w:rPr/>
      </w:pPr>
      <w:r>
        <w:rPr/>
        <w:t>9.4. Пересмотр</w:t>
      </w:r>
    </w:p>
    <w:p>
      <w:pPr>
        <w:pStyle w:val="BodyText"/>
        <w:bidi w:val="0"/>
        <w:jc w:val="left"/>
        <w:rPr/>
      </w:pPr>
      <w:r>
        <w:rPr/>
        <w:t>Не реже одного раза в квартал проверяются: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активные пользователи;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группы и прямые права;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суперпользователи;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сервисные учётные записи и токены;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временные доступы;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неиспользуемые учётные записи;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соответствие области объектов. </w:t>
      </w:r>
    </w:p>
    <w:p>
      <w:pPr>
        <w:pStyle w:val="BodyText"/>
        <w:bidi w:val="0"/>
        <w:jc w:val="left"/>
        <w:rPr/>
      </w:pPr>
      <w:r>
        <w:rPr/>
        <w:t>Результат оформляется протоколом владельца ИС.</w:t>
      </w:r>
    </w:p>
    <w:p>
      <w:pPr>
        <w:pStyle w:val="Heading2"/>
        <w:bidi w:val="0"/>
        <w:jc w:val="left"/>
        <w:rPr/>
      </w:pPr>
      <w:r>
        <w:rPr/>
        <w:t>10. Приёмочные тесты ролей</w:t>
      </w:r>
    </w:p>
    <w:p>
      <w:pPr>
        <w:pStyle w:val="BodyText"/>
        <w:bidi w:val="0"/>
        <w:jc w:val="left"/>
        <w:rPr/>
      </w:pPr>
      <w:r>
        <w:rPr/>
        <w:t>Для каждой роли создаётся тестовый пользователь без дополнительных групп.</w:t>
      </w:r>
    </w:p>
    <w:tbl>
      <w:tblPr>
        <w:tblW w:w="98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08"/>
        <w:gridCol w:w="5757"/>
      </w:tblGrid>
      <w:tr>
        <w:trPr>
          <w:tblHeader w:val="true"/>
        </w:trPr>
        <w:tc>
          <w:tcPr>
            <w:tcW w:w="4108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Тест</w:t>
            </w:r>
          </w:p>
        </w:tc>
        <w:tc>
          <w:tcPr>
            <w:tcW w:w="5757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Ожидаемый результат</w:t>
            </w:r>
          </w:p>
        </w:tc>
      </w:tr>
      <w:tr>
        <w:trPr/>
        <w:tc>
          <w:tcPr>
            <w:tcW w:w="41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Вход</w:t>
            </w:r>
          </w:p>
        </w:tc>
        <w:tc>
          <w:tcPr>
            <w:tcW w:w="5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успешен для интерактивных ролей</w:t>
            </w:r>
          </w:p>
        </w:tc>
      </w:tr>
      <w:tr>
        <w:trPr/>
        <w:tc>
          <w:tcPr>
            <w:tcW w:w="41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Прямой URL разрешённого объекта</w:t>
            </w:r>
          </w:p>
        </w:tc>
        <w:tc>
          <w:tcPr>
            <w:tcW w:w="5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200</w:t>
            </w:r>
          </w:p>
        </w:tc>
      </w:tr>
      <w:tr>
        <w:trPr/>
        <w:tc>
          <w:tcPr>
            <w:tcW w:w="41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Прямой URL запрещённого объекта</w:t>
            </w:r>
          </w:p>
        </w:tc>
        <w:tc>
          <w:tcPr>
            <w:tcW w:w="5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403 либо 404 в соответствии с политикой</w:t>
            </w:r>
          </w:p>
        </w:tc>
      </w:tr>
      <w:tr>
        <w:trPr/>
        <w:tc>
          <w:tcPr>
            <w:tcW w:w="41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Список и поиск</w:t>
            </w:r>
          </w:p>
        </w:tc>
        <w:tc>
          <w:tcPr>
            <w:tcW w:w="5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показывают только разрешённую область</w:t>
            </w:r>
          </w:p>
        </w:tc>
      </w:tr>
      <w:tr>
        <w:trPr/>
        <w:tc>
          <w:tcPr>
            <w:tcW w:w="41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Создание/изменение</w:t>
            </w:r>
          </w:p>
        </w:tc>
        <w:tc>
          <w:tcPr>
            <w:tcW w:w="5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доступно только указанным ролям</w:t>
            </w:r>
          </w:p>
        </w:tc>
      </w:tr>
      <w:tr>
        <w:trPr/>
        <w:tc>
          <w:tcPr>
            <w:tcW w:w="41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Удаление</w:t>
            </w:r>
          </w:p>
        </w:tc>
        <w:tc>
          <w:tcPr>
            <w:tcW w:w="5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недоступно всем, кроме согласованного суперпользователя</w:t>
            </w:r>
          </w:p>
        </w:tc>
      </w:tr>
      <w:tr>
        <w:trPr/>
        <w:tc>
          <w:tcPr>
            <w:tcW w:w="41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Экспорт</w:t>
            </w:r>
          </w:p>
        </w:tc>
        <w:tc>
          <w:tcPr>
            <w:tcW w:w="5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раскрывает запрещённые объекты</w:t>
            </w:r>
          </w:p>
        </w:tc>
      </w:tr>
      <w:tr>
        <w:trPr/>
        <w:tc>
          <w:tcPr>
            <w:tcW w:w="41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API</w:t>
            </w:r>
          </w:p>
        </w:tc>
        <w:tc>
          <w:tcPr>
            <w:tcW w:w="5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совпадает с интерактивными ограничениями</w:t>
            </w:r>
          </w:p>
        </w:tc>
      </w:tr>
      <w:tr>
        <w:trPr/>
        <w:tc>
          <w:tcPr>
            <w:tcW w:w="41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/plugins/netbox-map/map-tools/</w:t>
            </w:r>
          </w:p>
        </w:tc>
        <w:tc>
          <w:tcPr>
            <w:tcW w:w="5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доступен только суперпользователю</w:t>
            </w:r>
          </w:p>
        </w:tc>
      </w:tr>
      <w:tr>
        <w:trPr/>
        <w:tc>
          <w:tcPr>
            <w:tcW w:w="41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Журнал изменений</w:t>
            </w:r>
          </w:p>
        </w:tc>
        <w:tc>
          <w:tcPr>
            <w:tcW w:w="5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доступен аудитору, но не изменяется им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Материал для иллюстрации:</w:t>
      </w:r>
      <w:r>
        <w:rPr/>
        <w:t xml:space="preserve"> </w:t>
      </w:r>
      <w:r>
        <w:rPr>
          <w:rStyle w:val="SourceText"/>
        </w:rPr>
        <w:t>https://&lt;NETBOX_FQDN&gt;/users/groups/</w:t>
      </w:r>
      <w:r>
        <w:rPr/>
        <w:t xml:space="preserve"> — снять карточку тестовой группы и перечень назначенных разрешений.</w:t>
        <w:br/>
      </w:r>
      <w:r>
        <w:rPr>
          <w:rStyle w:val="Strong"/>
        </w:rPr>
        <w:t>Материал для иллюстрации:</w:t>
      </w:r>
      <w:r>
        <w:rPr/>
        <w:t xml:space="preserve"> </w:t>
      </w:r>
      <w:r>
        <w:rPr>
          <w:rStyle w:val="SourceText"/>
        </w:rPr>
        <w:t>https://&lt;NETBOX_FQDN&gt;/plugins/netbox-map/map-tools/</w:t>
      </w:r>
      <w:r>
        <w:rPr/>
        <w:t xml:space="preserve"> — снять результат доступа обычного администратора (403) и суперпользователя (страница открыта); в документ помещается только требуемый политикой вариант.</w:t>
      </w:r>
    </w:p>
    <w:p>
      <w:pPr>
        <w:pStyle w:val="Heading2"/>
        <w:bidi w:val="0"/>
        <w:jc w:val="left"/>
        <w:rPr/>
      </w:pPr>
      <w:r>
        <w:rPr/>
        <w:t>11. Лист утверждения</w:t>
      </w:r>
    </w:p>
    <w:tbl>
      <w:tblPr>
        <w:tblW w:w="679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41"/>
        <w:gridCol w:w="685"/>
        <w:gridCol w:w="1051"/>
        <w:gridCol w:w="629"/>
        <w:gridCol w:w="1089"/>
      </w:tblGrid>
      <w:tr>
        <w:trPr>
          <w:tblHeader w:val="true"/>
        </w:trPr>
        <w:tc>
          <w:tcPr>
            <w:tcW w:w="334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Роль в согласовании</w:t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ФИО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Решение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Дата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Heading"/>
              <w:suppressLineNumbers/>
              <w:shd w:fill="FFFFFF" w:val="clear"/>
              <w:bidi w:val="0"/>
              <w:jc w:val="center"/>
              <w:rPr/>
            </w:pPr>
            <w:r>
              <w:rPr/>
              <w:t>Подпись</w:t>
            </w:r>
          </w:p>
        </w:tc>
      </w:tr>
      <w:tr>
        <w:trPr/>
        <w:tc>
          <w:tcPr>
            <w:tcW w:w="3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Владелец ИС</w:t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Владелец данных/DCIM</w:t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Информационная безопасность</w:t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Эксплуатация NetBox</w:t>
            </w:r>
          </w:p>
        </w:tc>
        <w:tc>
          <w:tcPr>
            <w:tcW w:w="6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  <w:t>После утверждения фактические группы NetBox должны быть сверены с этой матрицей. Любое расхождение оформляется как исключение с владельцем и сроком устранения.</w:t>
      </w:r>
    </w:p>
    <w:sectPr>
      <w:type w:val="nextPage"/>
      <w:pgSz w:w="11906" w:h="16838"/>
      <w:pgMar w:left="1134" w:right="907" w:gutter="0" w:header="0" w:top="1020" w:footer="0" w:bottom="10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Liberation Serif;Times New Roman;serif" w:hAnsi="Liberation Serif;Times New Roman;serif" w:eastAsia="Liberation Serif;Times New Roman;serif" w:cs="Liberation Serif;Times New Roman;serif"/>
      <w:color w:val="000000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spacing w:before="360" w:after="320"/>
      <w:ind w:left="360" w:right="360"/>
      <w:jc w:val="center"/>
      <w:outlineLvl w:val="0"/>
    </w:pPr>
    <w:rPr>
      <w:rFonts w:ascii="Liberation Serif" w:hAnsi="Liberation Serif" w:eastAsia="Noto Sans" w:cs="FreeSans"/>
      <w:b/>
      <w:bCs/>
      <w:color w:val="000000"/>
      <w:sz w:val="32"/>
      <w:szCs w:val="32"/>
    </w:rPr>
  </w:style>
  <w:style w:type="paragraph" w:styleId="Heading2">
    <w:name w:val="heading 2"/>
    <w:basedOn w:val="Heading"/>
    <w:next w:val="BodyText"/>
    <w:qFormat/>
    <w:pPr>
      <w:keepNext w:val="true"/>
      <w:spacing w:before="360" w:after="120"/>
      <w:outlineLvl w:val="1"/>
    </w:pPr>
    <w:rPr>
      <w:rFonts w:ascii="Liberation Serif" w:hAnsi="Liberation Serif" w:eastAsia="Noto Sans" w:cs="FreeSans"/>
      <w:b/>
      <w:bCs/>
      <w:color w:val="000000"/>
      <w:sz w:val="28"/>
      <w:szCs w:val="28"/>
    </w:rPr>
  </w:style>
  <w:style w:type="paragraph" w:styleId="Heading3">
    <w:name w:val="heading 3"/>
    <w:basedOn w:val="Heading"/>
    <w:next w:val="BodyText"/>
    <w:qFormat/>
    <w:pPr>
      <w:keepNext w:val="true"/>
      <w:spacing w:before="240" w:after="120"/>
      <w:outlineLvl w:val="2"/>
    </w:pPr>
    <w:rPr>
      <w:rFonts w:ascii="Liberation Serif" w:hAnsi="Liberation Serif" w:eastAsia="Noto Sans" w:cs="FreeSans"/>
      <w:b/>
      <w:bCs/>
      <w:color w:val="000000"/>
      <w:sz w:val="24"/>
      <w:szCs w:val="24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hd w:fill="F1F3F4" w:val="clear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563C1"/>
      <w:u w:val="single"/>
    </w:rPr>
  </w:style>
  <w:style w:type="character" w:styleId="FollowedHyperlink">
    <w:name w:val="Followed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pBdr>
        <w:left w:val="single" w:sz="24" w:space="10" w:color="E0A800"/>
      </w:pBdr>
      <w:shd w:fill="FFF4CE" w:val="clear"/>
      <w:spacing w:before="200" w:after="200"/>
      <w:ind w:hanging="0" w:left="200" w:right="200"/>
    </w:pPr>
    <w:rPr/>
  </w:style>
  <w:style w:type="paragraph" w:styleId="PreformattedText">
    <w:name w:val="Preformatted Text"/>
    <w:basedOn w:val="Normal"/>
    <w:qFormat/>
    <w:pPr>
      <w:pBdr>
        <w:top w:val="single" w:sz="2" w:space="8" w:color="D5D9DD"/>
        <w:left w:val="single" w:sz="2" w:space="8" w:color="D5D9DD"/>
        <w:bottom w:val="single" w:sz="2" w:space="8" w:color="D5D9DD"/>
        <w:right w:val="single" w:sz="2" w:space="8" w:color="D5D9DD"/>
      </w:pBdr>
      <w:shd w:fill="F1F3F4" w:val="clear"/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FFFFFF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