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__________________________________</w:t>
      </w:r>
      <w:r>
        <w:rPr/>
        <w:br/>
        <w:t>наименование организации</w:t>
      </w:r>
    </w:p>
    <w:p>
      <w:pPr>
        <w:pStyle w:val="BodyText"/>
        <w:bidi w:val="0"/>
        <w:jc w:val="center"/>
        <w:rPr/>
      </w:pPr>
      <w:r>
        <w:rPr>
          <w:rStyle w:val="Strong"/>
        </w:rPr>
        <w:t>УТВЕРЖДАЮ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  <w:t>должность</w:t>
      </w:r>
    </w:p>
    <w:p>
      <w:pPr>
        <w:pStyle w:val="BodyText"/>
        <w:bidi w:val="0"/>
        <w:jc w:val="center"/>
        <w:rPr/>
      </w:pPr>
      <w:r>
        <w:rPr/>
        <w:t>____________ /____________________/</w:t>
        <w:br/>
        <w:t>подпись, расшифровка</w:t>
      </w:r>
    </w:p>
    <w:p>
      <w:pPr>
        <w:pStyle w:val="BodyText"/>
        <w:bidi w:val="0"/>
        <w:jc w:val="center"/>
        <w:rPr/>
      </w:pPr>
      <w:r>
        <w:rPr/>
        <w:t>«____» ____________ 2026 г.</w:t>
      </w:r>
    </w:p>
    <w:p>
      <w:pPr>
        <w:pStyle w:val="Heading1"/>
        <w:bidi w:val="0"/>
        <w:jc w:val="center"/>
        <w:rPr/>
      </w:pPr>
      <w:r>
        <w:rPr/>
        <w:t>NETBOX</w:t>
      </w:r>
    </w:p>
    <w:p>
      <w:pPr>
        <w:pStyle w:val="Heading2"/>
        <w:bidi w:val="0"/>
        <w:jc w:val="center"/>
        <w:rPr/>
      </w:pPr>
      <w:r>
        <w:rPr/>
        <w:t>ТРЕБОВАНИЯ К ТЕХНИЧЕСКОМУ ОБЕСПЕЧЕНИЮ ИНФОРМАЦИОННОЙ СИСТЕМЫ</w:t>
      </w:r>
    </w:p>
    <w:p>
      <w:pPr>
        <w:pStyle w:val="BodyText"/>
        <w:bidi w:val="0"/>
        <w:jc w:val="center"/>
        <w:rPr/>
      </w:pPr>
      <w:r>
        <w:rPr/>
        <w:t xml:space="preserve">Обозначение: </w:t>
      </w:r>
      <w:r>
        <w:rPr>
          <w:rStyle w:val="SourceText"/>
        </w:rPr>
        <w:t>RU.__________.NETBOX.ТО.01</w:t>
      </w:r>
    </w:p>
    <w:p>
      <w:pPr>
        <w:pStyle w:val="BodyText"/>
        <w:bidi w:val="0"/>
        <w:jc w:val="center"/>
        <w:rPr/>
      </w:pPr>
      <w:r>
        <w:rPr/>
        <w:t>Версия 1.0</w:t>
      </w:r>
    </w:p>
    <w:p>
      <w:pPr>
        <w:pStyle w:val="BodyText"/>
        <w:bidi w:val="0"/>
        <w:jc w:val="center"/>
        <w:rPr/>
      </w:pPr>
      <w:r>
        <w:rPr/>
        <w:t>2026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АННОТАЦИЯ</w:t>
      </w:r>
    </w:p>
    <w:p>
      <w:pPr>
        <w:pStyle w:val="BodyText"/>
        <w:bidi w:val="0"/>
        <w:jc w:val="left"/>
        <w:rPr/>
      </w:pPr>
      <w:r>
        <w:rPr/>
        <w:t xml:space="preserve">Настоящий документ устанавливает требования к комплексу технических средств информационной системы учёта ИТ- и телекоммуникационной инфраструктуры, реализованной на базе NetBox с плагином </w:t>
      </w:r>
      <w:r>
        <w:rPr>
          <w:rStyle w:val="SourceText"/>
        </w:rPr>
        <w:t>netbox_map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Состав требований основан на положениях ГОСТ 34.602-2020 в части требований к техническому обеспечению автоматизированной системы. Изложение описания комплекса технических средств выполнено с учётом РД 50-34.698-90. Термины применены по ГОСТ Р 59853-2021.</w:t>
      </w:r>
    </w:p>
    <w:p>
      <w:pPr>
        <w:pStyle w:val="BodyText"/>
        <w:bidi w:val="0"/>
        <w:jc w:val="left"/>
        <w:rPr/>
      </w:pPr>
      <w:r>
        <w:rPr/>
        <w:t>Расчёт ресурсов выполнен на основании фактических замеров действующего стенда, приведённых в разделе 3. Замеры выполнены при отключённом экземпляре по состоянию файловой системы; методика приведена в приложении А, что позволяет повторить расчёт для иного объёма данных.</w:t>
      </w:r>
    </w:p>
    <w:p>
      <w:pPr>
        <w:pStyle w:val="BodyText"/>
        <w:bidi w:val="0"/>
        <w:jc w:val="left"/>
        <w:rPr/>
      </w:pPr>
      <w:r>
        <w:rPr/>
        <w:t xml:space="preserve">Документ связан с документами </w:t>
      </w:r>
      <w:r>
        <w:rPr>
          <w:rStyle w:val="SourceText"/>
        </w:rPr>
        <w:t>RU.__________.00001-01 13 01</w:t>
      </w:r>
      <w:r>
        <w:rPr/>
        <w:t xml:space="preserve"> (техническая архитектура), </w:t>
      </w:r>
      <w:r>
        <w:rPr>
          <w:rStyle w:val="SourceText"/>
        </w:rPr>
        <w:t>RU.__________.NETBOX.ФТ.01</w:t>
      </w:r>
      <w:r>
        <w:rPr/>
        <w:t xml:space="preserve"> (функциональные требования) и </w:t>
      </w:r>
      <w:r>
        <w:rPr>
          <w:rStyle w:val="SourceText"/>
        </w:rPr>
        <w:t>RU.__________.00001-01 51 01</w:t>
      </w:r>
      <w:r>
        <w:rPr/>
        <w:t xml:space="preserve"> (программа и методика испытаний).</w:t>
      </w:r>
    </w:p>
    <w:p>
      <w:pPr>
        <w:pStyle w:val="BodyText"/>
        <w:bidi w:val="0"/>
        <w:jc w:val="left"/>
        <w:rPr/>
      </w:pPr>
      <w:r>
        <w:rPr>
          <w:rStyle w:val="Strong"/>
        </w:rPr>
        <w:t>Статус:</w:t>
      </w:r>
      <w:r>
        <w:rPr/>
        <w:t xml:space="preserve"> проект к утверждению владельцем информационной системы совместно со службой эксплуатации инфраструктуры.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СОДЕРЖАНИЕ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Общие положения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Состав комплекса технических средств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Исходные данные для расчёта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Требования к серверным ресурсам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Требования к дисковой подсистеме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Требования к вариантам размещения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Требования к сети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Требования к рабочим местам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Требования к резервному копированию и отказоустойчивости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Требования к системному программному обеспечению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Требования к электропитанию и размещению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Порядок пересмотра требований</w:t>
        <w:br/>
        <w:t>Приложение А. Методика расчёта</w:t>
        <w:br/>
        <w:t>Приложение Б. Спецификация к закупке</w:t>
        <w:br/>
        <w:t xml:space="preserve">Приложение В. Контрольный лист приёмки технических средств 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1. ОБЩИЕ ПОЛОЖЕНИЯ</w:t>
      </w:r>
    </w:p>
    <w:p>
      <w:pPr>
        <w:pStyle w:val="Heading2"/>
        <w:bidi w:val="0"/>
        <w:jc w:val="left"/>
        <w:rPr/>
      </w:pPr>
      <w:r>
        <w:rPr/>
        <w:t>1.1. Назначение документа</w:t>
      </w:r>
    </w:p>
    <w:p>
      <w:pPr>
        <w:pStyle w:val="BodyText"/>
        <w:bidi w:val="0"/>
        <w:jc w:val="left"/>
        <w:rPr/>
      </w:pPr>
      <w:r>
        <w:rPr/>
        <w:t>Документ устанавливает минимально необходимые и рекомендуемые характеристики технических средств, обеспечивающих работу информационной системы, и служит основанием для: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формирования заявки на выделение вычислительных ресурсов;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проверки достаточности существующих ресурсов;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планирования расширения при росте объёма учётных данных;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приёмки технических средств по приложению В. </w:t>
      </w:r>
    </w:p>
    <w:p>
      <w:pPr>
        <w:pStyle w:val="Heading2"/>
        <w:bidi w:val="0"/>
        <w:jc w:val="left"/>
        <w:rPr/>
      </w:pPr>
      <w:r>
        <w:rPr/>
        <w:t>1.2. Категории требований</w:t>
      </w:r>
    </w:p>
    <w:tbl>
      <w:tblPr>
        <w:tblW w:w="938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11"/>
        <w:gridCol w:w="1512"/>
        <w:gridCol w:w="6162"/>
      </w:tblGrid>
      <w:tr>
        <w:trPr>
          <w:tblHeader w:val="true"/>
        </w:trPr>
        <w:tc>
          <w:tcPr>
            <w:tcW w:w="171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Категория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Обозначение</w:t>
            </w:r>
          </w:p>
        </w:tc>
        <w:tc>
          <w:tcPr>
            <w:tcW w:w="616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Минимальное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МИН</w:t>
            </w:r>
          </w:p>
        </w:tc>
        <w:tc>
          <w:tcPr>
            <w:tcW w:w="61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ниже этого значения работа не гарантируется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Рекомендуемое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</w:t>
            </w:r>
          </w:p>
        </w:tc>
        <w:tc>
          <w:tcPr>
            <w:tcW w:w="61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обеспечивает запас на трёхлетний рост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Желательное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ЖЕЛ</w:t>
            </w:r>
          </w:p>
        </w:tc>
        <w:tc>
          <w:tcPr>
            <w:tcW w:w="61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повышает отказоустойчивость или удобство эксплуатации</w:t>
            </w:r>
          </w:p>
        </w:tc>
      </w:tr>
    </w:tbl>
    <w:p>
      <w:pPr>
        <w:pStyle w:val="BodyText"/>
        <w:bidi w:val="0"/>
        <w:jc w:val="left"/>
        <w:rPr/>
      </w:pPr>
      <w:r>
        <w:rPr/>
        <w:t>Приёмка выполняется по категории МИН. Закупка планируется по категории РЕК: разница в стоимости между МИН и РЕК для рассматриваемых объёмов несущественна, а расширение действующей системы обходится дороже первоначального запаса.</w:t>
      </w:r>
    </w:p>
    <w:p>
      <w:pPr>
        <w:pStyle w:val="Heading2"/>
        <w:bidi w:val="0"/>
        <w:jc w:val="left"/>
        <w:rPr/>
      </w:pPr>
      <w:r>
        <w:rPr/>
        <w:t>1.3. Что определяет требования</w:t>
      </w:r>
    </w:p>
    <w:p>
      <w:pPr>
        <w:pStyle w:val="BodyText"/>
        <w:bidi w:val="0"/>
        <w:jc w:val="left"/>
        <w:rPr/>
      </w:pPr>
      <w:r>
        <w:rPr/>
        <w:t>Нагрузка на систему определяется не столько объёмом учётных данных, сколько: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числом одновременно работающих пользователей;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интенсивностью работы с картой и топологией — это наиболее ресурсоёмкие операции;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интенсивностью обращений внешних систем по программному интерфейсу;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глубиной хранения журнала изменений;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разрешением растровой подложки карты. </w:t>
      </w:r>
    </w:p>
    <w:p>
      <w:pPr>
        <w:pStyle w:val="BodyText"/>
        <w:bidi w:val="0"/>
        <w:jc w:val="left"/>
        <w:rPr/>
      </w:pPr>
      <w:r>
        <w:rPr/>
        <w:t>Объём собственно учётных данных DCIM и IPAM для инфраструктуры масштаба организации невелик — см. раздел 3.</w:t>
      </w:r>
    </w:p>
    <w:p>
      <w:pPr>
        <w:pStyle w:val="Heading1"/>
        <w:bidi w:val="0"/>
        <w:rPr/>
      </w:pPr>
      <w:r>
        <w:rPr/>
        <w:t>2. СОСТАВ КОМПЛЕКСА ТЕХНИЧЕСКИХ СРЕДСТВ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13"/>
        <w:gridCol w:w="3498"/>
        <w:gridCol w:w="3454"/>
      </w:tblGrid>
      <w:tr>
        <w:trPr>
          <w:tblHeader w:val="true"/>
        </w:trPr>
        <w:tc>
          <w:tcPr>
            <w:tcW w:w="291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Средство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345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Обязательность</w:t>
            </w:r>
          </w:p>
        </w:tc>
      </w:tr>
      <w:tr>
        <w:trPr/>
        <w:tc>
          <w:tcPr>
            <w:tcW w:w="29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Сервер приложения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обратный прокси, сервер приложения, обработчики фоновых заданий</w:t>
            </w:r>
          </w:p>
        </w:tc>
        <w:tc>
          <w:tcPr>
            <w:tcW w:w="3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обязательно</w:t>
            </w:r>
          </w:p>
        </w:tc>
      </w:tr>
      <w:tr>
        <w:trPr/>
        <w:tc>
          <w:tcPr>
            <w:tcW w:w="29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Сервер базы данных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  <w:tc>
          <w:tcPr>
            <w:tcW w:w="3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обязательно; допускается совмещение с сервером приложения</w:t>
            </w:r>
          </w:p>
        </w:tc>
      </w:tr>
      <w:tr>
        <w:trPr/>
        <w:tc>
          <w:tcPr>
            <w:tcW w:w="29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Сервер кэша и очередей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Redis</w:t>
            </w:r>
          </w:p>
        </w:tc>
        <w:tc>
          <w:tcPr>
            <w:tcW w:w="3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обязательно; допускается совмещение</w:t>
            </w:r>
          </w:p>
        </w:tc>
      </w:tr>
      <w:tr>
        <w:trPr/>
        <w:tc>
          <w:tcPr>
            <w:tcW w:w="29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Дисковое хранилище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база данных, медиафайлы, тайлы, журналы</w:t>
            </w:r>
          </w:p>
        </w:tc>
        <w:tc>
          <w:tcPr>
            <w:tcW w:w="3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обязательно</w:t>
            </w:r>
          </w:p>
        </w:tc>
      </w:tr>
      <w:tr>
        <w:trPr/>
        <w:tc>
          <w:tcPr>
            <w:tcW w:w="29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Хранилище резервных копий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копии базы данных и файловых данных</w:t>
            </w:r>
          </w:p>
        </w:tc>
        <w:tc>
          <w:tcPr>
            <w:tcW w:w="3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обязательно; должно быть отделено от рабочего хранилища</w:t>
            </w:r>
          </w:p>
        </w:tc>
      </w:tr>
      <w:tr>
        <w:trPr/>
        <w:tc>
          <w:tcPr>
            <w:tcW w:w="29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Изолированный контур проверки восстановления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проверка пригодности резервных копий, проверка обновлений</w:t>
            </w:r>
          </w:p>
        </w:tc>
        <w:tc>
          <w:tcPr>
            <w:tcW w:w="3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обязательно</w:t>
            </w:r>
          </w:p>
        </w:tc>
      </w:tr>
      <w:tr>
        <w:trPr/>
        <w:tc>
          <w:tcPr>
            <w:tcW w:w="29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Рабочие места пользователей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работа с системой через браузер</w:t>
            </w:r>
          </w:p>
        </w:tc>
        <w:tc>
          <w:tcPr>
            <w:tcW w:w="3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обязательно</w:t>
            </w:r>
          </w:p>
        </w:tc>
      </w:tr>
      <w:tr>
        <w:trPr/>
        <w:tc>
          <w:tcPr>
            <w:tcW w:w="29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Средства резервирования электропитания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бесперебойная работа серверов</w:t>
            </w:r>
          </w:p>
        </w:tc>
        <w:tc>
          <w:tcPr>
            <w:tcW w:w="3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требованиям к доступности</w:t>
            </w:r>
          </w:p>
        </w:tc>
      </w:tr>
    </w:tbl>
    <w:p>
      <w:pPr>
        <w:pStyle w:val="BodyText"/>
        <w:bidi w:val="0"/>
        <w:jc w:val="left"/>
        <w:rPr/>
      </w:pPr>
      <w:r>
        <w:rPr/>
        <w:t>Изолированный контур не требует постоянно выделенных ресурсов и может развёртываться на время проверки. Отсутствие возможности его развернуть делает невыполнимыми требования ФТ-SAF-04 и испытания И-56 — И-57.</w:t>
      </w:r>
    </w:p>
    <w:p>
      <w:pPr>
        <w:pStyle w:val="Heading1"/>
        <w:bidi w:val="0"/>
        <w:rPr/>
      </w:pPr>
      <w:r>
        <w:rPr/>
        <w:t>3. ИСХОДНЫЕ ДАННЫЕ ДЛЯ РАСЧЁТА</w:t>
      </w:r>
    </w:p>
    <w:p>
      <w:pPr>
        <w:pStyle w:val="Heading2"/>
        <w:bidi w:val="0"/>
        <w:jc w:val="left"/>
        <w:rPr/>
      </w:pPr>
      <w:r>
        <w:rPr/>
        <w:t>3.1. Фактические замеры действующего стенда</w:t>
      </w:r>
    </w:p>
    <w:p>
      <w:pPr>
        <w:pStyle w:val="BodyText"/>
        <w:bidi w:val="0"/>
        <w:jc w:val="left"/>
        <w:rPr/>
      </w:pPr>
      <w:r>
        <w:rPr/>
        <w:t>Замеры выполнены по состоянию файловой системы стенда и по содержимому логической копии базы данных.</w:t>
      </w:r>
    </w:p>
    <w:tbl>
      <w:tblPr>
        <w:tblW w:w="645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02"/>
        <w:gridCol w:w="2449"/>
      </w:tblGrid>
      <w:tr>
        <w:trPr>
          <w:tblHeader w:val="true"/>
        </w:trPr>
        <w:tc>
          <w:tcPr>
            <w:tcW w:w="400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Показатель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Замеренное значение</w:t>
            </w:r>
          </w:p>
        </w:tc>
      </w:tr>
      <w:tr>
        <w:trPr/>
        <w:tc>
          <w:tcPr>
            <w:tcW w:w="4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Каталог данных PostgreSQL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174 МБ</w:t>
            </w:r>
          </w:p>
        </w:tc>
      </w:tr>
      <w:tr>
        <w:trPr/>
        <w:tc>
          <w:tcPr>
            <w:tcW w:w="4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Логическая копия базы данных (SQL)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1,3 МБ</w:t>
            </w:r>
          </w:p>
        </w:tc>
      </w:tr>
      <w:tr>
        <w:trPr/>
        <w:tc>
          <w:tcPr>
            <w:tcW w:w="4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Каталог </w:t>
            </w:r>
            <w:r>
              <w:rPr>
                <w:rStyle w:val="SourceText"/>
              </w:rPr>
              <w:t>MEDIA_ROOT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2,9 МБ</w:t>
            </w:r>
          </w:p>
        </w:tc>
      </w:tr>
      <w:tr>
        <w:trPr/>
        <w:tc>
          <w:tcPr>
            <w:tcW w:w="4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— </w:t>
            </w:r>
            <w:r>
              <w:rPr/>
              <w:t>вложенные изображения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2,7 МБ</w:t>
            </w:r>
          </w:p>
        </w:tc>
      </w:tr>
      <w:tr>
        <w:trPr/>
        <w:tc>
          <w:tcPr>
            <w:tcW w:w="4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— </w:t>
            </w:r>
            <w:r>
              <w:rPr/>
              <w:t xml:space="preserve">данные плагина </w:t>
            </w:r>
            <w:r>
              <w:rPr>
                <w:rStyle w:val="SourceText"/>
              </w:rPr>
              <w:t>netbox_map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180 КБ</w:t>
            </w:r>
          </w:p>
        </w:tc>
      </w:tr>
      <w:tr>
        <w:trPr/>
        <w:tc>
          <w:tcPr>
            <w:tcW w:w="4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— </w:t>
            </w:r>
            <w:r>
              <w:rPr/>
              <w:t>кэш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56 КБ</w:t>
            </w:r>
          </w:p>
        </w:tc>
      </w:tr>
      <w:tr>
        <w:trPr/>
        <w:tc>
          <w:tcPr>
            <w:tcW w:w="4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Тайлы подложки в дереве статики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168 КБ</w:t>
            </w:r>
          </w:p>
        </w:tc>
      </w:tr>
      <w:tr>
        <w:trPr/>
        <w:tc>
          <w:tcPr>
            <w:tcW w:w="4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Исходный код NetBox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117 МБ</w:t>
            </w:r>
          </w:p>
        </w:tc>
      </w:tr>
      <w:tr>
        <w:trPr/>
        <w:tc>
          <w:tcPr>
            <w:tcW w:w="4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Виртуальное окружение Python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407 МБ</w:t>
            </w:r>
          </w:p>
        </w:tc>
      </w:tr>
      <w:tr>
        <w:trPr/>
        <w:tc>
          <w:tcPr>
            <w:tcW w:w="4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Сборки PostgreSQL, Redis, Python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 МБ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3.2. Объём учётных данных стенда</w:t>
      </w:r>
    </w:p>
    <w:tbl>
      <w:tblPr>
        <w:tblW w:w="495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20"/>
        <w:gridCol w:w="1730"/>
      </w:tblGrid>
      <w:tr>
        <w:trPr>
          <w:tblHeader w:val="true"/>
        </w:trPr>
        <w:tc>
          <w:tcPr>
            <w:tcW w:w="322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Объект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Число записей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Устройства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116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Типы устройств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Стойки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43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Локации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Кабели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116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Терминации кабелей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234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Передние порты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632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Задние порты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120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Записи журнала изменений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280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Сохранённые виды топологии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Фоновые задания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3.3. Выводы для расчёта</w:t>
      </w:r>
    </w:p>
    <w:p>
      <w:pPr>
        <w:pStyle w:val="BodyText"/>
        <w:bidi w:val="0"/>
        <w:jc w:val="left"/>
        <w:rPr/>
      </w:pPr>
      <w:r>
        <w:rPr>
          <w:rStyle w:val="Strong"/>
        </w:rPr>
        <w:t>Вывод 1.</w:t>
      </w:r>
      <w:r>
        <w:rPr/>
        <w:t xml:space="preserve"> Учётные данные занимают мало места. Логическая копия базы при 116 устройствах и 116 кабелях составляет 1,3 МБ. Каталог данных PostgreSQL в 174 МБ занят преимущественно системными объектами, индексами и журналом упреждающей записи, а не прикладными данными. Базовый объём каталога данных практически не зависит от числа учётных объектов в рассматриваемом диапазоне.</w:t>
      </w:r>
    </w:p>
    <w:p>
      <w:pPr>
        <w:pStyle w:val="BodyText"/>
        <w:bidi w:val="0"/>
        <w:jc w:val="left"/>
        <w:rPr/>
      </w:pPr>
      <w:r>
        <w:rPr>
          <w:rStyle w:val="Strong"/>
        </w:rPr>
        <w:t>Вывод 2.</w:t>
      </w:r>
      <w:r>
        <w:rPr/>
        <w:t xml:space="preserve"> Определяющим фактором роста базы является журнал изменений, а не учётные объекты. На стенде 280 записей журнала при 116 устройствах. В промышленной эксплуатации число записей журнала растёт непрерывно и ограничивается только параметром срока хранения.</w:t>
      </w:r>
    </w:p>
    <w:p>
      <w:pPr>
        <w:pStyle w:val="BodyText"/>
        <w:bidi w:val="0"/>
        <w:jc w:val="left"/>
        <w:rPr/>
      </w:pPr>
      <w:r>
        <w:rPr>
          <w:rStyle w:val="Strong"/>
        </w:rPr>
        <w:t>Вывод 3.</w:t>
      </w:r>
      <w:r>
        <w:rPr/>
        <w:t xml:space="preserve"> Определяющим фактором роста дискового пространства вне базы является растровая подложка карты. Тайлы стенда занимают 168 КБ, что соответствует подложке малого разрешения. Для подложки промышленного масштаба объём рассчитывается по приложению А и способен на несколько порядков превысить объём всех прочих данных.</w:t>
      </w:r>
    </w:p>
    <w:p>
      <w:pPr>
        <w:pStyle w:val="BodyText"/>
        <w:bidi w:val="0"/>
        <w:jc w:val="left"/>
        <w:rPr/>
      </w:pPr>
      <w:r>
        <w:rPr>
          <w:rStyle w:val="Strong"/>
        </w:rPr>
        <w:t>Вывод 4.</w:t>
      </w:r>
      <w:r>
        <w:rPr/>
        <w:t xml:space="preserve"> Требования к оперативной памяти и процессору определяются числом одновременных пользователей и работой с картой и топологией, а не объёмом хранимых данных.</w:t>
      </w:r>
    </w:p>
    <w:p>
      <w:pPr>
        <w:pStyle w:val="Heading2"/>
        <w:bidi w:val="0"/>
        <w:jc w:val="left"/>
        <w:rPr/>
      </w:pPr>
      <w:r>
        <w:rPr/>
        <w:t>3.4. Прогнозируемый объём промышленного контура</w:t>
      </w:r>
    </w:p>
    <w:p>
      <w:pPr>
        <w:pStyle w:val="BodyText"/>
        <w:bidi w:val="0"/>
        <w:jc w:val="left"/>
        <w:rPr/>
      </w:pPr>
      <w:r>
        <w:rPr/>
        <w:t>Заполняется владельцем информационной системы до утверждения. Значения используются в расчёте раздела 5.</w:t>
      </w:r>
    </w:p>
    <w:tbl>
      <w:tblPr>
        <w:tblW w:w="635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66"/>
        <w:gridCol w:w="1191"/>
      </w:tblGrid>
      <w:tr>
        <w:trPr>
          <w:tblHeader w:val="true"/>
        </w:trPr>
        <w:tc>
          <w:tcPr>
            <w:tcW w:w="516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Показатель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Прогноз</w:t>
            </w:r>
          </w:p>
        </w:tc>
      </w:tr>
      <w:tr>
        <w:trPr/>
        <w:tc>
          <w:tcPr>
            <w:tcW w:w="51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устройств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51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кабелей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51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портов и интерфейсов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51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IP-адресов и префиксов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51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маркеров и кабельных трасс на карте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51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муфт со схемами разварки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51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одновременно работающих пользователей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51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изменений учётных объектов в сутки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51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хранения журнала изменений, суток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51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Разрешение растровой подложки, пикселей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51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планов помещений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</w:tbl>
    <w:p>
      <w:pPr>
        <w:pStyle w:val="Heading1"/>
        <w:bidi w:val="0"/>
        <w:rPr/>
      </w:pPr>
      <w:r>
        <w:rPr/>
        <w:t>4. ТРЕБОВАНИЯ К СЕРВЕРНЫМ РЕСУРСАМ</w:t>
      </w:r>
    </w:p>
    <w:p>
      <w:pPr>
        <w:pStyle w:val="Heading2"/>
        <w:bidi w:val="0"/>
        <w:jc w:val="left"/>
        <w:rPr/>
      </w:pPr>
      <w:r>
        <w:rPr/>
        <w:t>4.1. Совмещённое размещение</w:t>
      </w:r>
    </w:p>
    <w:p>
      <w:pPr>
        <w:pStyle w:val="BodyText"/>
        <w:bidi w:val="0"/>
        <w:jc w:val="left"/>
        <w:rPr/>
      </w:pPr>
      <w:r>
        <w:rPr/>
        <w:t>Вариант применяется при числе одновременных пользователей до 25 и является рекомендуемым для большинства случаев.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16"/>
        <w:gridCol w:w="724"/>
        <w:gridCol w:w="894"/>
        <w:gridCol w:w="6331"/>
      </w:tblGrid>
      <w:tr>
        <w:trPr>
          <w:tblHeader w:val="true"/>
        </w:trPr>
        <w:tc>
          <w:tcPr>
            <w:tcW w:w="191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Ресурс</w:t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МИН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РЕК</w:t>
            </w:r>
          </w:p>
        </w:tc>
        <w:tc>
          <w:tcPr>
            <w:tcW w:w="633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Обоснование</w:t>
            </w:r>
          </w:p>
        </w:tc>
      </w:tr>
      <w:tr>
        <w:trPr/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Процессорные ядра</w:t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6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ядра — сервер приложения, 1 — обработчик заданий, 1 — база данных; РЕК даёт запас на построение топологии и нарезку тайлов</w:t>
            </w:r>
          </w:p>
        </w:tc>
      </w:tr>
      <w:tr>
        <w:trPr/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Оперативная память</w:t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 ГБ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 ГБ</w:t>
            </w:r>
          </w:p>
        </w:tc>
        <w:tc>
          <w:tcPr>
            <w:tcW w:w="6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база данных 2–4 ГБ, приложение 2–4 ГБ, обработчики 1–2 ГБ, кэш файловой системы; нарезка тайлов кратковременно требует памяти пропорционально разрешению исходного изображения</w:t>
            </w:r>
          </w:p>
        </w:tc>
      </w:tr>
      <w:tr>
        <w:trPr/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Архитектура</w:t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x86-64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x86-64</w:t>
            </w:r>
          </w:p>
        </w:tc>
        <w:tc>
          <w:tcPr>
            <w:tcW w:w="6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Тип дисковой подсистемы</w:t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SSD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SSD NVMe</w:t>
            </w:r>
          </w:p>
        </w:tc>
        <w:tc>
          <w:tcPr>
            <w:tcW w:w="6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база данных чувствительна к задержкам произвольного доступа</w:t>
            </w:r>
          </w:p>
        </w:tc>
      </w:tr>
    </w:tbl>
    <w:p>
      <w:pPr>
        <w:pStyle w:val="BodyText"/>
        <w:bidi w:val="0"/>
        <w:jc w:val="left"/>
        <w:rPr/>
      </w:pPr>
      <w:r>
        <w:rPr/>
        <w:t>Совмещение допустимо, поскольку профили нагрузки компонентов различаются по времени: пиковая нагрузка на базу данных приходится на открытие списков, на процессор — на построение топологии и нарезку тайлов.</w:t>
      </w:r>
    </w:p>
    <w:p>
      <w:pPr>
        <w:pStyle w:val="Heading2"/>
        <w:bidi w:val="0"/>
        <w:jc w:val="left"/>
        <w:rPr/>
      </w:pPr>
      <w:r>
        <w:rPr/>
        <w:t>4.2. Раздельное размещение</w:t>
      </w:r>
    </w:p>
    <w:p>
      <w:pPr>
        <w:pStyle w:val="BodyText"/>
        <w:bidi w:val="0"/>
        <w:jc w:val="left"/>
        <w:rPr/>
      </w:pPr>
      <w:r>
        <w:rPr/>
        <w:t>Вариант применяется при числе одновременных пользователей свыше 25, при требовании изоляции базы данных или при использовании существующего кластера СУБД.</w:t>
      </w:r>
    </w:p>
    <w:tbl>
      <w:tblPr>
        <w:tblW w:w="944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25"/>
        <w:gridCol w:w="1859"/>
        <w:gridCol w:w="2155"/>
        <w:gridCol w:w="1608"/>
      </w:tblGrid>
      <w:tr>
        <w:trPr>
          <w:tblHeader w:val="true"/>
        </w:trPr>
        <w:tc>
          <w:tcPr>
            <w:tcW w:w="382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Узел</w:t>
            </w:r>
          </w:p>
        </w:tc>
        <w:tc>
          <w:tcPr>
            <w:tcW w:w="185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Ядра МИН/РЕК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Память МИН/РЕК</w:t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Диск</w:t>
            </w:r>
          </w:p>
        </w:tc>
      </w:tr>
      <w:tr>
        <w:trPr/>
        <w:tc>
          <w:tcPr>
            <w:tcW w:w="3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Сервер приложения и обработчиков</w:t>
            </w:r>
          </w:p>
        </w:tc>
        <w:tc>
          <w:tcPr>
            <w:tcW w:w="1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 / 8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 / 16 ГБ</w:t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разделу 5.4</w:t>
            </w:r>
          </w:p>
        </w:tc>
      </w:tr>
      <w:tr>
        <w:trPr/>
        <w:tc>
          <w:tcPr>
            <w:tcW w:w="3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Сервер базы данных</w:t>
            </w:r>
          </w:p>
        </w:tc>
        <w:tc>
          <w:tcPr>
            <w:tcW w:w="1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 / 8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 / 16 ГБ</w:t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разделу 5.2</w:t>
            </w:r>
          </w:p>
        </w:tc>
      </w:tr>
      <w:tr>
        <w:trPr/>
        <w:tc>
          <w:tcPr>
            <w:tcW w:w="3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Сервер Redis</w:t>
            </w:r>
          </w:p>
        </w:tc>
        <w:tc>
          <w:tcPr>
            <w:tcW w:w="1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/ 2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/ 4 ГБ</w:t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 ГБ</w:t>
            </w:r>
          </w:p>
        </w:tc>
      </w:tr>
    </w:tbl>
    <w:p>
      <w:pPr>
        <w:pStyle w:val="BodyText"/>
        <w:bidi w:val="0"/>
        <w:jc w:val="left"/>
        <w:rPr/>
      </w:pPr>
      <w:r>
        <w:rPr/>
        <w:t>Redis допускается размещать совместно с сервером приложения в любом варианте: его требования к ресурсам невелики, а отказ Redis не приводит к утрате данных.</w:t>
      </w:r>
    </w:p>
    <w:p>
      <w:pPr>
        <w:pStyle w:val="Heading2"/>
        <w:bidi w:val="0"/>
        <w:jc w:val="left"/>
        <w:rPr/>
      </w:pPr>
      <w:r>
        <w:rPr/>
        <w:t>4.3. Требования к нарезке тайлов</w:t>
      </w:r>
    </w:p>
    <w:p>
      <w:pPr>
        <w:pStyle w:val="BodyText"/>
        <w:bidi w:val="0"/>
        <w:jc w:val="left"/>
        <w:rPr/>
      </w:pPr>
      <w:r>
        <w:rPr/>
        <w:t>Нарезка растровой подложки на тайлы — единственная операция, кратковременно требующая памяти, пропорциональной размеру исходного изображения. Исходное изображение разворачивается в память целиком, ограничение платформы на число пикселей при этом снято.</w:t>
      </w:r>
    </w:p>
    <w:tbl>
      <w:tblPr>
        <w:tblW w:w="756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60"/>
        <w:gridCol w:w="5003"/>
      </w:tblGrid>
      <w:tr>
        <w:trPr>
          <w:tblHeader w:val="true"/>
        </w:trPr>
        <w:tc>
          <w:tcPr>
            <w:tcW w:w="256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Разрешение подложки</w:t>
            </w:r>
          </w:p>
        </w:tc>
        <w:tc>
          <w:tcPr>
            <w:tcW w:w="500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Оценка требуемой памяти на время нарезки</w:t>
            </w:r>
          </w:p>
        </w:tc>
      </w:tr>
      <w:tr>
        <w:trPr/>
        <w:tc>
          <w:tcPr>
            <w:tcW w:w="2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10 000 × 10 000</w:t>
            </w:r>
          </w:p>
        </w:tc>
        <w:tc>
          <w:tcPr>
            <w:tcW w:w="5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около 0,4 ГБ</w:t>
            </w:r>
          </w:p>
        </w:tc>
      </w:tr>
      <w:tr>
        <w:trPr/>
        <w:tc>
          <w:tcPr>
            <w:tcW w:w="2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20 000 × 20 000</w:t>
            </w:r>
          </w:p>
        </w:tc>
        <w:tc>
          <w:tcPr>
            <w:tcW w:w="5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около 1,6 ГБ</w:t>
            </w:r>
          </w:p>
        </w:tc>
      </w:tr>
      <w:tr>
        <w:trPr/>
        <w:tc>
          <w:tcPr>
            <w:tcW w:w="2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40 000 × 40 000</w:t>
            </w:r>
          </w:p>
        </w:tc>
        <w:tc>
          <w:tcPr>
            <w:tcW w:w="5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около 6,4 ГБ</w:t>
            </w:r>
          </w:p>
        </w:tc>
      </w:tr>
      <w:tr>
        <w:trPr/>
        <w:tc>
          <w:tcPr>
            <w:tcW w:w="2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60 000 × 60 000</w:t>
            </w:r>
          </w:p>
        </w:tc>
        <w:tc>
          <w:tcPr>
            <w:tcW w:w="5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около 14,4 ГБ</w:t>
            </w:r>
          </w:p>
        </w:tc>
      </w:tr>
    </w:tbl>
    <w:p>
      <w:pPr>
        <w:pStyle w:val="BodyText"/>
        <w:bidi w:val="0"/>
        <w:jc w:val="left"/>
        <w:rPr/>
      </w:pPr>
      <w:r>
        <w:rPr/>
        <w:t>Оценка получена из расчёта 4 байта на пиксель для представления с прозрачностью, без учёта промежуточных буферов масштабирования. Фактическое потребление превышает расчётное примерно вдвое.</w:t>
      </w:r>
    </w:p>
    <w:p>
      <w:pPr>
        <w:pStyle w:val="BodyText"/>
        <w:bidi w:val="0"/>
        <w:jc w:val="left"/>
        <w:rPr/>
      </w:pPr>
      <w:r>
        <w:rPr>
          <w:rStyle w:val="Strong"/>
        </w:rPr>
        <w:t>Требование.</w:t>
      </w:r>
      <w:r>
        <w:rPr/>
        <w:t xml:space="preserve"> Если разрешение подложки превышает 20 000 × 20 000 пикселей, объём оперативной памяти сервера приложения должен быть увеличен до значения, покрывающего пиковое потребление нарезки, либо нарезка должна выполняться вне промышленного контура средством командной строки с последующим переносом готовых тайлов.</w:t>
      </w:r>
    </w:p>
    <w:p>
      <w:pPr>
        <w:pStyle w:val="BodyText"/>
        <w:bidi w:val="0"/>
        <w:jc w:val="left"/>
        <w:rPr/>
      </w:pPr>
      <w:r>
        <w:rPr/>
        <w:t>Нарезка выполняется однократно при вводе подложки и повторно при её замене. Постоянного резервирования памяти под эту операцию не требуется при условии выполнения её в согласованное окно.</w:t>
      </w:r>
    </w:p>
    <w:p>
      <w:pPr>
        <w:pStyle w:val="Heading1"/>
        <w:bidi w:val="0"/>
        <w:rPr/>
      </w:pPr>
      <w:r>
        <w:rPr/>
        <w:t>5. ТРЕБОВАНИЯ К ДИСКОВОЙ ПОДСИСТЕМЕ</w:t>
      </w:r>
    </w:p>
    <w:p>
      <w:pPr>
        <w:pStyle w:val="Heading2"/>
        <w:bidi w:val="0"/>
        <w:jc w:val="left"/>
        <w:rPr/>
      </w:pPr>
      <w:r>
        <w:rPr/>
        <w:t>5.1. Структура дискового пространства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60"/>
        <w:gridCol w:w="4363"/>
        <w:gridCol w:w="2642"/>
      </w:tblGrid>
      <w:tr>
        <w:trPr>
          <w:tblHeader w:val="true"/>
        </w:trPr>
        <w:tc>
          <w:tcPr>
            <w:tcW w:w="286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Область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Содержимое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Растёт</w:t>
            </w:r>
          </w:p>
        </w:tc>
      </w:tr>
      <w:tr>
        <w:trPr/>
        <w:tc>
          <w:tcPr>
            <w:tcW w:w="2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Каталог данных PostgreSQL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учётные данные, журнал изменений, индексы, журнал упреждающей записи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непрерывно</w:t>
            </w:r>
          </w:p>
        </w:tc>
      </w:tr>
      <w:tr>
        <w:trPr/>
        <w:tc>
          <w:tcPr>
            <w:tcW w:w="2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MEDIA_ROOT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схемы разварки, снапшоты карты, вложенные изображения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умеренно</w:t>
            </w:r>
          </w:p>
        </w:tc>
      </w:tr>
      <w:tr>
        <w:trPr/>
        <w:tc>
          <w:tcPr>
            <w:tcW w:w="2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Дерево статики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код клиентской части, </w:t>
            </w:r>
            <w:r>
              <w:rPr>
                <w:rStyle w:val="Strong"/>
              </w:rPr>
              <w:t>тайлы подложки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скачкообразно при замене подложки</w:t>
            </w:r>
          </w:p>
        </w:tc>
      </w:tr>
      <w:tr>
        <w:trPr/>
        <w:tc>
          <w:tcPr>
            <w:tcW w:w="2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Код приложения и виртуальное окружение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NetBox, зависимости, плагин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 обновлениях</w:t>
            </w:r>
          </w:p>
        </w:tc>
      </w:tr>
      <w:tr>
        <w:trPr/>
        <w:tc>
          <w:tcPr>
            <w:tcW w:w="2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Журналы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журналы приложения, обратного прокси, базы данных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непрерывно</w:t>
            </w:r>
          </w:p>
        </w:tc>
      </w:tr>
      <w:tr>
        <w:trPr/>
        <w:tc>
          <w:tcPr>
            <w:tcW w:w="2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Резервные копии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копии базы и файловых данных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глубине хранения</w:t>
            </w:r>
          </w:p>
        </w:tc>
      </w:tr>
    </w:tbl>
    <w:p>
      <w:pPr>
        <w:pStyle w:val="Heading2"/>
        <w:bidi w:val="0"/>
        <w:jc w:val="left"/>
        <w:rPr/>
      </w:pPr>
      <w:r>
        <w:rPr/>
        <w:t>5.2. Каталог данных PostgreSQL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55"/>
        <w:gridCol w:w="3043"/>
        <w:gridCol w:w="4267"/>
      </w:tblGrid>
      <w:tr>
        <w:trPr>
          <w:tblHeader w:val="true"/>
        </w:trPr>
        <w:tc>
          <w:tcPr>
            <w:tcW w:w="255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Составляющая</w:t>
            </w:r>
          </w:p>
        </w:tc>
        <w:tc>
          <w:tcPr>
            <w:tcW w:w="304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Расчёт</w:t>
            </w:r>
          </w:p>
        </w:tc>
        <w:tc>
          <w:tcPr>
            <w:tcW w:w="426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Обоснование</w:t>
            </w:r>
          </w:p>
        </w:tc>
      </w:tr>
      <w:tr>
        <w:trPr/>
        <w:tc>
          <w:tcPr>
            <w:tcW w:w="2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Базовый объём</w:t>
            </w:r>
          </w:p>
        </w:tc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200 МБ</w:t>
            </w:r>
          </w:p>
        </w:tc>
        <w:tc>
          <w:tcPr>
            <w:tcW w:w="4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замер стенда — 174 МБ; округление вверх</w:t>
            </w:r>
          </w:p>
        </w:tc>
      </w:tr>
      <w:tr>
        <w:trPr/>
        <w:tc>
          <w:tcPr>
            <w:tcW w:w="2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Учётные данные</w:t>
            </w:r>
          </w:p>
        </w:tc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объектов × 3 КБ</w:t>
            </w:r>
          </w:p>
        </w:tc>
        <w:tc>
          <w:tcPr>
            <w:tcW w:w="4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замер: 1,3 МБ логической копии на ~2 000 значимых записей</w:t>
            </w:r>
          </w:p>
        </w:tc>
      </w:tr>
      <w:tr>
        <w:trPr/>
        <w:tc>
          <w:tcPr>
            <w:tcW w:w="2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Журнал изменений</w:t>
            </w:r>
          </w:p>
        </w:tc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изменений в сутки × срок хранения × 5 КБ</w:t>
            </w:r>
          </w:p>
        </w:tc>
        <w:tc>
          <w:tcPr>
            <w:tcW w:w="4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запись содержит состояния объекта до и после</w:t>
            </w:r>
          </w:p>
        </w:tc>
      </w:tr>
      <w:tr>
        <w:trPr/>
        <w:tc>
          <w:tcPr>
            <w:tcW w:w="2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Индексы и служебные данные</w:t>
            </w:r>
          </w:p>
        </w:tc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50 % от суммы предыдущих строк</w:t>
            </w:r>
          </w:p>
        </w:tc>
        <w:tc>
          <w:tcPr>
            <w:tcW w:w="4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типовое соотношение для рабочей нагрузки</w:t>
            </w:r>
          </w:p>
        </w:tc>
      </w:tr>
      <w:tr>
        <w:trPr/>
        <w:tc>
          <w:tcPr>
            <w:tcW w:w="2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Журнал упреждающей записи</w:t>
            </w:r>
          </w:p>
        </w:tc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 ГБ</w:t>
            </w:r>
          </w:p>
        </w:tc>
        <w:tc>
          <w:tcPr>
            <w:tcW w:w="4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зависит от настройки контрольных точек</w:t>
            </w:r>
          </w:p>
        </w:tc>
      </w:tr>
      <w:tr>
        <w:trPr/>
        <w:tc>
          <w:tcPr>
            <w:tcW w:w="2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Запас на обслуживание</w:t>
            </w:r>
          </w:p>
        </w:tc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100 % от расчётного объёма</w:t>
            </w:r>
          </w:p>
        </w:tc>
        <w:tc>
          <w:tcPr>
            <w:tcW w:w="4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необходим для переиндексации и обновления версии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Минимальный объём — 50 ГБ, рекомендуемый — 100 ГБ.</w:t>
      </w:r>
      <w:r>
        <w:rPr/>
        <w:t xml:space="preserve"> Для типовых объёмов учётных данных определяющей составляющей является журнал изменений, а не сами объекты.</w:t>
      </w:r>
    </w:p>
    <w:p>
      <w:pPr>
        <w:pStyle w:val="BodyText"/>
        <w:bidi w:val="0"/>
        <w:jc w:val="left"/>
        <w:rPr/>
      </w:pPr>
      <w:r>
        <w:rPr/>
        <w:t>Пример: при 500 изменениях в сутки и сроке хранения 365 суток журнал занимает около 0,9 ГБ, что не является определяющим. При 10 000 изменениях в сутки — около 18 ГБ, и срок хранения подлежит согласованию отдельно.</w:t>
      </w:r>
    </w:p>
    <w:p>
      <w:pPr>
        <w:pStyle w:val="Heading2"/>
        <w:bidi w:val="0"/>
        <w:jc w:val="left"/>
        <w:rPr/>
      </w:pPr>
      <w:r>
        <w:rPr/>
        <w:t>5.3. Тайлы растровой подложки</w:t>
      </w:r>
    </w:p>
    <w:p>
      <w:pPr>
        <w:pStyle w:val="BodyText"/>
        <w:bidi w:val="0"/>
        <w:jc w:val="left"/>
        <w:rPr/>
      </w:pPr>
      <w:r>
        <w:rPr/>
        <w:t>Расчёт выполняется по методике приложения А. Фактические параметры нарезки, установленные анализом состава плагина: размер тайла 256 пикселей, формат WebP с качеством 85, число уровней масштабирования — 4.</w:t>
      </w:r>
    </w:p>
    <w:p>
      <w:pPr>
        <w:pStyle w:val="BodyText"/>
        <w:bidi w:val="0"/>
        <w:jc w:val="left"/>
        <w:rPr/>
      </w:pPr>
      <w:r>
        <w:rPr/>
        <w:t>Ориентировочный объём для типовых разрешений подложки:</w:t>
      </w:r>
    </w:p>
    <w:tbl>
      <w:tblPr>
        <w:tblW w:w="70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60"/>
        <w:gridCol w:w="2699"/>
        <w:gridCol w:w="1808"/>
      </w:tblGrid>
      <w:tr>
        <w:trPr>
          <w:tblHeader w:val="true"/>
        </w:trPr>
        <w:tc>
          <w:tcPr>
            <w:tcW w:w="256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Разрешение подложки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Тайлов на всех уровнях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Оценка объёма</w:t>
            </w:r>
          </w:p>
        </w:tc>
      </w:tr>
      <w:tr>
        <w:trPr/>
        <w:tc>
          <w:tcPr>
            <w:tcW w:w="2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10 000 × 10 000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около 2 100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20–80 МБ</w:t>
            </w:r>
          </w:p>
        </w:tc>
      </w:tr>
      <w:tr>
        <w:trPr/>
        <w:tc>
          <w:tcPr>
            <w:tcW w:w="2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20 000 × 20 000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около 8 300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80–330 МБ</w:t>
            </w:r>
          </w:p>
        </w:tc>
      </w:tr>
      <w:tr>
        <w:trPr/>
        <w:tc>
          <w:tcPr>
            <w:tcW w:w="2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40 000 × 40 000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около 33 200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0,3–1,3 ГБ</w:t>
            </w:r>
          </w:p>
        </w:tc>
      </w:tr>
      <w:tr>
        <w:trPr/>
        <w:tc>
          <w:tcPr>
            <w:tcW w:w="2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60 000 × 60 000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около 74 700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0,7–3,0 ГБ</w:t>
            </w:r>
          </w:p>
        </w:tc>
      </w:tr>
    </w:tbl>
    <w:p>
      <w:pPr>
        <w:pStyle w:val="BodyText"/>
        <w:bidi w:val="0"/>
        <w:jc w:val="left"/>
        <w:rPr/>
      </w:pPr>
      <w:r>
        <w:rPr/>
        <w:t>Разброс оценки объёма обусловлен характером изображения: чертёж и схема сжимаются в несколько раз лучше аэрофотоснимка. Точный объём определяется пробной нарезкой по приложению А.</w:t>
      </w:r>
    </w:p>
    <w:p>
      <w:pPr>
        <w:pStyle w:val="BodyText"/>
        <w:bidi w:val="0"/>
        <w:jc w:val="left"/>
        <w:rPr/>
      </w:pPr>
      <w:r>
        <w:rPr>
          <w:rStyle w:val="Strong"/>
        </w:rPr>
        <w:t>Требование.</w:t>
      </w:r>
      <w:r>
        <w:rPr/>
        <w:t xml:space="preserve"> До закупки дискового пространства выполняется пробная нарезка фактической подложки в изолированном контуре и фиксируется полученный объём. Расчётные значения настоящей таблицы применяются только при невозможности пробной нарезки.</w:t>
      </w:r>
    </w:p>
    <w:p>
      <w:pPr>
        <w:pStyle w:val="BodyText"/>
        <w:bidi w:val="0"/>
        <w:jc w:val="left"/>
        <w:rPr/>
      </w:pPr>
      <w:r>
        <w:rPr/>
        <w:t>Объём удваивается, если предусматривается хранение предыдущей версии подложки на время проверки новой.</w:t>
      </w:r>
    </w:p>
    <w:p>
      <w:pPr>
        <w:pStyle w:val="Heading2"/>
        <w:bidi w:val="0"/>
        <w:jc w:val="left"/>
        <w:rPr/>
      </w:pPr>
      <w:r>
        <w:rPr/>
        <w:t>5.4. Сводные требования к объёму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75"/>
        <w:gridCol w:w="2893"/>
        <w:gridCol w:w="2697"/>
      </w:tblGrid>
      <w:tr>
        <w:trPr>
          <w:tblHeader w:val="true"/>
        </w:trPr>
        <w:tc>
          <w:tcPr>
            <w:tcW w:w="427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Область</w:t>
            </w:r>
          </w:p>
        </w:tc>
        <w:tc>
          <w:tcPr>
            <w:tcW w:w="289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МИН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РЕК</w:t>
            </w:r>
          </w:p>
        </w:tc>
      </w:tr>
      <w:tr>
        <w:trPr/>
        <w:tc>
          <w:tcPr>
            <w:tcW w:w="42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Каталог данных PostgreSQL</w:t>
            </w:r>
          </w:p>
        </w:tc>
        <w:tc>
          <w:tcPr>
            <w:tcW w:w="2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 ГБ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 ГБ</w:t>
            </w:r>
          </w:p>
        </w:tc>
      </w:tr>
      <w:tr>
        <w:trPr/>
        <w:tc>
          <w:tcPr>
            <w:tcW w:w="42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MEDIA_ROOT</w:t>
            </w:r>
          </w:p>
        </w:tc>
        <w:tc>
          <w:tcPr>
            <w:tcW w:w="2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 ГБ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 ГБ</w:t>
            </w:r>
          </w:p>
        </w:tc>
      </w:tr>
      <w:tr>
        <w:trPr/>
        <w:tc>
          <w:tcPr>
            <w:tcW w:w="42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Дерево статики с тайлами</w:t>
            </w:r>
          </w:p>
        </w:tc>
        <w:tc>
          <w:tcPr>
            <w:tcW w:w="2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расчёту 5.3, не менее 5 ГБ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двойной расчётный объём</w:t>
            </w:r>
          </w:p>
        </w:tc>
      </w:tr>
      <w:tr>
        <w:trPr/>
        <w:tc>
          <w:tcPr>
            <w:tcW w:w="42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Код приложения и виртуальное окружение</w:t>
            </w:r>
          </w:p>
        </w:tc>
        <w:tc>
          <w:tcPr>
            <w:tcW w:w="2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 ГБ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 ГБ</w:t>
            </w:r>
          </w:p>
        </w:tc>
      </w:tr>
      <w:tr>
        <w:trPr/>
        <w:tc>
          <w:tcPr>
            <w:tcW w:w="42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Журналы</w:t>
            </w:r>
          </w:p>
        </w:tc>
        <w:tc>
          <w:tcPr>
            <w:tcW w:w="2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 ГБ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 ГБ</w:t>
            </w:r>
          </w:p>
        </w:tc>
      </w:tr>
      <w:tr>
        <w:trPr/>
        <w:tc>
          <w:tcPr>
            <w:tcW w:w="42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Операционная система и служебное ПО</w:t>
            </w:r>
          </w:p>
        </w:tc>
        <w:tc>
          <w:tcPr>
            <w:tcW w:w="2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 ГБ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 ГБ</w:t>
            </w:r>
          </w:p>
        </w:tc>
      </w:tr>
      <w:tr>
        <w:trPr/>
        <w:tc>
          <w:tcPr>
            <w:tcW w:w="42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Итого на сервере, без резервных копий</w:t>
            </w:r>
          </w:p>
        </w:tc>
        <w:tc>
          <w:tcPr>
            <w:tcW w:w="2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100 ГБ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250 ГБ</w:t>
            </w:r>
          </w:p>
        </w:tc>
      </w:tr>
      <w:tr>
        <w:trPr/>
        <w:tc>
          <w:tcPr>
            <w:tcW w:w="42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Хранилище резервных копий</w:t>
            </w:r>
          </w:p>
        </w:tc>
        <w:tc>
          <w:tcPr>
            <w:tcW w:w="2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разделу 9.2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разделу 9.2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Объём </w:t>
      </w:r>
      <w:r>
        <w:rPr>
          <w:rStyle w:val="SourceText"/>
        </w:rPr>
        <w:t>MEDIA_ROOT</w:t>
      </w:r>
      <w:r>
        <w:rPr/>
        <w:t xml:space="preserve"> определяется преимущественно вложенными изображениями, загружаемыми пользователями. При запрете загрузки изображений объём сокращается до единиц гигабайт.</w:t>
      </w:r>
    </w:p>
    <w:p>
      <w:pPr>
        <w:pStyle w:val="Heading2"/>
        <w:bidi w:val="0"/>
        <w:jc w:val="left"/>
        <w:rPr/>
      </w:pPr>
      <w:r>
        <w:rPr/>
        <w:t>5.5. Требования к производительности дисковой подсистемы</w:t>
      </w:r>
    </w:p>
    <w:tbl>
      <w:tblPr>
        <w:tblW w:w="85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34"/>
        <w:gridCol w:w="1675"/>
        <w:gridCol w:w="3329"/>
      </w:tblGrid>
      <w:tr>
        <w:trPr>
          <w:tblHeader w:val="true"/>
        </w:trPr>
        <w:tc>
          <w:tcPr>
            <w:tcW w:w="353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Показатель</w:t>
            </w:r>
          </w:p>
        </w:tc>
        <w:tc>
          <w:tcPr>
            <w:tcW w:w="167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МИН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РЕК</w:t>
            </w:r>
          </w:p>
        </w:tc>
      </w:tr>
      <w:tr>
        <w:trPr/>
        <w:tc>
          <w:tcPr>
            <w:tcW w:w="35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Тип носителя под базу данных</w:t>
            </w:r>
          </w:p>
        </w:tc>
        <w:tc>
          <w:tcPr>
            <w:tcW w:w="16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SSD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SSD NVMe</w:t>
            </w:r>
          </w:p>
        </w:tc>
      </w:tr>
      <w:tr>
        <w:trPr/>
        <w:tc>
          <w:tcPr>
            <w:tcW w:w="35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Задержка произвольного доступа</w:t>
            </w:r>
          </w:p>
        </w:tc>
        <w:tc>
          <w:tcPr>
            <w:tcW w:w="16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более 5 мс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более 1 мс</w:t>
            </w:r>
          </w:p>
        </w:tc>
      </w:tr>
      <w:tr>
        <w:trPr/>
        <w:tc>
          <w:tcPr>
            <w:tcW w:w="35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Носитель под тайлы и статику</w:t>
            </w:r>
          </w:p>
        </w:tc>
        <w:tc>
          <w:tcPr>
            <w:tcW w:w="16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SSD либо HDD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SSD</w:t>
            </w:r>
          </w:p>
        </w:tc>
      </w:tr>
      <w:tr>
        <w:trPr/>
        <w:tc>
          <w:tcPr>
            <w:tcW w:w="35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Носитель под резервные копии</w:t>
            </w:r>
          </w:p>
        </w:tc>
        <w:tc>
          <w:tcPr>
            <w:tcW w:w="16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HDD допустим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отдельное устройство или узел</w:t>
            </w:r>
          </w:p>
        </w:tc>
      </w:tr>
    </w:tbl>
    <w:p>
      <w:pPr>
        <w:pStyle w:val="BodyText"/>
        <w:bidi w:val="0"/>
        <w:jc w:val="left"/>
        <w:rPr/>
      </w:pPr>
      <w:r>
        <w:rPr/>
        <w:t>Размещение каталога данных PostgreSQL на носителе с механическим приводом приводит к деградации времени открытия списков и построения топологии сверх допустимого и не допускается.</w:t>
      </w:r>
    </w:p>
    <w:p>
      <w:pPr>
        <w:pStyle w:val="BodyText"/>
        <w:bidi w:val="0"/>
        <w:jc w:val="left"/>
        <w:rPr/>
      </w:pPr>
      <w:r>
        <w:rPr>
          <w:rStyle w:val="Strong"/>
        </w:rPr>
        <w:t>Требование.</w:t>
      </w:r>
      <w:r>
        <w:rPr/>
        <w:t xml:space="preserve"> Хранилище резервных копий должно быть физически отделено от рабочего хранилища. Резервная копия на том же носителе, что и база данных, не защищает от отказа носителя.</w:t>
      </w:r>
    </w:p>
    <w:p>
      <w:pPr>
        <w:pStyle w:val="Heading2"/>
        <w:bidi w:val="0"/>
        <w:jc w:val="left"/>
        <w:rPr/>
      </w:pPr>
      <w:r>
        <w:rPr/>
        <w:t>5.6. Контроль заполнения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32"/>
        <w:gridCol w:w="2576"/>
        <w:gridCol w:w="3657"/>
      </w:tblGrid>
      <w:tr>
        <w:trPr>
          <w:tblHeader w:val="true"/>
        </w:trPr>
        <w:tc>
          <w:tcPr>
            <w:tcW w:w="363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Область</w:t>
            </w:r>
          </w:p>
        </w:tc>
        <w:tc>
          <w:tcPr>
            <w:tcW w:w="257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Порог предупреждения</w:t>
            </w:r>
          </w:p>
        </w:tc>
        <w:tc>
          <w:tcPr>
            <w:tcW w:w="365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Порог критического уведомления</w:t>
            </w:r>
          </w:p>
        </w:tc>
      </w:tr>
      <w:tr>
        <w:trPr/>
        <w:tc>
          <w:tcPr>
            <w:tcW w:w="36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Каталог данных PostgreSQL</w:t>
            </w:r>
          </w:p>
        </w:tc>
        <w:tc>
          <w:tcPr>
            <w:tcW w:w="2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70 %</w:t>
            </w:r>
          </w:p>
        </w:tc>
        <w:tc>
          <w:tcPr>
            <w:tcW w:w="3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85 %</w:t>
            </w:r>
          </w:p>
        </w:tc>
      </w:tr>
      <w:tr>
        <w:trPr/>
        <w:tc>
          <w:tcPr>
            <w:tcW w:w="36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MEDIA_ROOT</w:t>
            </w:r>
            <w:r>
              <w:rPr/>
              <w:t xml:space="preserve"> и статика</w:t>
            </w:r>
          </w:p>
        </w:tc>
        <w:tc>
          <w:tcPr>
            <w:tcW w:w="2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75 %</w:t>
            </w:r>
          </w:p>
        </w:tc>
        <w:tc>
          <w:tcPr>
            <w:tcW w:w="3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90 %</w:t>
            </w:r>
          </w:p>
        </w:tc>
      </w:tr>
      <w:tr>
        <w:trPr/>
        <w:tc>
          <w:tcPr>
            <w:tcW w:w="36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Журналы</w:t>
            </w:r>
          </w:p>
        </w:tc>
        <w:tc>
          <w:tcPr>
            <w:tcW w:w="2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75 %</w:t>
            </w:r>
          </w:p>
        </w:tc>
        <w:tc>
          <w:tcPr>
            <w:tcW w:w="3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90 %</w:t>
            </w:r>
          </w:p>
        </w:tc>
      </w:tr>
      <w:tr>
        <w:trPr/>
        <w:tc>
          <w:tcPr>
            <w:tcW w:w="36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Хранилище резервных копий</w:t>
            </w:r>
          </w:p>
        </w:tc>
        <w:tc>
          <w:tcPr>
            <w:tcW w:w="2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70 %</w:t>
            </w:r>
          </w:p>
        </w:tc>
        <w:tc>
          <w:tcPr>
            <w:tcW w:w="3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85 %</w:t>
            </w:r>
          </w:p>
        </w:tc>
      </w:tr>
      <w:tr>
        <w:trPr/>
        <w:tc>
          <w:tcPr>
            <w:tcW w:w="36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Свободные индексные дескрипторы</w:t>
            </w:r>
          </w:p>
        </w:tc>
        <w:tc>
          <w:tcPr>
            <w:tcW w:w="2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80 %</w:t>
            </w:r>
          </w:p>
        </w:tc>
        <w:tc>
          <w:tcPr>
            <w:tcW w:w="3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90 %</w:t>
            </w:r>
          </w:p>
        </w:tc>
      </w:tr>
    </w:tbl>
    <w:p>
      <w:pPr>
        <w:pStyle w:val="BodyText"/>
        <w:bidi w:val="0"/>
        <w:jc w:val="left"/>
        <w:rPr/>
      </w:pPr>
      <w:r>
        <w:rPr/>
        <w:t>Исчерпание дискового пространства под каталогом данных PostgreSQL приводит к прекращению записи и является отказом системы. Контроль свободного места обязателен и входит в состав ежедневных проверок руководства системного программиста.</w:t>
      </w:r>
    </w:p>
    <w:p>
      <w:pPr>
        <w:pStyle w:val="Heading1"/>
        <w:bidi w:val="0"/>
        <w:rPr/>
      </w:pPr>
      <w:r>
        <w:rPr/>
        <w:t>6. ТРЕБОВАНИЯ К ВАРИАНТАМ РАЗМЕЩЕНИЯ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3"/>
        <w:gridCol w:w="3387"/>
        <w:gridCol w:w="4725"/>
      </w:tblGrid>
      <w:tr>
        <w:trPr>
          <w:tblHeader w:val="true"/>
        </w:trPr>
        <w:tc>
          <w:tcPr>
            <w:tcW w:w="175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Вариант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Условия применения</w:t>
            </w:r>
          </w:p>
        </w:tc>
        <w:tc>
          <w:tcPr>
            <w:tcW w:w="472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Ограничения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Виртуальная машина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основной вариант</w:t>
            </w:r>
          </w:p>
        </w:tc>
        <w:tc>
          <w:tcPr>
            <w:tcW w:w="47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ресурсы должны быть выделены гарантированно, без переподписки процессора и памяти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Физический сервер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 требовании изоляции</w:t>
            </w:r>
          </w:p>
        </w:tc>
        <w:tc>
          <w:tcPr>
            <w:tcW w:w="47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усложняет резервирование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Контейнеры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 наличии в организации платформы контейнеризации</w:t>
            </w:r>
          </w:p>
        </w:tc>
        <w:tc>
          <w:tcPr>
            <w:tcW w:w="47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требует отдельного решения по постоянным томам для </w:t>
            </w:r>
            <w:r>
              <w:rPr>
                <w:rStyle w:val="SourceText"/>
              </w:rPr>
              <w:t>MEDIA_ROOT</w:t>
            </w:r>
            <w:r>
              <w:rPr/>
              <w:t>, тайлов и данных базы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Требование к виртуальной среде.</w:t>
      </w:r>
      <w:r>
        <w:rPr/>
        <w:t xml:space="preserve"> Переподписка процессорных ресурсов для узла базы данных не допускается. Динамическое перераспределение оперативной памяти между виртуальными машинами для узла базы данных не применяется: оно приводит к непредсказуемой деградации.</w:t>
      </w:r>
    </w:p>
    <w:p>
      <w:pPr>
        <w:pStyle w:val="BodyText"/>
        <w:bidi w:val="0"/>
        <w:jc w:val="left"/>
        <w:rPr/>
      </w:pPr>
      <w:r>
        <w:rPr>
          <w:rStyle w:val="Strong"/>
        </w:rPr>
        <w:t>Требование к постоянным томам.</w:t>
      </w:r>
      <w:r>
        <w:rPr/>
        <w:t xml:space="preserve"> При размещении в контейнерах постоянными томами должны быть обеспечены: каталог данных PostgreSQL, </w:t>
      </w:r>
      <w:r>
        <w:rPr>
          <w:rStyle w:val="SourceText"/>
        </w:rPr>
        <w:t>MEDIA_ROOT</w:t>
      </w:r>
      <w:r>
        <w:rPr/>
        <w:t>, каталог тайлов в дереве статики. Размещение тайлов в слое образа контейнера приводит к их утрате при обновлении образа.</w:t>
      </w:r>
    </w:p>
    <w:p>
      <w:pPr>
        <w:pStyle w:val="Heading1"/>
        <w:bidi w:val="0"/>
        <w:rPr/>
      </w:pPr>
      <w:r>
        <w:rPr/>
        <w:t>7. ТРЕБОВАНИЯ К СЕТИ</w:t>
      </w:r>
    </w:p>
    <w:p>
      <w:pPr>
        <w:pStyle w:val="Heading2"/>
        <w:bidi w:val="0"/>
        <w:jc w:val="left"/>
        <w:rPr/>
      </w:pPr>
      <w:r>
        <w:rPr/>
        <w:t>7.1. Сетевые взаимодействия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06"/>
        <w:gridCol w:w="2532"/>
        <w:gridCol w:w="3527"/>
      </w:tblGrid>
      <w:tr>
        <w:trPr>
          <w:tblHeader w:val="true"/>
        </w:trPr>
        <w:tc>
          <w:tcPr>
            <w:tcW w:w="380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Направление</w:t>
            </w:r>
          </w:p>
        </w:tc>
        <w:tc>
          <w:tcPr>
            <w:tcW w:w="253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Протокол и порт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Требование</w:t>
            </w:r>
          </w:p>
        </w:tc>
      </w:tr>
      <w:tr>
        <w:trPr/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Рабочее место → сервер приложения</w:t>
            </w:r>
          </w:p>
        </w:tc>
        <w:tc>
          <w:tcPr>
            <w:tcW w:w="2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TCP/443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обязательно</w:t>
            </w:r>
          </w:p>
        </w:tc>
      </w:tr>
      <w:tr>
        <w:trPr/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Сервер приложения → сервер базы данных</w:t>
            </w:r>
          </w:p>
        </w:tc>
        <w:tc>
          <w:tcPr>
            <w:tcW w:w="2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TCP/5432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закрыт для пользовательских сегментов</w:t>
            </w:r>
          </w:p>
        </w:tc>
      </w:tr>
      <w:tr>
        <w:trPr/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Сервер приложения → Redis</w:t>
            </w:r>
          </w:p>
        </w:tc>
        <w:tc>
          <w:tcPr>
            <w:tcW w:w="2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TCP/6379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закрыт для пользовательских сегментов</w:t>
            </w:r>
          </w:p>
        </w:tc>
      </w:tr>
      <w:tr>
        <w:trPr/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Сервер приложения → внешние системы</w:t>
            </w:r>
          </w:p>
        </w:tc>
        <w:tc>
          <w:tcPr>
            <w:tcW w:w="2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TCP/443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перечню согласованных адресов</w:t>
            </w:r>
          </w:p>
        </w:tc>
      </w:tr>
      <w:tr>
        <w:trPr/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Внешние системы → сервер приложения</w:t>
            </w:r>
          </w:p>
        </w:tc>
        <w:tc>
          <w:tcPr>
            <w:tcW w:w="2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TCP/443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перечню согласованных адресов</w:t>
            </w:r>
          </w:p>
        </w:tc>
      </w:tr>
      <w:tr>
        <w:trPr/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Сервер → хранилище резервных копий</w:t>
            </w:r>
          </w:p>
        </w:tc>
        <w:tc>
          <w:tcPr>
            <w:tcW w:w="2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применяемому решению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отдельный сегмент</w:t>
            </w:r>
          </w:p>
        </w:tc>
      </w:tr>
      <w:tr>
        <w:trPr/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Средства администрирования → серверы</w:t>
            </w:r>
          </w:p>
        </w:tc>
        <w:tc>
          <w:tcPr>
            <w:tcW w:w="2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TCP/22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 выделенного сегмента</w:t>
            </w:r>
          </w:p>
        </w:tc>
      </w:tr>
    </w:tbl>
    <w:p>
      <w:pPr>
        <w:pStyle w:val="Heading2"/>
        <w:bidi w:val="0"/>
        <w:jc w:val="left"/>
        <w:rPr/>
      </w:pPr>
      <w:r>
        <w:rPr/>
        <w:t>7.2. Характеристики каналов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50"/>
        <w:gridCol w:w="2334"/>
        <w:gridCol w:w="2381"/>
      </w:tblGrid>
      <w:tr>
        <w:trPr>
          <w:tblHeader w:val="true"/>
        </w:trPr>
        <w:tc>
          <w:tcPr>
            <w:tcW w:w="515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Показатель</w:t>
            </w:r>
          </w:p>
        </w:tc>
        <w:tc>
          <w:tcPr>
            <w:tcW w:w="233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МИН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РЕК</w:t>
            </w:r>
          </w:p>
        </w:tc>
      </w:tr>
      <w:tr>
        <w:trPr/>
        <w:tc>
          <w:tcPr>
            <w:tcW w:w="5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Пропускная способность до рабочих мест</w:t>
            </w:r>
          </w:p>
        </w:tc>
        <w:tc>
          <w:tcPr>
            <w:tcW w:w="2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 Мбит/с на пользователя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 Мбит/с на пользователя</w:t>
            </w:r>
          </w:p>
        </w:tc>
      </w:tr>
      <w:tr>
        <w:trPr/>
        <w:tc>
          <w:tcPr>
            <w:tcW w:w="5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Пропускная способность между сервером приложения и базой данных</w:t>
            </w:r>
          </w:p>
        </w:tc>
        <w:tc>
          <w:tcPr>
            <w:tcW w:w="2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Гбит/с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 Гбит/с</w:t>
            </w:r>
          </w:p>
        </w:tc>
      </w:tr>
      <w:tr>
        <w:trPr/>
        <w:tc>
          <w:tcPr>
            <w:tcW w:w="5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Круговая задержка между сервером приложения и базой данных</w:t>
            </w:r>
          </w:p>
        </w:tc>
        <w:tc>
          <w:tcPr>
            <w:tcW w:w="2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более 2 мс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более 0,5 мс</w:t>
            </w:r>
          </w:p>
        </w:tc>
      </w:tr>
      <w:tr>
        <w:trPr/>
        <w:tc>
          <w:tcPr>
            <w:tcW w:w="5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Круговая задержка до рабочего места</w:t>
            </w:r>
          </w:p>
        </w:tc>
        <w:tc>
          <w:tcPr>
            <w:tcW w:w="2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более 100 мс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более 30 мс</w:t>
            </w:r>
          </w:p>
        </w:tc>
      </w:tr>
    </w:tbl>
    <w:p>
      <w:pPr>
        <w:pStyle w:val="BodyText"/>
        <w:bidi w:val="0"/>
        <w:jc w:val="left"/>
        <w:rPr/>
      </w:pPr>
      <w:r>
        <w:rPr/>
        <w:t>Требование к полосе на рабочее место обусловлено загрузкой тайлов подложки при первом открытии карты и её масштабировании. Прочие разделы системы существенно менее требовательны.</w:t>
      </w:r>
    </w:p>
    <w:p>
      <w:pPr>
        <w:pStyle w:val="BodyText"/>
        <w:bidi w:val="0"/>
        <w:jc w:val="left"/>
        <w:rPr/>
      </w:pPr>
      <w:r>
        <w:rPr>
          <w:rStyle w:val="Strong"/>
        </w:rPr>
        <w:t>Требование.</w:t>
      </w:r>
      <w:r>
        <w:rPr/>
        <w:t xml:space="preserve"> Размещение сервера приложения и сервера базы данных в разных площадках без выделенного канала не допускается: задержка сетевого взаимодействия непосредственно определяет время отклика интерфейса.</w:t>
      </w:r>
    </w:p>
    <w:p>
      <w:pPr>
        <w:pStyle w:val="Heading2"/>
        <w:bidi w:val="0"/>
        <w:jc w:val="left"/>
        <w:rPr/>
      </w:pPr>
      <w:r>
        <w:rPr/>
        <w:t>7.3. Имена и сертификаты</w:t>
      </w:r>
    </w:p>
    <w:tbl>
      <w:tblPr>
        <w:tblW w:w="886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868"/>
      </w:tblGrid>
      <w:tr>
        <w:trPr>
          <w:tblHeader w:val="true"/>
        </w:trPr>
        <w:tc>
          <w:tcPr>
            <w:tcW w:w="886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Требование</w:t>
            </w:r>
          </w:p>
        </w:tc>
      </w:tr>
      <w:tr>
        <w:trPr/>
        <w:tc>
          <w:tcPr>
            <w:tcW w:w="88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 системой закрепляется постоянное доменное имя</w:t>
            </w:r>
          </w:p>
        </w:tc>
      </w:tr>
      <w:tr>
        <w:trPr/>
        <w:tc>
          <w:tcPr>
            <w:tcW w:w="88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Имя разрешается во внутренней системе доменных имён</w:t>
            </w:r>
          </w:p>
        </w:tc>
      </w:tr>
      <w:tr>
        <w:trPr/>
        <w:tc>
          <w:tcPr>
            <w:tcW w:w="88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Установлен сертификат утверждённого удостоверяющего центра с полной цепочкой</w:t>
            </w:r>
          </w:p>
        </w:tc>
      </w:tr>
      <w:tr>
        <w:trPr/>
        <w:tc>
          <w:tcPr>
            <w:tcW w:w="88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Настроен контроль срока действия сертификата с заблаговременным уведомлением</w:t>
            </w:r>
          </w:p>
        </w:tc>
      </w:tr>
      <w:tr>
        <w:trPr/>
        <w:tc>
          <w:tcPr>
            <w:tcW w:w="88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Обращения по незащищённому протоколу перенаправляются либо закрыты</w:t>
            </w:r>
          </w:p>
        </w:tc>
      </w:tr>
    </w:tbl>
    <w:p>
      <w:pPr>
        <w:pStyle w:val="Heading1"/>
        <w:bidi w:val="0"/>
        <w:rPr/>
      </w:pPr>
      <w:r>
        <w:rPr/>
        <w:t>8. ТРЕБОВАНИЯ К РАБОЧИМ МЕСТАМ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30"/>
        <w:gridCol w:w="2968"/>
        <w:gridCol w:w="986"/>
        <w:gridCol w:w="4081"/>
      </w:tblGrid>
      <w:tr>
        <w:trPr>
          <w:tblHeader w:val="true"/>
        </w:trPr>
        <w:tc>
          <w:tcPr>
            <w:tcW w:w="183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Ресурс</w:t>
            </w:r>
          </w:p>
        </w:tc>
        <w:tc>
          <w:tcPr>
            <w:tcW w:w="296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МИН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РЕК</w:t>
            </w:r>
          </w:p>
        </w:tc>
        <w:tc>
          <w:tcPr>
            <w:tcW w:w="408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Примечание</w:t>
            </w:r>
          </w:p>
        </w:tc>
      </w:tr>
      <w:tr>
        <w:trPr/>
        <w:tc>
          <w:tcPr>
            <w:tcW w:w="1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Процессор</w:t>
            </w:r>
          </w:p>
        </w:tc>
        <w:tc>
          <w:tcPr>
            <w:tcW w:w="2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ядра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 ядра</w:t>
            </w:r>
          </w:p>
        </w:tc>
        <w:tc>
          <w:tcPr>
            <w:tcW w:w="4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отрисовка карты и топологии выполняется на стороне браузера</w:t>
            </w:r>
          </w:p>
        </w:tc>
      </w:tr>
      <w:tr>
        <w:trPr/>
        <w:tc>
          <w:tcPr>
            <w:tcW w:w="1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Оперативная память</w:t>
            </w:r>
          </w:p>
        </w:tc>
        <w:tc>
          <w:tcPr>
            <w:tcW w:w="2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 ГБ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 ГБ</w:t>
            </w:r>
          </w:p>
        </w:tc>
        <w:tc>
          <w:tcPr>
            <w:tcW w:w="4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вкладка с картой при большом числе маркеров требует существенной памяти</w:t>
            </w:r>
          </w:p>
        </w:tc>
      </w:tr>
      <w:tr>
        <w:trPr/>
        <w:tc>
          <w:tcPr>
            <w:tcW w:w="1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Разрешение экрана</w:t>
            </w:r>
          </w:p>
        </w:tc>
        <w:tc>
          <w:tcPr>
            <w:tcW w:w="2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1366 × 768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1920 × 1080</w:t>
            </w:r>
          </w:p>
        </w:tc>
        <w:tc>
          <w:tcPr>
            <w:tcW w:w="4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для работы с картой и топологией — не менее 1600 × 900</w:t>
            </w:r>
          </w:p>
        </w:tc>
      </w:tr>
      <w:tr>
        <w:trPr/>
        <w:tc>
          <w:tcPr>
            <w:tcW w:w="1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Браузер</w:t>
            </w:r>
          </w:p>
        </w:tc>
        <w:tc>
          <w:tcPr>
            <w:tcW w:w="2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актуальная версия Chromium, Chrome, Firefox или Edge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4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JavaScript и cookie разрешены</w:t>
            </w:r>
          </w:p>
        </w:tc>
      </w:tr>
      <w:tr>
        <w:trPr/>
        <w:tc>
          <w:tcPr>
            <w:tcW w:w="1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Сетевое подключение</w:t>
            </w:r>
          </w:p>
        </w:tc>
        <w:tc>
          <w:tcPr>
            <w:tcW w:w="2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 Мбит/с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 Мбит/с</w:t>
            </w:r>
          </w:p>
        </w:tc>
        <w:tc>
          <w:tcPr>
            <w:tcW w:w="4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left"/>
        <w:rPr/>
      </w:pPr>
      <w:r>
        <w:rPr/>
        <w:t>Рабочее место администратора NetBox и инженера кабельной инфраструктуры комплектуется по категории РЕК: эти роли работают с картой, топологией и схемами разварки постоянно.</w:t>
      </w:r>
    </w:p>
    <w:p>
      <w:pPr>
        <w:pStyle w:val="BodyText"/>
        <w:bidi w:val="0"/>
        <w:jc w:val="left"/>
        <w:rPr/>
      </w:pPr>
      <w:r>
        <w:rPr/>
        <w:t>Установка дополнительного программного обеспечения на рабочее место не требуется — требование ФТ-OPS-01.</w:t>
      </w:r>
    </w:p>
    <w:p>
      <w:pPr>
        <w:pStyle w:val="Heading1"/>
        <w:bidi w:val="0"/>
        <w:rPr/>
      </w:pPr>
      <w:r>
        <w:rPr/>
        <w:t>9. ТРЕБОВАНИЯ К РЕЗЕРВНОМУ КОПИРОВАНИЮ И ОТКАЗОУСТОЙЧИВОСТИ</w:t>
      </w:r>
    </w:p>
    <w:p>
      <w:pPr>
        <w:pStyle w:val="Heading2"/>
        <w:bidi w:val="0"/>
        <w:jc w:val="left"/>
        <w:rPr/>
      </w:pPr>
      <w:r>
        <w:rPr/>
        <w:t>9.1. Состав копируемых данных</w:t>
      </w:r>
    </w:p>
    <w:p>
      <w:pPr>
        <w:pStyle w:val="BodyText"/>
        <w:bidi w:val="0"/>
        <w:jc w:val="left"/>
        <w:rPr/>
      </w:pPr>
      <w:r>
        <w:rPr/>
        <w:t xml:space="preserve">Состав установлен приложением Б документа </w:t>
      </w:r>
      <w:r>
        <w:rPr>
          <w:rStyle w:val="SourceText"/>
        </w:rPr>
        <w:t>RU.__________.00001-01 13 01</w:t>
      </w:r>
      <w:r>
        <w:rPr/>
        <w:t xml:space="preserve"> и включает восемь позиций. Технические средства должны обеспечивать копирование всех позиций, в том числе: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каталога </w:t>
      </w:r>
      <w:r>
        <w:rPr>
          <w:rStyle w:val="SourceText"/>
        </w:rPr>
        <w:t>MEDIA_ROOT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каталога тайлов в дереве статики</w:t>
      </w:r>
      <w:r>
        <w:rPr/>
        <w:t xml:space="preserve"> — копированием медиафайлов он не сохраняется;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исходного изображения растровой подложки. </w:t>
      </w:r>
    </w:p>
    <w:p>
      <w:pPr>
        <w:pStyle w:val="Heading2"/>
        <w:bidi w:val="0"/>
        <w:jc w:val="left"/>
        <w:rPr/>
      </w:pPr>
      <w:r>
        <w:rPr/>
        <w:t>9.2. Объём хранилища резервных копий</w:t>
      </w:r>
    </w:p>
    <w:tbl>
      <w:tblPr>
        <w:tblW w:w="851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12"/>
        <w:gridCol w:w="5602"/>
      </w:tblGrid>
      <w:tr>
        <w:trPr>
          <w:tblHeader w:val="true"/>
        </w:trPr>
        <w:tc>
          <w:tcPr>
            <w:tcW w:w="291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Составляющая</w:t>
            </w:r>
          </w:p>
        </w:tc>
        <w:tc>
          <w:tcPr>
            <w:tcW w:w="560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Расчёт</w:t>
            </w:r>
          </w:p>
        </w:tc>
      </w:tr>
      <w:tr>
        <w:trPr/>
        <w:tc>
          <w:tcPr>
            <w:tcW w:w="2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Полная копия базы данных</w:t>
            </w:r>
          </w:p>
        </w:tc>
        <w:tc>
          <w:tcPr>
            <w:tcW w:w="56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объём логической копии, около 1 % каталога данных</w:t>
            </w:r>
          </w:p>
        </w:tc>
      </w:tr>
      <w:tr>
        <w:trPr/>
        <w:tc>
          <w:tcPr>
            <w:tcW w:w="2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Копия файловых данных</w:t>
            </w:r>
          </w:p>
        </w:tc>
        <w:tc>
          <w:tcPr>
            <w:tcW w:w="56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объём </w:t>
            </w:r>
            <w:r>
              <w:rPr>
                <w:rStyle w:val="SourceText"/>
              </w:rPr>
              <w:t>MEDIA_ROOT</w:t>
            </w:r>
            <w:r>
              <w:rPr/>
              <w:t xml:space="preserve"> и каталога тайлов</w:t>
            </w:r>
          </w:p>
        </w:tc>
      </w:tr>
      <w:tr>
        <w:trPr/>
        <w:tc>
          <w:tcPr>
            <w:tcW w:w="2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Глубина хранения</w:t>
            </w:r>
          </w:p>
        </w:tc>
        <w:tc>
          <w:tcPr>
            <w:tcW w:w="56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хранимых копий по регламенту организации</w:t>
            </w:r>
          </w:p>
        </w:tc>
      </w:tr>
      <w:tr>
        <w:trPr/>
        <w:tc>
          <w:tcPr>
            <w:tcW w:w="2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Запас</w:t>
            </w:r>
          </w:p>
        </w:tc>
        <w:tc>
          <w:tcPr>
            <w:tcW w:w="56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30 %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Минимальный объём хранилища — трёхкратный объём копируемых данных, рекомендуемый — определяется глубиной хранения по регламенту организации.</w:t>
      </w:r>
    </w:p>
    <w:p>
      <w:pPr>
        <w:pStyle w:val="Heading2"/>
        <w:bidi w:val="0"/>
        <w:jc w:val="left"/>
        <w:rPr/>
      </w:pPr>
      <w:r>
        <w:rPr/>
        <w:t>9.3. Требования к отказоустойчивости</w:t>
      </w:r>
    </w:p>
    <w:tbl>
      <w:tblPr>
        <w:tblW w:w="950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209"/>
        <w:gridCol w:w="1300"/>
      </w:tblGrid>
      <w:tr>
        <w:trPr>
          <w:tblHeader w:val="true"/>
        </w:trPr>
        <w:tc>
          <w:tcPr>
            <w:tcW w:w="820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Требование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Категория</w:t>
            </w:r>
          </w:p>
        </w:tc>
      </w:tr>
      <w:tr>
        <w:trPr/>
        <w:tc>
          <w:tcPr>
            <w:tcW w:w="8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Резервный источник электропитания серверов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МИН</w:t>
            </w:r>
          </w:p>
        </w:tc>
      </w:tr>
      <w:tr>
        <w:trPr/>
        <w:tc>
          <w:tcPr>
            <w:tcW w:w="8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Резервирование дисковой подсистемы средствами массива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МИН</w:t>
            </w:r>
          </w:p>
        </w:tc>
      </w:tr>
      <w:tr>
        <w:trPr/>
        <w:tc>
          <w:tcPr>
            <w:tcW w:w="8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Резервный сетевой путь до серверов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</w:t>
            </w:r>
          </w:p>
        </w:tc>
      </w:tr>
      <w:tr>
        <w:trPr/>
        <w:tc>
          <w:tcPr>
            <w:tcW w:w="8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Возможность развернуть изолированный контур для проверки восстановления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МИН</w:t>
            </w:r>
          </w:p>
        </w:tc>
      </w:tr>
      <w:tr>
        <w:trPr/>
        <w:tc>
          <w:tcPr>
            <w:tcW w:w="8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Резервный узел приложения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ЖЕЛ</w:t>
            </w:r>
          </w:p>
        </w:tc>
      </w:tr>
      <w:tr>
        <w:trPr/>
        <w:tc>
          <w:tcPr>
            <w:tcW w:w="8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Реплика базы данных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ЖЕЛ</w:t>
            </w:r>
          </w:p>
        </w:tc>
      </w:tr>
    </w:tbl>
    <w:p>
      <w:pPr>
        <w:pStyle w:val="BodyText"/>
        <w:bidi w:val="0"/>
        <w:jc w:val="left"/>
        <w:rPr/>
      </w:pPr>
      <w:r>
        <w:rPr/>
        <w:t>Целевое время восстановления и целевая точка восстановления устанавливаются требованиями ФТ-SAF-05 и ФТ-SAF-06 и проверяются испытанием И-57. Технические средства должны обеспечивать достижение установленных значений: при жёстком требовании к времени восстановления резервный узел и реплика переходят из категории ЖЕЛ в МИН.</w:t>
      </w:r>
    </w:p>
    <w:p>
      <w:pPr>
        <w:pStyle w:val="Heading1"/>
        <w:bidi w:val="0"/>
        <w:rPr/>
      </w:pPr>
      <w:r>
        <w:rPr/>
        <w:t>10. ТРЕБОВАНИЯ К СИСТЕМНОМУ ПРОГРАММНОМУ ОБЕСПЕЧЕНИЮ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79"/>
        <w:gridCol w:w="5089"/>
        <w:gridCol w:w="2497"/>
      </w:tblGrid>
      <w:tr>
        <w:trPr>
          <w:tblHeader w:val="true"/>
        </w:trPr>
        <w:tc>
          <w:tcPr>
            <w:tcW w:w="227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Компонент</w:t>
            </w:r>
          </w:p>
        </w:tc>
        <w:tc>
          <w:tcPr>
            <w:tcW w:w="508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Требование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Источник требования</w:t>
            </w:r>
          </w:p>
        </w:tc>
      </w:tr>
      <w:tr>
        <w:trPr/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Операционная система</w:t>
            </w:r>
          </w:p>
        </w:tc>
        <w:tc>
          <w:tcPr>
            <w:tcW w:w="5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серверный дистрибутив Linux с действующей поддержкой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Python</w:t>
            </w:r>
          </w:p>
        </w:tc>
        <w:tc>
          <w:tcPr>
            <w:tcW w:w="5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3.12, 3.13 или 3.14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документация NetBox 4.6</w:t>
            </w:r>
          </w:p>
        </w:tc>
      </w:tr>
      <w:tr>
        <w:trPr/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  <w:tc>
          <w:tcPr>
            <w:tcW w:w="5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не ниже 14; </w:t>
            </w:r>
            <w:r>
              <w:rPr>
                <w:rStyle w:val="Strong"/>
              </w:rPr>
              <w:t>не ниже 15 — при переходе на NetBox 4.7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документация NetBox 4.6</w:t>
            </w:r>
          </w:p>
        </w:tc>
      </w:tr>
      <w:tr>
        <w:trPr/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Redis</w:t>
            </w:r>
          </w:p>
        </w:tc>
        <w:tc>
          <w:tcPr>
            <w:tcW w:w="5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не ниже 5.0; </w:t>
            </w:r>
            <w:r>
              <w:rPr>
                <w:rStyle w:val="Strong"/>
              </w:rPr>
              <w:t>не ниже 6.0 — при переходе на NetBox 4.7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документация NetBox 4.6</w:t>
            </w:r>
          </w:p>
        </w:tc>
      </w:tr>
      <w:tr>
        <w:trPr/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Обратный прокси</w:t>
            </w:r>
          </w:p>
        </w:tc>
        <w:tc>
          <w:tcPr>
            <w:tcW w:w="5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nginx либо равнозначный с поддержкой TLS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Сервер приложения</w:t>
            </w:r>
          </w:p>
        </w:tc>
        <w:tc>
          <w:tcPr>
            <w:tcW w:w="5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gunicorn либо равнозначный WSGI-сервер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Требование к планированию.</w:t>
      </w:r>
      <w:r>
        <w:rPr/>
        <w:t xml:space="preserve"> Поддержка PostgreSQL 14 и Redis версий ниже 6.0 объявлена устаревшей и будет прекращена в NetBox 4.7. Закупка и развёртывание PostgreSQL 14 либо Redis 5.x создаёт необходимость внепланового обновления при первом же обновлении платформы. Развёртывать следует PostgreSQL не ниже 15 и Redis не ниже 6.0.</w:t>
      </w:r>
    </w:p>
    <w:p>
      <w:pPr>
        <w:pStyle w:val="BodyText"/>
        <w:bidi w:val="0"/>
        <w:jc w:val="left"/>
        <w:rPr/>
      </w:pPr>
      <w:r>
        <w:rPr/>
        <w:t>На стенде применены PostgreSQL 15.14 и Redis 8.8.0 — обе версии удовлетворяют требованию с запасом.</w:t>
      </w:r>
    </w:p>
    <w:p>
      <w:pPr>
        <w:pStyle w:val="BodyText"/>
        <w:bidi w:val="0"/>
        <w:jc w:val="left"/>
        <w:rPr/>
      </w:pPr>
      <w:r>
        <w:rPr/>
        <w:t xml:space="preserve">Требование к минимальной версии NetBox со стороны плагина </w:t>
      </w:r>
      <w:r>
        <w:rPr>
          <w:rStyle w:val="SourceText"/>
        </w:rPr>
        <w:t>netbox_map</w:t>
      </w:r>
      <w:r>
        <w:rPr/>
        <w:t xml:space="preserve"> 0.11.0 — не ниже 4.5.0.</w:t>
      </w:r>
    </w:p>
    <w:p>
      <w:pPr>
        <w:pStyle w:val="Heading1"/>
        <w:bidi w:val="0"/>
        <w:rPr/>
      </w:pPr>
      <w:r>
        <w:rPr/>
        <w:t>11. ТРЕБОВАНИЯ К ЭЛЕКТРОПИТАНИЮ И РАЗМЕЩЕНИЮ</w:t>
      </w:r>
    </w:p>
    <w:p>
      <w:pPr>
        <w:pStyle w:val="BodyText"/>
        <w:bidi w:val="0"/>
        <w:jc w:val="left"/>
        <w:rPr/>
      </w:pPr>
      <w:r>
        <w:rPr/>
        <w:t>Требования применяются при размещении на физическом оборудовании организации. При размещении в виртуальной среде или у поставщика услуг требования настоящего раздела обеспечиваются владельцем соответствующей платформы, что фиксируется в паспорте информационной системы.</w:t>
      </w:r>
    </w:p>
    <w:tbl>
      <w:tblPr>
        <w:tblW w:w="933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034"/>
        <w:gridCol w:w="1300"/>
      </w:tblGrid>
      <w:tr>
        <w:trPr>
          <w:tblHeader w:val="true"/>
        </w:trPr>
        <w:tc>
          <w:tcPr>
            <w:tcW w:w="803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Требование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Категория</w:t>
            </w:r>
          </w:p>
        </w:tc>
      </w:tr>
      <w:tr>
        <w:trPr/>
        <w:tc>
          <w:tcPr>
            <w:tcW w:w="8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Размещение в помещении с контролируемым доступом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МИН</w:t>
            </w:r>
          </w:p>
        </w:tc>
      </w:tr>
      <w:tr>
        <w:trPr/>
        <w:tc>
          <w:tcPr>
            <w:tcW w:w="8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Резервный источник бесперебойного питания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МИН</w:t>
            </w:r>
          </w:p>
        </w:tc>
      </w:tr>
      <w:tr>
        <w:trPr/>
        <w:tc>
          <w:tcPr>
            <w:tcW w:w="8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Корректное завершение работы при исчерпании заряда источника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МИН</w:t>
            </w:r>
          </w:p>
        </w:tc>
      </w:tr>
      <w:tr>
        <w:trPr/>
        <w:tc>
          <w:tcPr>
            <w:tcW w:w="8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Поддержание температурного режима согласно документации оборудования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МИН</w:t>
            </w:r>
          </w:p>
        </w:tc>
      </w:tr>
      <w:tr>
        <w:trPr/>
        <w:tc>
          <w:tcPr>
            <w:tcW w:w="8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Два независимых ввода электропитания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ЖЕЛ</w:t>
            </w:r>
          </w:p>
        </w:tc>
      </w:tr>
    </w:tbl>
    <w:p>
      <w:pPr>
        <w:pStyle w:val="BodyText"/>
        <w:bidi w:val="0"/>
        <w:jc w:val="left"/>
        <w:rPr/>
      </w:pPr>
      <w:r>
        <w:rPr/>
        <w:t>Аварийное отключение электропитания без корректного завершения работы создаёт риск повреждения каталога данных PostgreSQL. Требование ФТ-SAF-08 о сохранении целостности учётных данных при аварийном завершении относится к отказу сервера приложения, а не к отказу питания сервера базы данных. Защита от второго обеспечивается исключительно средствами резервирования электропитания.</w:t>
      </w:r>
    </w:p>
    <w:p>
      <w:pPr>
        <w:pStyle w:val="Heading1"/>
        <w:bidi w:val="0"/>
        <w:rPr/>
      </w:pPr>
      <w:r>
        <w:rPr/>
        <w:t>12. ПОРЯДОК ПЕРЕСМОТРА ТРЕБОВАНИЙ</w:t>
      </w:r>
    </w:p>
    <w:p>
      <w:pPr>
        <w:pStyle w:val="BodyText"/>
        <w:bidi w:val="0"/>
        <w:jc w:val="left"/>
        <w:rPr/>
      </w:pPr>
      <w:r>
        <w:rPr/>
        <w:t>Требования пересматриваются: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ежегодно — по фактическим показателям использования ресурсов;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при достижении любого порога предупреждения раздела 5.6;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при замене растровой подложки карты;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при изменении числа пользователей более чем на треть;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при обновлении NetBox на версию с изменёнными требованиями к системному программному обеспечению;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при изменении срока хранения журнала изменений. </w:t>
      </w:r>
    </w:p>
    <w:p>
      <w:pPr>
        <w:pStyle w:val="BodyText"/>
        <w:bidi w:val="0"/>
        <w:jc w:val="left"/>
        <w:rPr/>
      </w:pPr>
      <w:r>
        <w:rPr/>
        <w:t>Фактические показатели использования ресурсов за год фиксируются в протоколе и прилагаются к пересмотру. Пересмотр без фактических данных о потреблении не выполняется.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ПРИЛОЖЕНИЕ А</w:t>
      </w:r>
    </w:p>
    <w:p>
      <w:pPr>
        <w:pStyle w:val="Heading2"/>
        <w:bidi w:val="0"/>
        <w:jc w:val="left"/>
        <w:rPr/>
      </w:pPr>
      <w:r>
        <w:rPr/>
        <w:t>(обязательное) Методика расчёта</w:t>
      </w:r>
    </w:p>
    <w:p>
      <w:pPr>
        <w:pStyle w:val="Heading3"/>
        <w:bidi w:val="0"/>
        <w:jc w:val="left"/>
        <w:rPr/>
      </w:pPr>
      <w:r>
        <w:rPr/>
        <w:t>А.1. Параметры нарезки тайлов</w:t>
      </w:r>
    </w:p>
    <w:p>
      <w:pPr>
        <w:pStyle w:val="BodyText"/>
        <w:bidi w:val="0"/>
        <w:jc w:val="left"/>
        <w:rPr/>
      </w:pPr>
      <w:r>
        <w:rPr/>
        <w:t xml:space="preserve">Параметры установлены анализом состава плагина </w:t>
      </w:r>
      <w:r>
        <w:rPr>
          <w:rStyle w:val="SourceText"/>
        </w:rPr>
        <w:t>netbox_map</w:t>
      </w:r>
      <w:r>
        <w:rPr/>
        <w:t xml:space="preserve"> 0.11.0 и не настраиваются через интерфейс:</w:t>
      </w:r>
    </w:p>
    <w:tbl>
      <w:tblPr>
        <w:tblW w:w="56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45"/>
        <w:gridCol w:w="2127"/>
      </w:tblGrid>
      <w:tr>
        <w:trPr>
          <w:tblHeader w:val="true"/>
        </w:trPr>
        <w:tc>
          <w:tcPr>
            <w:tcW w:w="354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Параметр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3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Размер тайла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256 × 256 пикселей</w:t>
            </w:r>
          </w:p>
        </w:tc>
      </w:tr>
      <w:tr>
        <w:trPr/>
        <w:tc>
          <w:tcPr>
            <w:tcW w:w="3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Формат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WebP</w:t>
            </w:r>
          </w:p>
        </w:tc>
      </w:tr>
      <w:tr>
        <w:trPr/>
        <w:tc>
          <w:tcPr>
            <w:tcW w:w="3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Качество сжатия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85</w:t>
            </w:r>
          </w:p>
        </w:tc>
      </w:tr>
      <w:tr>
        <w:trPr/>
        <w:tc>
          <w:tcPr>
            <w:tcW w:w="3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уровней масштабирования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</w:tr>
    </w:tbl>
    <w:p>
      <w:pPr>
        <w:pStyle w:val="Heading3"/>
        <w:bidi w:val="0"/>
        <w:jc w:val="left"/>
        <w:rPr/>
      </w:pPr>
      <w:r>
        <w:rPr/>
        <w:t>А.2. Расчёт числа тайлов</w:t>
      </w:r>
    </w:p>
    <w:p>
      <w:pPr>
        <w:pStyle w:val="BodyText"/>
        <w:bidi w:val="0"/>
        <w:jc w:val="left"/>
        <w:rPr/>
      </w:pPr>
      <w:r>
        <w:rPr/>
        <w:t>Число тайлов на уровне исходного разрешения: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N_нативных = ceil(Ширина / 256) × ceil(Высота / 256)</w:t>
      </w:r>
    </w:p>
    <w:p>
      <w:pPr>
        <w:pStyle w:val="BodyText"/>
        <w:bidi w:val="0"/>
        <w:jc w:val="left"/>
        <w:rPr/>
      </w:pPr>
      <w:r>
        <w:rPr/>
        <w:t>Каждый следующий уровень вниз уменьшает линейные размеры вдвое, то есть число тайлов — вчетверо. При четырёх уровнях суммарное число тайлов: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N_всего ≈ N_нативных × (1 + 1/4 + 1/16 + 1/64) = N_нативных × 1,33</w:t>
      </w:r>
    </w:p>
    <w:p>
      <w:pPr>
        <w:pStyle w:val="BodyText"/>
        <w:bidi w:val="0"/>
        <w:jc w:val="left"/>
        <w:rPr/>
      </w:pPr>
      <w:r>
        <w:rPr/>
        <w:t>Пример для подложки 20 000 × 20 000: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N_нативных = 79 × 79 = 6 241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N_всего ≈ 6 241 × 1,33 ≈ 8 300</w:t>
      </w:r>
      <w:r>
        <w:rPr/>
        <w:t xml:space="preserve"> </w:t>
      </w:r>
    </w:p>
    <w:p>
      <w:pPr>
        <w:pStyle w:val="Heading3"/>
        <w:bidi w:val="0"/>
        <w:jc w:val="left"/>
        <w:rPr/>
      </w:pPr>
      <w:r>
        <w:rPr/>
        <w:t>А.3. Расчёт объёма тайлов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Объём = N_всего × Средний_размер_тайла</w:t>
      </w:r>
    </w:p>
    <w:p>
      <w:pPr>
        <w:pStyle w:val="BodyText"/>
        <w:bidi w:val="0"/>
        <w:jc w:val="left"/>
        <w:rPr/>
      </w:pPr>
      <w:r>
        <w:rPr/>
        <w:t>Средний размер тайла в формате WebP при качестве 85 зависит от характера изображения:</w:t>
      </w:r>
    </w:p>
    <w:tbl>
      <w:tblPr>
        <w:tblW w:w="887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74"/>
        <w:gridCol w:w="2603"/>
      </w:tblGrid>
      <w:tr>
        <w:trPr>
          <w:tblHeader w:val="true"/>
        </w:trPr>
        <w:tc>
          <w:tcPr>
            <w:tcW w:w="627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Характер подложки</w:t>
            </w:r>
          </w:p>
        </w:tc>
        <w:tc>
          <w:tcPr>
            <w:tcW w:w="260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Средний размер тайла</w:t>
            </w:r>
          </w:p>
        </w:tc>
      </w:tr>
      <w:tr>
        <w:trPr/>
        <w:tc>
          <w:tcPr>
            <w:tcW w:w="6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Чертёж, схема, план с преобладанием однотонных областей</w:t>
            </w:r>
          </w:p>
        </w:tc>
        <w:tc>
          <w:tcPr>
            <w:tcW w:w="26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5–15 КБ</w:t>
            </w:r>
          </w:p>
        </w:tc>
      </w:tr>
      <w:tr>
        <w:trPr/>
        <w:tc>
          <w:tcPr>
            <w:tcW w:w="6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Смешанное изображение</w:t>
            </w:r>
          </w:p>
        </w:tc>
        <w:tc>
          <w:tcPr>
            <w:tcW w:w="26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15–25 КБ</w:t>
            </w:r>
          </w:p>
        </w:tc>
      </w:tr>
      <w:tr>
        <w:trPr/>
        <w:tc>
          <w:tcPr>
            <w:tcW w:w="6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Аэрофотоснимок, растр с высокой детализацией</w:t>
            </w:r>
          </w:p>
        </w:tc>
        <w:tc>
          <w:tcPr>
            <w:tcW w:w="26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25–40 КБ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Для подложки 20 000 × 20 000 в виде чертежа: </w:t>
      </w:r>
      <w:r>
        <w:rPr>
          <w:rStyle w:val="SourceText"/>
        </w:rPr>
        <w:t>8 300 × 10 КБ ≈ 83 МБ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А.4. Порядок пробной нарезки</w:t>
      </w:r>
    </w:p>
    <w:p>
      <w:pPr>
        <w:pStyle w:val="BodyText"/>
        <w:bidi w:val="0"/>
        <w:jc w:val="left"/>
        <w:rPr/>
      </w:pPr>
      <w:r>
        <w:rPr/>
        <w:t>Расчётная оценка заменяется измерением. Порядок: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развернуть изолированный контур;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поместить фактическое изображение подложки;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выполнить нарезку средством командной строки, входящим в состав стенда;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измерить объём полученного каталога тайлов и число файлов;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зафиксировать результат в приложении Б;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применить измеренное значение в расчёте раздела 5. </w:t>
      </w:r>
    </w:p>
    <w:p>
      <w:pPr>
        <w:pStyle w:val="BodyText"/>
        <w:bidi w:val="0"/>
        <w:jc w:val="left"/>
        <w:rPr/>
      </w:pPr>
      <w:r>
        <w:rPr/>
        <w:t>Нарезка на промышленном контуре до выделения дискового пространства не выполняется.</w:t>
      </w:r>
    </w:p>
    <w:p>
      <w:pPr>
        <w:pStyle w:val="Heading3"/>
        <w:bidi w:val="0"/>
        <w:jc w:val="left"/>
        <w:rPr/>
      </w:pPr>
      <w:r>
        <w:rPr/>
        <w:t>А.5. Расчёт объёма журнала изменений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Объём = Изменений_в_сутки × Срок_хранения_суток × 5 КБ</w:t>
      </w:r>
    </w:p>
    <w:p>
      <w:pPr>
        <w:pStyle w:val="BodyText"/>
        <w:bidi w:val="0"/>
        <w:jc w:val="left"/>
        <w:rPr/>
      </w:pPr>
      <w:r>
        <w:rPr/>
        <w:t>Оценка 5 КБ на запись принята с учётом хранения состояний объекта до и после изменения. Для объектов с большим числом атрибутов и заполненными настраиваемыми полями оценка увеличивается.</w:t>
      </w:r>
    </w:p>
    <w:p>
      <w:pPr>
        <w:pStyle w:val="BodyText"/>
        <w:bidi w:val="0"/>
        <w:jc w:val="left"/>
        <w:rPr/>
      </w:pPr>
      <w:r>
        <w:rPr/>
        <w:t>Проверка оценки на действующей системе выполняется сравнением объёма соответствующей таблицы базы данных с числом записей в ней.</w:t>
      </w:r>
    </w:p>
    <w:p>
      <w:pPr>
        <w:pStyle w:val="Heading3"/>
        <w:bidi w:val="0"/>
        <w:jc w:val="left"/>
        <w:rPr/>
      </w:pPr>
      <w:r>
        <w:rPr/>
        <w:t>А.6. Расчёт объёма базы данных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Объём = 200 МБ + Число_объектов × 3 КБ + Объём_журнала_изменений + 50 % от суммы + 5 ГБ + 100 % запаса</w:t>
      </w:r>
    </w:p>
    <w:p>
      <w:pPr>
        <w:pStyle w:val="BodyText"/>
        <w:bidi w:val="0"/>
        <w:jc w:val="left"/>
        <w:rPr/>
      </w:pPr>
      <w:r>
        <w:rPr/>
        <w:t>Базовое значение 200 МБ и удельный объём 3 КБ на объект получены из замеров раздела 3.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ПРИЛОЖЕНИЕ Б</w:t>
      </w:r>
    </w:p>
    <w:p>
      <w:pPr>
        <w:pStyle w:val="Heading2"/>
        <w:bidi w:val="0"/>
        <w:jc w:val="left"/>
        <w:rPr/>
      </w:pPr>
      <w:r>
        <w:rPr/>
        <w:t>(обязательное) Спецификация к закупке</w:t>
      </w:r>
    </w:p>
    <w:p>
      <w:pPr>
        <w:pStyle w:val="BodyText"/>
        <w:bidi w:val="0"/>
        <w:jc w:val="left"/>
        <w:rPr/>
      </w:pPr>
      <w:r>
        <w:rPr/>
        <w:t>Форма заполняется по результатам расчёта и служит основанием заявки на выделение ресурсов.</w:t>
      </w:r>
    </w:p>
    <w:p>
      <w:pPr>
        <w:pStyle w:val="Heading3"/>
        <w:bidi w:val="0"/>
        <w:jc w:val="left"/>
        <w:rPr/>
      </w:pPr>
      <w:r>
        <w:rPr/>
        <w:t>Б.1. Исходные данные расчёта</w:t>
      </w:r>
    </w:p>
    <w:tbl>
      <w:tblPr>
        <w:tblW w:w="899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058"/>
        <w:gridCol w:w="1115"/>
        <w:gridCol w:w="2826"/>
      </w:tblGrid>
      <w:tr>
        <w:trPr>
          <w:tblHeader w:val="true"/>
        </w:trPr>
        <w:tc>
          <w:tcPr>
            <w:tcW w:w="505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Показатель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Источник</w:t>
            </w:r>
          </w:p>
        </w:tc>
      </w:tr>
      <w:tr>
        <w:trPr/>
        <w:tc>
          <w:tcPr>
            <w:tcW w:w="5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одновременных пользователей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прогноз владельца ИС</w:t>
            </w:r>
          </w:p>
        </w:tc>
      </w:tr>
      <w:tr>
        <w:trPr/>
        <w:tc>
          <w:tcPr>
            <w:tcW w:w="5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Прогнозируемое число учётных объектов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прогноз владельца ИС</w:t>
            </w:r>
          </w:p>
        </w:tc>
      </w:tr>
      <w:tr>
        <w:trPr/>
        <w:tc>
          <w:tcPr>
            <w:tcW w:w="5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Изменений в сутки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прогноз владельца ИС</w:t>
            </w:r>
          </w:p>
        </w:tc>
      </w:tr>
      <w:tr>
        <w:trPr/>
        <w:tc>
          <w:tcPr>
            <w:tcW w:w="5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хранения журнала изменений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регламент организации</w:t>
            </w:r>
          </w:p>
        </w:tc>
      </w:tr>
      <w:tr>
        <w:trPr/>
        <w:tc>
          <w:tcPr>
            <w:tcW w:w="5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Разрешение растровой подложки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фактическое изображение</w:t>
            </w:r>
          </w:p>
        </w:tc>
      </w:tr>
      <w:tr>
        <w:trPr/>
        <w:tc>
          <w:tcPr>
            <w:tcW w:w="5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Измеренный объём тайлов при пробной нарезке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приложение А.4</w:t>
            </w:r>
          </w:p>
        </w:tc>
      </w:tr>
      <w:tr>
        <w:trPr/>
        <w:tc>
          <w:tcPr>
            <w:tcW w:w="5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файлов тайлов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приложение А.4</w:t>
            </w:r>
          </w:p>
        </w:tc>
      </w:tr>
      <w:tr>
        <w:trPr/>
        <w:tc>
          <w:tcPr>
            <w:tcW w:w="5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Целевое время восстановления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ФТ-SAF-05</w:t>
            </w:r>
          </w:p>
        </w:tc>
      </w:tr>
      <w:tr>
        <w:trPr/>
        <w:tc>
          <w:tcPr>
            <w:tcW w:w="5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Целевая точка восстановления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ФТ-SAF-06</w:t>
            </w:r>
          </w:p>
        </w:tc>
      </w:tr>
    </w:tbl>
    <w:p>
      <w:pPr>
        <w:pStyle w:val="Heading3"/>
        <w:bidi w:val="0"/>
        <w:jc w:val="left"/>
        <w:rPr/>
      </w:pPr>
      <w:r>
        <w:rPr/>
        <w:t>Б.2. Требуемые ресурсы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55"/>
        <w:gridCol w:w="1948"/>
        <w:gridCol w:w="1921"/>
        <w:gridCol w:w="2541"/>
      </w:tblGrid>
      <w:tr>
        <w:trPr>
          <w:tblHeader w:val="true"/>
        </w:trPr>
        <w:tc>
          <w:tcPr>
            <w:tcW w:w="345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Позиция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Расчётное значение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Принятое значение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Обоснование отклонения</w:t>
            </w:r>
          </w:p>
        </w:tc>
      </w:tr>
      <w:tr>
        <w:trPr/>
        <w:tc>
          <w:tcPr>
            <w:tcW w:w="3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Процессорные ядра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Оперативная память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Объём под каталог данных PostgreSQL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Объём под </w:t>
            </w:r>
            <w:r>
              <w:rPr>
                <w:rStyle w:val="SourceText"/>
              </w:rPr>
              <w:t>MEDIA_ROOT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Объём под статику и тайлы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Объём под журналы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Объём под операционную систему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Итого объём на сервере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Объём хранилища резервных копий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Ресурсы изолированного контура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Пропускная способность каналов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bidi w:val="0"/>
        <w:jc w:val="left"/>
        <w:rPr/>
      </w:pPr>
      <w:r>
        <w:rPr/>
        <w:t>Б.3. Согласование</w:t>
      </w:r>
    </w:p>
    <w:tbl>
      <w:tblPr>
        <w:tblW w:w="759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45"/>
        <w:gridCol w:w="685"/>
        <w:gridCol w:w="1051"/>
        <w:gridCol w:w="629"/>
        <w:gridCol w:w="1089"/>
      </w:tblGrid>
      <w:tr>
        <w:trPr>
          <w:tblHeader w:val="true"/>
        </w:trPr>
        <w:tc>
          <w:tcPr>
            <w:tcW w:w="414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Роль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ФИО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Решение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Дата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Подпись</w:t>
            </w:r>
          </w:p>
        </w:tc>
      </w:tr>
      <w:tr>
        <w:trPr/>
        <w:tc>
          <w:tcPr>
            <w:tcW w:w="4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Владелец информационной системы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Системный программист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Служба эксплуатации инфраструктуры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Информационная безопасность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1"/>
        <w:bidi w:val="0"/>
        <w:rPr/>
      </w:pPr>
      <w:r>
        <w:rPr/>
        <w:t>ПРИЛОЖЕНИЕ В</w:t>
      </w:r>
    </w:p>
    <w:p>
      <w:pPr>
        <w:pStyle w:val="Heading2"/>
        <w:bidi w:val="0"/>
        <w:jc w:val="left"/>
        <w:rPr/>
      </w:pPr>
      <w:r>
        <w:rPr/>
        <w:t>(обязательное) Контрольный лист приёмки технических средств</w:t>
      </w:r>
    </w:p>
    <w:p>
      <w:pPr>
        <w:pStyle w:val="BodyText"/>
        <w:bidi w:val="0"/>
        <w:jc w:val="left"/>
        <w:rPr/>
      </w:pPr>
      <w:r>
        <w:rPr/>
        <w:t>Приёмка выполняется до развёртывания системы. Отрицательный результат любого пункта категории МИН препятствует развёртыванию.</w:t>
      </w:r>
    </w:p>
    <w:p>
      <w:pPr>
        <w:pStyle w:val="BodyText"/>
        <w:bidi w:val="0"/>
        <w:jc w:val="left"/>
        <w:rPr/>
      </w:pPr>
      <w:r>
        <w:rPr>
          <w:rStyle w:val="Strong"/>
        </w:rPr>
        <w:t>Вычислительные ресурсы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число процессорных ядер соответствует принятому значению;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объём оперативной памяти соответствует принятому значению;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переподписка процессора и памяти для узла базы данных отсутствует;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[ ] архитектура x86-64 подтверждена. </w:t>
      </w:r>
    </w:p>
    <w:p>
      <w:pPr>
        <w:pStyle w:val="BodyText"/>
        <w:bidi w:val="0"/>
        <w:jc w:val="left"/>
        <w:rPr/>
      </w:pPr>
      <w:r>
        <w:rPr>
          <w:rStyle w:val="Strong"/>
        </w:rPr>
        <w:t>Дисковая подсистема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каталог данных PostgreSQL размещён на твердотельном носителе;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измеренная задержка произвольного доступа соответствует разделу 5.5;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выделенный объём соответствует спецификации приложения Б;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хранилище резервных копий физически отделено от рабочего;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при размещении в контейнерах постоянные тома назначены каталогу данных, </w:t>
      </w:r>
      <w:r>
        <w:rPr>
          <w:rStyle w:val="SourceText"/>
        </w:rPr>
        <w:t>MEDIA_ROOT</w:t>
      </w:r>
      <w:r>
        <w:rPr/>
        <w:t xml:space="preserve"> и каталогу тайлов;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[ ] настроен контроль заполнения с порогами раздела 5.6. </w:t>
      </w:r>
    </w:p>
    <w:p>
      <w:pPr>
        <w:pStyle w:val="BodyText"/>
        <w:bidi w:val="0"/>
        <w:jc w:val="left"/>
        <w:rPr/>
      </w:pPr>
      <w:r>
        <w:rPr>
          <w:rStyle w:val="Strong"/>
        </w:rPr>
        <w:t>Сеть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доступность по TCP/443 с рабочих мест подтверждена;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доступ к TCP/5432 и TCP/6379 из пользовательских сегментов закрыт;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измеренная задержка между сервером приложения и базой данных соответствует разделу 7.2;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закреплено постоянное доменное имя и настроено его разрешение;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[ ] установлен сертификат с полной цепочкой; настроен контроль срока действия. </w:t>
      </w:r>
    </w:p>
    <w:p>
      <w:pPr>
        <w:pStyle w:val="BodyText"/>
        <w:bidi w:val="0"/>
        <w:jc w:val="left"/>
        <w:rPr/>
      </w:pPr>
      <w:r>
        <w:rPr>
          <w:rStyle w:val="Strong"/>
        </w:rPr>
        <w:t>Системное программное обеспечение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версия PostgreSQL не ниже 15;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версия Redis не ниже 6.0;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версия Python входит в перечень поддерживаемых;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[ ] версии зафиксированы в протоколе В.1 документа </w:t>
      </w:r>
      <w:r>
        <w:rPr>
          <w:rStyle w:val="SourceText"/>
        </w:rPr>
        <w:t>RU.__________.00001-01 51 01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>
          <w:rStyle w:val="Strong"/>
        </w:rPr>
        <w:t>Резервирование и восстановление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резервный источник электропитания установлен и проверен;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корректное завершение работы при исчерпании заряда настроено;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резервирование дисковой подсистемы обеспечено;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возможность развернуть изолированный контур подтверждена;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[ ] объём хранилища резервных копий соответствует разделу 9.2. </w:t>
      </w:r>
    </w:p>
    <w:p>
      <w:pPr>
        <w:pStyle w:val="BodyText"/>
        <w:bidi w:val="0"/>
        <w:jc w:val="left"/>
        <w:rPr/>
      </w:pPr>
      <w:r>
        <w:rPr>
          <w:rStyle w:val="Strong"/>
        </w:rPr>
        <w:t>Тайлы подложки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выполнена пробная нарезка фактической подложки;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измеренный объём тайлов внесён в приложение Б.1;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выделенный объём под статику покрывает измеренный с двукратным запасом;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исходное изображение подложки помещено на хранение;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[ ] порядок резервного копирования каталога тайлов отдельно от медиафайлов установлен. </w:t>
      </w:r>
    </w:p>
    <w:p>
      <w:pPr>
        <w:pStyle w:val="BodyText"/>
        <w:bidi w:val="0"/>
        <w:jc w:val="left"/>
        <w:rPr/>
      </w:pPr>
      <w:r>
        <w:rPr>
          <w:rStyle w:val="Strong"/>
        </w:rPr>
        <w:t>Рабочие места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рабочие места администратора NetBox и кабельного инженера соответствуют категории РЕК;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версии браузеров соответствуют требованиям раздела 8;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[ ] выполнена проверка открытия карты и топологии на типовом рабочем месте. </w:t>
      </w:r>
    </w:p>
    <w:p>
      <w:pPr>
        <w:pStyle w:val="BodyText"/>
        <w:bidi w:val="0"/>
        <w:jc w:val="left"/>
        <w:rPr/>
      </w:pPr>
      <w:r>
        <w:rPr/>
        <w:t>Приёмку провели:</w:t>
      </w:r>
    </w:p>
    <w:tbl>
      <w:tblPr>
        <w:tblW w:w="654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45"/>
        <w:gridCol w:w="685"/>
        <w:gridCol w:w="629"/>
        <w:gridCol w:w="1089"/>
      </w:tblGrid>
      <w:tr>
        <w:trPr>
          <w:tblHeader w:val="true"/>
        </w:trPr>
        <w:tc>
          <w:tcPr>
            <w:tcW w:w="414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Роль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ФИО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Дата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Подпись</w:t>
            </w:r>
          </w:p>
        </w:tc>
      </w:tr>
      <w:tr>
        <w:trPr/>
        <w:tc>
          <w:tcPr>
            <w:tcW w:w="4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Системный программист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Служба эксплуатации инфраструктуры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Владелец информационной системы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907" w:gutter="0" w:header="0" w:top="1020" w:footer="0" w:bottom="10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Liberation Serif;Times New Roman;serif" w:hAnsi="Liberation Serif;Times New Roman;serif" w:eastAsia="Liberation Serif;Times New Roman;serif" w:cs="Liberation Serif;Times New Roman;serif"/>
      <w:color w:val="000000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spacing w:before="360" w:after="320"/>
      <w:ind w:left="360" w:right="360"/>
      <w:jc w:val="center"/>
      <w:outlineLvl w:val="0"/>
    </w:pPr>
    <w:rPr>
      <w:rFonts w:ascii="Liberation Serif" w:hAnsi="Liberation Serif" w:eastAsia="Noto Sans" w:cs="FreeSans"/>
      <w:b/>
      <w:bCs/>
      <w:color w:val="000000"/>
      <w:sz w:val="32"/>
      <w:szCs w:val="32"/>
    </w:rPr>
  </w:style>
  <w:style w:type="paragraph" w:styleId="Heading2">
    <w:name w:val="heading 2"/>
    <w:basedOn w:val="Heading"/>
    <w:next w:val="BodyText"/>
    <w:qFormat/>
    <w:pPr>
      <w:keepNext w:val="true"/>
      <w:spacing w:before="360" w:after="120"/>
      <w:outlineLvl w:val="1"/>
    </w:pPr>
    <w:rPr>
      <w:rFonts w:ascii="Liberation Serif" w:hAnsi="Liberation Serif" w:eastAsia="Noto Sans" w:cs="FreeSans"/>
      <w:b/>
      <w:bCs/>
      <w:color w:val="000000"/>
      <w:sz w:val="28"/>
      <w:szCs w:val="28"/>
    </w:rPr>
  </w:style>
  <w:style w:type="paragraph" w:styleId="Heading3">
    <w:name w:val="heading 3"/>
    <w:basedOn w:val="Heading"/>
    <w:next w:val="BodyText"/>
    <w:qFormat/>
    <w:pPr>
      <w:keepNext w:val="true"/>
      <w:spacing w:before="240" w:after="120"/>
      <w:outlineLvl w:val="2"/>
    </w:pPr>
    <w:rPr>
      <w:rFonts w:ascii="Liberation Serif" w:hAnsi="Liberation Serif" w:eastAsia="Noto Sans" w:cs="FreeSans"/>
      <w:b/>
      <w:bCs/>
      <w:color w:val="000000"/>
      <w:sz w:val="24"/>
      <w:szCs w:val="24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hd w:fill="F1F3F4" w:val="clear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563C1"/>
      <w:u w:val="single"/>
    </w:rPr>
  </w:style>
  <w:style w:type="character" w:styleId="FollowedHyperlink">
    <w:name w:val="Followed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pBdr>
        <w:left w:val="single" w:sz="24" w:space="10" w:color="E0A800"/>
      </w:pBdr>
      <w:shd w:fill="FFF4CE" w:val="clear"/>
      <w:spacing w:before="200" w:after="200"/>
      <w:ind w:hanging="0" w:left="200" w:right="200"/>
    </w:pPr>
    <w:rPr/>
  </w:style>
  <w:style w:type="paragraph" w:styleId="PreformattedText">
    <w:name w:val="Preformatted Text"/>
    <w:basedOn w:val="Normal"/>
    <w:qFormat/>
    <w:pPr>
      <w:pBdr>
        <w:top w:val="single" w:sz="2" w:space="8" w:color="D5D9DD"/>
        <w:left w:val="single" w:sz="2" w:space="8" w:color="D5D9DD"/>
        <w:bottom w:val="single" w:sz="2" w:space="8" w:color="D5D9DD"/>
        <w:right w:val="single" w:sz="2" w:space="8" w:color="D5D9DD"/>
      </w:pBdr>
      <w:shd w:fill="F1F3F4" w:val="clear"/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FFFFFF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