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8" w:name="content"/>
    <w:bookmarkStart w:id="87" w:name="Xf04f0a03139991f4b8f20f87025da6b498a9998"/>
    <w:p>
      <w:pPr>
        <w:pStyle w:val="Heading1"/>
      </w:pPr>
      <w:r>
        <w:t xml:space="preserve">AI System for Detecting Hidden Revenue Loss Points</w:t>
      </w:r>
    </w:p>
    <w:bookmarkStart w:id="25" w:name="executive-summary"/>
    <w:p>
      <w:pPr>
        <w:pStyle w:val="Heading2"/>
      </w:pPr>
      <w:r>
        <w:t xml:space="preserve">Executive summary</w:t>
      </w:r>
    </w:p>
    <w:p>
      <w:pPr>
        <w:pStyle w:val="FirstParagraph"/>
      </w:pPr>
      <w:r>
        <w:t xml:space="preserve">Hidden revenue loss points (also called revenue leakage) arise when an organization</w:t>
      </w:r>
      <w:r>
        <w:t xml:space="preserve"> </w:t>
      </w:r>
      <w:r>
        <w:rPr>
          <w:b/>
          <w:bCs/>
        </w:rPr>
        <w:t xml:space="preserve">earns value</w:t>
      </w:r>
      <w:r>
        <w:t xml:space="preserve"> </w:t>
      </w:r>
      <w:r>
        <w:t xml:space="preserve">(through delivered services, products, or contractual entitlements) but</w:t>
      </w:r>
      <w:r>
        <w:t xml:space="preserve"> </w:t>
      </w:r>
      <w:r>
        <w:rPr>
          <w:b/>
          <w:bCs/>
        </w:rPr>
        <w:t xml:space="preserve">fails to correctly bill, collect, or recognize it</w:t>
      </w:r>
      <w:r>
        <w:t xml:space="preserve">, often due to process fragmentation, pricing/configuration errors, missing usage events, billing defects, payment issues, and settlement discrepancies.</w:t>
      </w:r>
      <w:r>
        <w:t xml:space="preserve"> </w:t>
      </w:r>
      <w:hyperlink r:id="rId21">
        <w:r>
          <w:rPr>
            <w:rStyle w:val="Hyperlink"/>
          </w:rPr>
          <w:t xml:space="preserve">[1]</w:t>
        </w:r>
      </w:hyperlink>
      <w:r>
        <w:br/>
      </w:r>
      <w:r>
        <w:t xml:space="preserve">Industry taxonomies emphasize that these losses occur across the</w:t>
      </w:r>
      <w:r>
        <w:t xml:space="preserve"> </w:t>
      </w:r>
      <w:r>
        <w:rPr>
          <w:b/>
          <w:bCs/>
        </w:rPr>
        <w:t xml:space="preserve">order-to-cash</w:t>
      </w:r>
      <w:r>
        <w:t xml:space="preserve"> </w:t>
      </w:r>
      <w:r>
        <w:t xml:space="preserve">lifecycle and are difficult to find with periodic audits or static rules, motivating continuous, data-driven detection.</w:t>
      </w:r>
      <w:r>
        <w:t xml:space="preserve"> </w:t>
      </w:r>
      <w:hyperlink r:id="rId21">
        <w:r>
          <w:rPr>
            <w:rStyle w:val="Hyperlink"/>
          </w:rPr>
          <w:t xml:space="preserve">[2]</w:t>
        </w:r>
      </w:hyperlink>
      <w:r>
        <w:br/>
      </w:r>
      <w:r>
        <w:t xml:space="preserve">This report proposes a rigorous, paper-ready system design that combines (i)</w:t>
      </w:r>
      <w:r>
        <w:t xml:space="preserve"> </w:t>
      </w:r>
      <w:r>
        <w:rPr>
          <w:b/>
          <w:bCs/>
        </w:rPr>
        <w:t xml:space="preserve">cross-system reconciliation and process conformance signals</w:t>
      </w:r>
      <w:r>
        <w:t xml:space="preserve">, (ii)</w:t>
      </w:r>
      <w:r>
        <w:t xml:space="preserve"> </w:t>
      </w:r>
      <w:r>
        <w:rPr>
          <w:b/>
          <w:bCs/>
        </w:rPr>
        <w:t xml:space="preserve">predictive “expected revenue” modeling</w:t>
      </w:r>
      <w:r>
        <w:t xml:space="preserve">, and (iii)</w:t>
      </w:r>
      <w:r>
        <w:t xml:space="preserve"> </w:t>
      </w:r>
      <w:r>
        <w:rPr>
          <w:b/>
          <w:bCs/>
        </w:rPr>
        <w:t xml:space="preserve">transaction/line-item anomaly scoring</w:t>
      </w:r>
      <w:r>
        <w:t xml:space="preserve">, then ranks candidate “loss points” by estimated financial impact and investigability.</w:t>
      </w:r>
      <w:r>
        <w:t xml:space="preserve"> </w:t>
      </w:r>
      <w:hyperlink r:id="rId22">
        <w:r>
          <w:rPr>
            <w:rStyle w:val="Hyperlink"/>
          </w:rPr>
          <w:t xml:space="preserve">[3]</w:t>
        </w:r>
      </w:hyperlink>
      <w:r>
        <w:br/>
      </w:r>
      <w:r>
        <w:t xml:space="preserve">The recommended evaluation plan mirrors real revenue-assurance settings: extreme class imbalance, delayed/partial labels, and strong requirements for</w:t>
      </w:r>
      <w:r>
        <w:t xml:space="preserve"> </w:t>
      </w:r>
      <w:r>
        <w:rPr>
          <w:i/>
          <w:iCs/>
        </w:rPr>
        <w:t xml:space="preserve">precision at the top of the list</w:t>
      </w:r>
      <w:r>
        <w:t xml:space="preserve"> </w:t>
      </w:r>
      <w:r>
        <w:t xml:space="preserve">(human review bandwidth).</w:t>
      </w:r>
      <w:r>
        <w:t xml:space="preserve"> </w:t>
      </w:r>
      <w:hyperlink r:id="rId23">
        <w:r>
          <w:rPr>
            <w:rStyle w:val="Hyperlink"/>
          </w:rPr>
          <w:t xml:space="preserve">[4]</w:t>
        </w:r>
      </w:hyperlink>
      <w:r>
        <w:br/>
      </w:r>
      <w:r>
        <w:t xml:space="preserve">To enable Stage-2 experiments without proprietary billing data, the report provides (a) a curated set of</w:t>
      </w:r>
      <w:r>
        <w:t xml:space="preserve"> </w:t>
      </w:r>
      <w:r>
        <w:rPr>
          <w:b/>
          <w:bCs/>
        </w:rPr>
        <w:t xml:space="preserve">public proxy datasets</w:t>
      </w:r>
      <w:r>
        <w:t xml:space="preserve">, (b) a</w:t>
      </w:r>
      <w:r>
        <w:t xml:space="preserve"> </w:t>
      </w:r>
      <w:r>
        <w:rPr>
          <w:b/>
          <w:bCs/>
        </w:rPr>
        <w:t xml:space="preserve">synthetic revenue-leak injection generator</w:t>
      </w:r>
      <w:r>
        <w:t xml:space="preserve"> </w:t>
      </w:r>
      <w:r>
        <w:t xml:space="preserve">grounded in published approaches for simulation-based financial anomaly/fraud research, and (c) governance guidance aligned with</w:t>
      </w:r>
      <w:r>
        <w:t xml:space="preserve"> </w:t>
      </w:r>
      <w:r>
        <w:rPr>
          <w:b/>
          <w:bCs/>
        </w:rPr>
        <w:t xml:space="preserve">NIST AI RMF</w:t>
      </w:r>
      <w:r>
        <w:t xml:space="preserve"> </w:t>
      </w:r>
      <w:r>
        <w:t xml:space="preserve">and privacy-by-design principles.</w:t>
      </w:r>
      <w:r>
        <w:t xml:space="preserve"> </w:t>
      </w:r>
      <w:hyperlink r:id="rId24">
        <w:r>
          <w:rPr>
            <w:rStyle w:val="Hyperlink"/>
          </w:rPr>
          <w:t xml:space="preserve">[5]</w:t>
        </w:r>
      </w:hyperlink>
    </w:p>
    <w:bookmarkEnd w:id="25"/>
    <w:bookmarkStart w:id="27" w:name="project-title-and-concise-abstract"/>
    <w:p>
      <w:pPr>
        <w:pStyle w:val="Heading2"/>
      </w:pPr>
      <w:r>
        <w:t xml:space="preserve">Project title and concise abstract</w:t>
      </w:r>
    </w:p>
    <w:p>
      <w:pPr>
        <w:pStyle w:val="FirstParagraph"/>
      </w:pPr>
      <w:r>
        <w:rPr>
          <w:b/>
          <w:bCs/>
        </w:rPr>
        <w:t xml:space="preserve">Project title</w:t>
      </w:r>
      <w:r>
        <w:br/>
      </w:r>
      <w:r>
        <w:t xml:space="preserve">AI System for Detecting Hidden Revenue Loss Points via Reconciliation-Aware Forecasting and Explainable Anomaly Detection</w:t>
      </w:r>
    </w:p>
    <w:p>
      <w:pPr>
        <w:pStyle w:val="BodyText"/>
      </w:pPr>
      <w:r>
        <w:rPr>
          <w:b/>
          <w:bCs/>
        </w:rPr>
        <w:t xml:space="preserve">Concise abstract</w:t>
      </w:r>
      <w:r>
        <w:br/>
      </w:r>
      <w:r>
        <w:t xml:space="preserve">Revenue leakage refers to income a business has earned but fails to collect, often due to invoicing, pricing, process, and system-integration defects across the order-to-cash lifecycle.</w:t>
      </w:r>
      <w:r>
        <w:t xml:space="preserve"> </w:t>
      </w:r>
      <w:hyperlink r:id="rId21">
        <w:r>
          <w:rPr>
            <w:rStyle w:val="Hyperlink"/>
          </w:rPr>
          <w:t xml:space="preserve">[6]</w:t>
        </w:r>
      </w:hyperlink>
      <w:r>
        <w:t xml:space="preserve"> </w:t>
      </w:r>
      <w:r>
        <w:t xml:space="preserve">We propose a hybrid AI system that detects hidden revenue loss points by integrating (1) order-to-cash completeness and conformance checks, (2) expected-revenue prediction to estimate counterfactual “should-have-billed” amounts, and (3) anomaly detection and ranking to surface the most material, explainable issues for human investigation.</w:t>
      </w:r>
      <w:r>
        <w:t xml:space="preserve"> </w:t>
      </w:r>
      <w:hyperlink r:id="rId26">
        <w:r>
          <w:rPr>
            <w:rStyle w:val="Hyperlink"/>
          </w:rPr>
          <w:t xml:space="preserve">[7]</w:t>
        </w:r>
      </w:hyperlink>
      <w:r>
        <w:t xml:space="preserve"> </w:t>
      </w:r>
      <w:r>
        <w:t xml:space="preserve">The method supports weak supervision and delayed labels, aligns with real-world revenue assurance practices, and produces interpretable evidence via feature attributions and process-level deviation localization.</w:t>
      </w:r>
      <w:r>
        <w:t xml:space="preserve"> </w:t>
      </w:r>
      <w:hyperlink r:id="rId23">
        <w:r>
          <w:rPr>
            <w:rStyle w:val="Hyperlink"/>
          </w:rPr>
          <w:t xml:space="preserve">[8]</w:t>
        </w:r>
      </w:hyperlink>
    </w:p>
    <w:bookmarkEnd w:id="27"/>
    <w:bookmarkStart w:id="35" w:name="introduction"/>
    <w:p>
      <w:pPr>
        <w:pStyle w:val="Heading2"/>
      </w:pPr>
      <w:r>
        <w:t xml:space="preserve">Introduction</w:t>
      </w:r>
    </w:p>
    <w:bookmarkStart w:id="30" w:name="problem-statement"/>
    <w:p>
      <w:pPr>
        <w:pStyle w:val="Heading3"/>
      </w:pPr>
      <w:r>
        <w:t xml:space="preserve">Problem statement</w:t>
      </w:r>
    </w:p>
    <w:p>
      <w:pPr>
        <w:pStyle w:val="FirstParagraph"/>
      </w:pPr>
      <w:r>
        <w:t xml:space="preserve">Revenue leakage is repeatedly described in industry frameworks as a material operational and financial risk that can occur at many points in the end-to-end order-to-cash chain, including product/offer configuration, service activation, usage capture, billing validation, payments, and partner settlements.</w:t>
      </w:r>
      <w:r>
        <w:t xml:space="preserve"> </w:t>
      </w:r>
      <w:hyperlink r:id="rId28">
        <w:r>
          <w:rPr>
            <w:rStyle w:val="Hyperlink"/>
          </w:rPr>
          <w:t xml:space="preserve">[9]</w:t>
        </w:r>
      </w:hyperlink>
      <w:r>
        <w:t xml:space="preserve"> </w:t>
      </w:r>
      <w:r>
        <w:t xml:space="preserve">Even when a “macro” KPI (e.g., days sales outstanding) looks acceptable, deeper analysis can reveal break points and value leakage that typical metrics fail to capture—especially in complex, cross-functional processes.</w:t>
      </w:r>
      <w:r>
        <w:t xml:space="preserve"> </w:t>
      </w:r>
      <w:hyperlink r:id="rId29">
        <w:r>
          <w:rPr>
            <w:rStyle w:val="Hyperlink"/>
          </w:rPr>
          <w:t xml:space="preserve">[10]</w:t>
        </w:r>
      </w:hyperlink>
    </w:p>
    <w:bookmarkEnd w:id="30"/>
    <w:bookmarkStart w:id="31" w:name="scope"/>
    <w:p>
      <w:pPr>
        <w:pStyle w:val="Heading3"/>
      </w:pPr>
      <w:r>
        <w:t xml:space="preserve">Scope</w:t>
      </w:r>
    </w:p>
    <w:p>
      <w:pPr>
        <w:pStyle w:val="FirstParagraph"/>
      </w:pPr>
      <w:r>
        <w:t xml:space="preserve">This report targets a</w:t>
      </w:r>
      <w:r>
        <w:t xml:space="preserve"> </w:t>
      </w:r>
      <w:r>
        <w:rPr>
          <w:b/>
          <w:bCs/>
        </w:rPr>
        <w:t xml:space="preserve">generalizable system design</w:t>
      </w:r>
      <w:r>
        <w:t xml:space="preserve"> </w:t>
      </w:r>
      <w:r>
        <w:t xml:space="preserve">that can be adapted to multiple industries, including telecommunications revenue assurance, cloud/subscription billing, marketplaces, and service/maintenance invoicing.</w:t>
      </w:r>
      <w:r>
        <w:t xml:space="preserve"> </w:t>
      </w:r>
      <w:hyperlink r:id="rId22">
        <w:r>
          <w:rPr>
            <w:rStyle w:val="Hyperlink"/>
          </w:rPr>
          <w:t xml:space="preserve">[11]</w:t>
        </w:r>
      </w:hyperlink>
      <w:r>
        <w:t xml:space="preserve"> </w:t>
      </w:r>
      <w:r>
        <w:t xml:space="preserve">The key deliverable is an analytical blueprint suitable for conversion into a LaTeX paper and for guiding Stage-2 experiments rather than claiming finalized empirical results.</w:t>
      </w:r>
    </w:p>
    <w:bookmarkEnd w:id="31"/>
    <w:bookmarkStart w:id="33" w:name="objectives"/>
    <w:p>
      <w:pPr>
        <w:pStyle w:val="Heading3"/>
      </w:pPr>
      <w:r>
        <w:t xml:space="preserve">Objectives</w:t>
      </w:r>
    </w:p>
    <w:p>
      <w:pPr>
        <w:pStyle w:val="FirstParagraph"/>
      </w:pPr>
      <w:r>
        <w:t xml:space="preserve">The system’s objectives follow three measurable outcomes:</w:t>
      </w:r>
    </w:p>
    <w:p>
      <w:pPr>
        <w:pStyle w:val="Compact"/>
        <w:numPr>
          <w:ilvl w:val="0"/>
          <w:numId w:val="1001"/>
        </w:numPr>
      </w:pPr>
      <w:r>
        <w:rPr>
          <w:b/>
          <w:bCs/>
        </w:rPr>
        <w:t xml:space="preserve">Detection</w:t>
      </w:r>
      <w:r>
        <w:t xml:space="preserve">: Identify anomalous transactions, invoices, or process traces that plausibly correspond to underbilling, missed billing, misapplied terms, or other leakage classes.</w:t>
      </w:r>
      <w:r>
        <w:t xml:space="preserve"> </w:t>
      </w:r>
      <w:hyperlink r:id="rId28">
        <w:r>
          <w:rPr>
            <w:rStyle w:val="Hyperlink"/>
          </w:rPr>
          <w:t xml:space="preserve">[12]</w:t>
        </w:r>
      </w:hyperlink>
    </w:p>
    <w:p>
      <w:pPr>
        <w:pStyle w:val="Compact"/>
        <w:numPr>
          <w:ilvl w:val="0"/>
          <w:numId w:val="1001"/>
        </w:numPr>
      </w:pPr>
      <w:r>
        <w:rPr>
          <w:b/>
          <w:bCs/>
        </w:rPr>
        <w:t xml:space="preserve">Localization</w:t>
      </w:r>
      <w:r>
        <w:t xml:space="preserve">: Attribute the suspected loss to a concrete “loss point” (e.g., product/offer, customer segment, mediation step, invoice line type, settlement feed). This aligns with process conformance checking’s goal of diagnosing deviations between “as-is” logs and “to-be” models.</w:t>
      </w:r>
      <w:r>
        <w:t xml:space="preserve"> </w:t>
      </w:r>
      <w:hyperlink r:id="rId26">
        <w:r>
          <w:rPr>
            <w:rStyle w:val="Hyperlink"/>
          </w:rPr>
          <w:t xml:space="preserve">[13]</w:t>
        </w:r>
      </w:hyperlink>
    </w:p>
    <w:p>
      <w:pPr>
        <w:pStyle w:val="Compact"/>
        <w:numPr>
          <w:ilvl w:val="0"/>
          <w:numId w:val="1001"/>
        </w:numPr>
      </w:pPr>
      <w:r>
        <w:rPr>
          <w:b/>
          <w:bCs/>
        </w:rPr>
        <w:t xml:space="preserve">Actionability</w:t>
      </w:r>
      <w:r>
        <w:t xml:space="preserve">: Rank candidates by expected financial impact and provide model- and process-level explanations to reduce investigation time (a common requirement in enterprise anomaly detection).</w:t>
      </w:r>
      <w:r>
        <w:t xml:space="preserve"> </w:t>
      </w:r>
      <w:hyperlink r:id="rId32">
        <w:r>
          <w:rPr>
            <w:rStyle w:val="Hyperlink"/>
          </w:rPr>
          <w:t xml:space="preserve">[14]</w:t>
        </w:r>
      </w:hyperlink>
    </w:p>
    <w:bookmarkEnd w:id="33"/>
    <w:bookmarkStart w:id="34" w:name="X8f0dab2558eb07611d782c44fa13d88b7650f53"/>
    <w:p>
      <w:pPr>
        <w:pStyle w:val="Heading3"/>
      </w:pPr>
      <w:r>
        <w:t xml:space="preserve">Assumptions and explicitly unspecified items</w:t>
      </w:r>
    </w:p>
    <w:p>
      <w:pPr>
        <w:pStyle w:val="FirstParagraph"/>
      </w:pPr>
      <w:r>
        <w:t xml:space="preserve">This report assumes access to at least one of: (i) transactional/invoice line data, (ii) event logs spanning order-to-cash steps, and/or (iii) aggregated daily/weekly revenue time series per business dimension.</w:t>
      </w:r>
      <w:r>
        <w:t xml:space="preserve"> </w:t>
      </w:r>
      <w:hyperlink r:id="rId21">
        <w:r>
          <w:rPr>
            <w:rStyle w:val="Hyperlink"/>
          </w:rPr>
          <w:t xml:space="preserve">[15]</w:t>
        </w:r>
      </w:hyperlink>
      <w:r>
        <w:br/>
      </w:r>
      <w:r>
        <w:t xml:space="preserve">Several items are</w:t>
      </w:r>
      <w:r>
        <w:t xml:space="preserve"> </w:t>
      </w:r>
      <w:r>
        <w:rPr>
          <w:b/>
          <w:bCs/>
        </w:rPr>
        <w:t xml:space="preserve">intentionally unspecified</w:t>
      </w:r>
      <w:r>
        <w:t xml:space="preserve"> </w:t>
      </w:r>
      <w:r>
        <w:t xml:space="preserve">and must be filled in for submission: target industry/domain taxonomy (telecom vs SaaS vs healthcare vs retail), target venue (and therefore LaTeX template and formatting rules), and real authors/affiliations. This is flagged because revenue leakage categories and label availability differ sharply by industry.</w:t>
      </w:r>
      <w:r>
        <w:t xml:space="preserve"> </w:t>
      </w:r>
      <w:hyperlink r:id="rId28">
        <w:r>
          <w:rPr>
            <w:rStyle w:val="Hyperlink"/>
          </w:rPr>
          <w:t xml:space="preserve">[16]</w:t>
        </w:r>
      </w:hyperlink>
    </w:p>
    <w:bookmarkEnd w:id="34"/>
    <w:bookmarkEnd w:id="35"/>
    <w:bookmarkStart w:id="48" w:name="related-work"/>
    <w:p>
      <w:pPr>
        <w:pStyle w:val="Heading2"/>
      </w:pPr>
      <w:r>
        <w:t xml:space="preserve">Related work</w:t>
      </w:r>
    </w:p>
    <w:bookmarkStart w:id="39" w:name="X24e9c3cfd792c3a99b9f47504ef05f082012115"/>
    <w:p>
      <w:pPr>
        <w:pStyle w:val="Heading3"/>
      </w:pPr>
      <w:r>
        <w:t xml:space="preserve">Revenue assurance and revenue leakage frameworks</w:t>
      </w:r>
    </w:p>
    <w:p>
      <w:pPr>
        <w:pStyle w:val="FirstParagraph"/>
      </w:pPr>
      <w:r>
        <w:t xml:space="preserve">The most explicit industry taxonomy for “where leakage happens” is the revenue assurance body of work from TM Forum</w:t>
      </w:r>
      <w:hyperlink r:id="rId36">
        <w:r>
          <w:rPr>
            <w:rStyle w:val="Hyperlink"/>
          </w:rPr>
          <w:t xml:space="preserve">[17]</w:t>
        </w:r>
      </w:hyperlink>
      <w:r>
        <w:t xml:space="preserve">, which documents real-life leakage examples and classifies them within a revenue assurance framework across the revenue chain and order-to-cash lifecycle.</w:t>
      </w:r>
      <w:r>
        <w:t xml:space="preserve"> </w:t>
      </w:r>
      <w:hyperlink r:id="rId28">
        <w:r>
          <w:rPr>
            <w:rStyle w:val="Hyperlink"/>
          </w:rPr>
          <w:t xml:space="preserve">[18]</w:t>
        </w:r>
      </w:hyperlink>
      <w:r>
        <w:t xml:space="preserve"> </w:t>
      </w:r>
      <w:r>
        <w:t xml:space="preserve">Related materials describe standardized KPIs for measuring leakage, assurance process efficiency, and data quality.</w:t>
      </w:r>
      <w:r>
        <w:t xml:space="preserve"> </w:t>
      </w:r>
      <w:hyperlink r:id="rId37">
        <w:r>
          <w:rPr>
            <w:rStyle w:val="Hyperlink"/>
          </w:rPr>
          <w:t xml:space="preserve">[19]</w:t>
        </w:r>
      </w:hyperlink>
      <w:r>
        <w:br/>
      </w:r>
      <w:r>
        <w:t xml:space="preserve">Industry catalyst work on AI-powered billing QA highlights continuous analysis across usage, CRM, customer interactions, and financial records to detect billing anomalies earlier than end-of-cycle sample testing.</w:t>
      </w:r>
      <w:r>
        <w:t xml:space="preserve"> </w:t>
      </w:r>
      <w:hyperlink r:id="rId38">
        <w:r>
          <w:rPr>
            <w:rStyle w:val="Hyperlink"/>
          </w:rPr>
          <w:t xml:space="preserve">[20]</w:t>
        </w:r>
      </w:hyperlink>
    </w:p>
    <w:bookmarkEnd w:id="39"/>
    <w:bookmarkStart w:id="41" w:name="X1347cda1cced028aa6c6bde1c521994f6efac9b"/>
    <w:p>
      <w:pPr>
        <w:pStyle w:val="Heading3"/>
      </w:pPr>
      <w:r>
        <w:t xml:space="preserve">Empirical evidence from billing/invoicing anomaly detection</w:t>
      </w:r>
    </w:p>
    <w:p>
      <w:pPr>
        <w:pStyle w:val="FirstParagraph"/>
      </w:pPr>
      <w:r>
        <w:t xml:space="preserve">A concrete, data-driven example appears in a degree-project study from KTH Royal Institute of Technology</w:t>
      </w:r>
      <w:hyperlink r:id="rId23">
        <w:r>
          <w:rPr>
            <w:rStyle w:val="Hyperlink"/>
          </w:rPr>
          <w:t xml:space="preserve">[21]</w:t>
        </w:r>
      </w:hyperlink>
      <w:r>
        <w:t xml:space="preserve"> </w:t>
      </w:r>
      <w:r>
        <w:t xml:space="preserve">on “revenue loss due to erroneous invoicing” using invoice data from a real company. The work evaluates models (including gradient-boosted trees and neural regression) to detect anomalous invoice items and estimate revenue loss; it reports strong precision among top-ranked candidates and relatively low revenue-loss estimation error in that case study.</w:t>
      </w:r>
      <w:r>
        <w:t xml:space="preserve"> </w:t>
      </w:r>
      <w:hyperlink r:id="rId40">
        <w:r>
          <w:rPr>
            <w:rStyle w:val="Hyperlink"/>
          </w:rPr>
          <w:t xml:space="preserve">[22]</w:t>
        </w:r>
      </w:hyperlink>
      <w:r>
        <w:br/>
      </w:r>
      <w:r>
        <w:t xml:space="preserve">While not a peer-reviewed benchmark paper, it is valuable because it operationalizes a typical leakage pattern (“consistently charging the wrong hourly price”) and frames detection as a combination of prediction (expected price) and anomaly ranking.</w:t>
      </w:r>
      <w:r>
        <w:t xml:space="preserve"> </w:t>
      </w:r>
      <w:hyperlink r:id="rId40">
        <w:r>
          <w:rPr>
            <w:rStyle w:val="Hyperlink"/>
          </w:rPr>
          <w:t xml:space="preserve">[22]</w:t>
        </w:r>
      </w:hyperlink>
    </w:p>
    <w:bookmarkEnd w:id="41"/>
    <w:bookmarkStart w:id="46" w:name="Xab753d97de574bc5b0c04bcb1e50694984eabbe"/>
    <w:p>
      <w:pPr>
        <w:pStyle w:val="Heading3"/>
      </w:pPr>
      <w:r>
        <w:t xml:space="preserve">Core anomaly detection and prediction methods</w:t>
      </w:r>
    </w:p>
    <w:p>
      <w:pPr>
        <w:pStyle w:val="FirstParagraph"/>
      </w:pPr>
      <w:r>
        <w:t xml:space="preserve">For tabular and transactional anomaly detection, classic unsupervised baselines include Local Outlier Factor (LOF), Isolation Forest, and one-class SVM.</w:t>
      </w:r>
      <w:r>
        <w:t xml:space="preserve"> </w:t>
      </w:r>
      <w:hyperlink r:id="rId42">
        <w:r>
          <w:rPr>
            <w:rStyle w:val="Hyperlink"/>
          </w:rPr>
          <w:t xml:space="preserve">[23]</w:t>
        </w:r>
      </w:hyperlink>
      <w:r>
        <w:t xml:space="preserve"> </w:t>
      </w:r>
      <w:r>
        <w:t xml:space="preserve">Isolation Forest is particularly relevant for high-volume settings due to its subsampling and documented efficiency characteristics.</w:t>
      </w:r>
      <w:r>
        <w:t xml:space="preserve"> </w:t>
      </w:r>
      <w:hyperlink r:id="rId43">
        <w:r>
          <w:rPr>
            <w:rStyle w:val="Hyperlink"/>
          </w:rPr>
          <w:t xml:space="preserve">[24]</w:t>
        </w:r>
      </w:hyperlink>
      <w:r>
        <w:br/>
      </w:r>
      <w:r>
        <w:t xml:space="preserve">For supervised or weakly supervised settings with heterogeneous features, gradient-boosted decision trees remain strong defaults in practice and literature (XGBoost, LightGBM, CatBoost).</w:t>
      </w:r>
      <w:r>
        <w:t xml:space="preserve"> </w:t>
      </w:r>
      <w:hyperlink r:id="rId44">
        <w:r>
          <w:rPr>
            <w:rStyle w:val="Hyperlink"/>
          </w:rPr>
          <w:t xml:space="preserve">[25]</w:t>
        </w:r>
      </w:hyperlink>
      <w:r>
        <w:br/>
      </w:r>
      <w:r>
        <w:t xml:space="preserve">For sequential and time-series components (e.g., revenue per day by product/region), transformer-based anomaly detection has shown strong results on benchmark suites; the Anomaly Transformer is a prominent reference point for unsupervised time-series anomaly detection.</w:t>
      </w:r>
      <w:r>
        <w:t xml:space="preserve"> </w:t>
      </w:r>
      <w:hyperlink r:id="rId45">
        <w:r>
          <w:rPr>
            <w:rStyle w:val="Hyperlink"/>
          </w:rPr>
          <w:t xml:space="preserve">[26]</w:t>
        </w:r>
      </w:hyperlink>
    </w:p>
    <w:bookmarkEnd w:id="46"/>
    <w:bookmarkStart w:id="47" w:name="Xda4097b6f8c322495b9a7f82d76639e7b0de6e1"/>
    <w:p>
      <w:pPr>
        <w:pStyle w:val="Heading3"/>
      </w:pPr>
      <w:r>
        <w:t xml:space="preserve">Explainability and evaluation under imbalance</w:t>
      </w:r>
    </w:p>
    <w:p>
      <w:pPr>
        <w:pStyle w:val="FirstParagraph"/>
      </w:pPr>
      <w:r>
        <w:t xml:space="preserve">Because leakage signals are typically rare, evaluation should prioritize precision–recall analysis; foundational results explain why ROC AUC can be less informative under strong class imbalance and why PR curves are often preferred for rare-event detection.</w:t>
      </w:r>
      <w:r>
        <w:t xml:space="preserve"> </w:t>
      </w:r>
      <w:hyperlink r:id="rId36">
        <w:r>
          <w:rPr>
            <w:rStyle w:val="Hyperlink"/>
          </w:rPr>
          <w:t xml:space="preserve">[27]</w:t>
        </w:r>
      </w:hyperlink>
      <w:r>
        <w:br/>
      </w:r>
      <w:r>
        <w:t xml:space="preserve">For explanation methods, SHAP provides a unified framework for additive attribution explanations, while LIME provides local surrogate explanations; both are widely used for interpreting complex models in business settings.</w:t>
      </w:r>
      <w:r>
        <w:t xml:space="preserve"> </w:t>
      </w:r>
      <w:hyperlink r:id="rId32">
        <w:r>
          <w:rPr>
            <w:rStyle w:val="Hyperlink"/>
          </w:rPr>
          <w:t xml:space="preserve">[28]</w:t>
        </w:r>
      </w:hyperlink>
    </w:p>
    <w:bookmarkEnd w:id="47"/>
    <w:bookmarkEnd w:id="48"/>
    <w:bookmarkStart w:id="55" w:name="proposed-algorithm"/>
    <w:p>
      <w:pPr>
        <w:pStyle w:val="Heading2"/>
      </w:pPr>
      <w:r>
        <w:t xml:space="preserve">Proposed algorithm</w:t>
      </w:r>
    </w:p>
    <w:bookmarkStart w:id="49" w:name="system-overview-and-pipeline"/>
    <w:p>
      <w:pPr>
        <w:pStyle w:val="Heading3"/>
      </w:pPr>
      <w:r>
        <w:t xml:space="preserve">System overview and pipeline</w:t>
      </w:r>
    </w:p>
    <w:p>
      <w:pPr>
        <w:pStyle w:val="FirstParagraph"/>
      </w:pPr>
      <w:r>
        <w:t xml:space="preserve">The proposed system treats “hidden revenue loss points” as</w:t>
      </w:r>
      <w:r>
        <w:t xml:space="preserve"> </w:t>
      </w:r>
      <w:r>
        <w:rPr>
          <w:b/>
          <w:bCs/>
        </w:rPr>
        <w:t xml:space="preserve">ranked hypotheses</w:t>
      </w:r>
      <w:r>
        <w:t xml:space="preserve"> </w:t>
      </w:r>
      <w:r>
        <w:t xml:space="preserve">supported by three evidence types:</w:t>
      </w:r>
    </w:p>
    <w:p>
      <w:pPr>
        <w:pStyle w:val="Compact"/>
        <w:numPr>
          <w:ilvl w:val="0"/>
          <w:numId w:val="1002"/>
        </w:numPr>
      </w:pPr>
      <w:r>
        <w:rPr>
          <w:b/>
          <w:bCs/>
        </w:rPr>
        <w:t xml:space="preserve">Reconciliation / invariants</w:t>
      </w:r>
      <w:r>
        <w:t xml:space="preserve">: deterministic or probabilistic checks that connect “what happened” across systems (e.g., usage events → invoice lines → payments). This is aligned with revenue assurance practice emphasizing cross-system validation.</w:t>
      </w:r>
      <w:r>
        <w:t xml:space="preserve"> </w:t>
      </w:r>
      <w:hyperlink r:id="rId22">
        <w:r>
          <w:rPr>
            <w:rStyle w:val="Hyperlink"/>
          </w:rPr>
          <w:t xml:space="preserve">[29]</w:t>
        </w:r>
      </w:hyperlink>
    </w:p>
    <w:p>
      <w:pPr>
        <w:pStyle w:val="Compact"/>
        <w:numPr>
          <w:ilvl w:val="0"/>
          <w:numId w:val="1002"/>
        </w:numPr>
      </w:pPr>
      <w:r>
        <w:rPr>
          <w:b/>
          <w:bCs/>
        </w:rPr>
        <w:t xml:space="preserve">Expected revenue modeling</w:t>
      </w:r>
      <w:r>
        <w:t xml:space="preserve">: forecasting/counterfactual prediction of what revenue</w:t>
      </w:r>
      <w:r>
        <w:t xml:space="preserve"> </w:t>
      </w:r>
      <w:r>
        <w:rPr>
          <w:i/>
          <w:iCs/>
        </w:rPr>
        <w:t xml:space="preserve">should</w:t>
      </w:r>
      <w:r>
        <w:t xml:space="preserve"> </w:t>
      </w:r>
      <w:r>
        <w:t xml:space="preserve">be under normal behavior, enabling deviation scoring.</w:t>
      </w:r>
      <w:r>
        <w:t xml:space="preserve"> </w:t>
      </w:r>
      <w:hyperlink r:id="rId40">
        <w:r>
          <w:rPr>
            <w:rStyle w:val="Hyperlink"/>
          </w:rPr>
          <w:t xml:space="preserve">[30]</w:t>
        </w:r>
      </w:hyperlink>
    </w:p>
    <w:p>
      <w:pPr>
        <w:pStyle w:val="Compact"/>
        <w:numPr>
          <w:ilvl w:val="0"/>
          <w:numId w:val="1002"/>
        </w:numPr>
      </w:pPr>
      <w:r>
        <w:rPr>
          <w:b/>
          <w:bCs/>
        </w:rPr>
        <w:t xml:space="preserve">Anomaly scoring &amp; ranking</w:t>
      </w:r>
      <w:r>
        <w:t xml:space="preserve">: anomaly models highlight suspicious clusters and rare patterns; ranking focuses analyst attention on high-impact candidates.</w:t>
      </w:r>
      <w:r>
        <w:t xml:space="preserve"> </w:t>
      </w:r>
      <w:hyperlink r:id="rId43">
        <w:r>
          <w:rPr>
            <w:rStyle w:val="Hyperlink"/>
          </w:rPr>
          <w:t xml:space="preserve">[31]</w:t>
        </w:r>
      </w:hyperlink>
    </w:p>
    <w:p>
      <w:pPr>
        <w:pStyle w:val="FirstParagraph"/>
      </w:pPr>
      <w:r>
        <w:t xml:space="preserve">Mermaid pipeline diagram (paper artifact):</w:t>
      </w:r>
    </w:p>
    <w:p>
      <w:pPr>
        <w:pStyle w:val="SourceCode"/>
      </w:pPr>
      <w:r>
        <w:rPr>
          <w:rStyle w:val="VerbatimChar"/>
        </w:rPr>
        <w:t xml:space="preserve">flowchart LR</w:t>
      </w:r>
      <w:r>
        <w:br/>
      </w:r>
      <w:r>
        <w:rPr>
          <w:rStyle w:val="VerbatimChar"/>
        </w:rPr>
        <w:t xml:space="preserve">  A[Data sources: orders, usage, invoices, payments, CRM, logs] --&gt; B[Data quality + join keys]</w:t>
      </w:r>
      <w:r>
        <w:br/>
      </w:r>
      <w:r>
        <w:rPr>
          <w:rStyle w:val="VerbatimChar"/>
        </w:rPr>
        <w:t xml:space="preserve">  B --&gt; C[Feature engineering]</w:t>
      </w:r>
      <w:r>
        <w:br/>
      </w:r>
      <w:r>
        <w:rPr>
          <w:rStyle w:val="VerbatimChar"/>
        </w:rPr>
        <w:t xml:space="preserve">  C --&gt; D1[Reconciliation &amp; invariants]</w:t>
      </w:r>
      <w:r>
        <w:br/>
      </w:r>
      <w:r>
        <w:rPr>
          <w:rStyle w:val="VerbatimChar"/>
        </w:rPr>
        <w:t xml:space="preserve">  C --&gt; D2[Expected revenue model]</w:t>
      </w:r>
      <w:r>
        <w:br/>
      </w:r>
      <w:r>
        <w:rPr>
          <w:rStyle w:val="VerbatimChar"/>
        </w:rPr>
        <w:t xml:space="preserve">  C --&gt; D3[Transaction anomaly model]</w:t>
      </w:r>
      <w:r>
        <w:br/>
      </w:r>
      <w:r>
        <w:rPr>
          <w:rStyle w:val="VerbatimChar"/>
        </w:rPr>
        <w:t xml:space="preserve">  D1 --&gt; E[Evidence fusion + loss-point scoring]</w:t>
      </w:r>
      <w:r>
        <w:br/>
      </w:r>
      <w:r>
        <w:rPr>
          <w:rStyle w:val="VerbatimChar"/>
        </w:rPr>
        <w:t xml:space="preserve">  D2 --&gt; E</w:t>
      </w:r>
      <w:r>
        <w:br/>
      </w:r>
      <w:r>
        <w:rPr>
          <w:rStyle w:val="VerbatimChar"/>
        </w:rPr>
        <w:t xml:space="preserve">  D3 --&gt; E</w:t>
      </w:r>
      <w:r>
        <w:br/>
      </w:r>
      <w:r>
        <w:rPr>
          <w:rStyle w:val="VerbatimChar"/>
        </w:rPr>
        <w:t xml:space="preserve">  E --&gt; F[Ranking + triage queue]</w:t>
      </w:r>
      <w:r>
        <w:br/>
      </w:r>
      <w:r>
        <w:rPr>
          <w:rStyle w:val="VerbatimChar"/>
        </w:rPr>
        <w:t xml:space="preserve">  F --&gt; G[Explainability + root-cause hints]</w:t>
      </w:r>
      <w:r>
        <w:br/>
      </w:r>
      <w:r>
        <w:rPr>
          <w:rStyle w:val="VerbatimChar"/>
        </w:rPr>
        <w:t xml:space="preserve">  G --&gt; H[Human feedback + labels]</w:t>
      </w:r>
      <w:r>
        <w:br/>
      </w:r>
      <w:r>
        <w:rPr>
          <w:rStyle w:val="VerbatimChar"/>
        </w:rPr>
        <w:t xml:space="preserve">  H --&gt; I[Retraining + drift monitoring]</w:t>
      </w:r>
      <w:r>
        <w:br/>
      </w:r>
      <w:r>
        <w:rPr>
          <w:rStyle w:val="VerbatimChar"/>
        </w:rPr>
        <w:t xml:space="preserve">  I --&gt; F</w:t>
      </w:r>
    </w:p>
    <w:bookmarkEnd w:id="49"/>
    <w:bookmarkStart w:id="50" w:name="mathematical-formulation"/>
    <w:p>
      <w:pPr>
        <w:pStyle w:val="Heading3"/>
      </w:pPr>
      <w:r>
        <w:t xml:space="preserve">Mathematical formulation</w:t>
      </w:r>
    </w:p>
    <w:p>
      <w:pPr>
        <w:pStyle w:val="FirstParagraph"/>
      </w:pPr>
      <w:r>
        <w:t xml:space="preserve">Let</w:t>
      </w:r>
      <w:r>
        <w:t xml:space="preserve"> </w:t>
      </w:r>
      <m:oMath>
        <m:r>
          <m:t>e</m:t>
        </m:r>
      </m:oMath>
      <w:r>
        <w:t xml:space="preserve"> </w:t>
      </w:r>
      <w:r>
        <w:t xml:space="preserve">denote an entity (e.g., customer, product SKU, contract, region, channel) and</w:t>
      </w:r>
      <w:r>
        <w:t xml:space="preserve"> </w:t>
      </w:r>
      <m:oMath>
        <m:r>
          <m:t>t</m:t>
        </m:r>
      </m:oMath>
      <w:r>
        <w:t xml:space="preserve"> </w:t>
      </w:r>
      <w:r>
        <w:t xml:space="preserve">a time window. Define:</w:t>
      </w:r>
    </w:p>
    <w:p>
      <w:pPr>
        <w:pStyle w:val="Compact"/>
        <w:numPr>
          <w:ilvl w:val="0"/>
          <w:numId w:val="1003"/>
        </w:numPr>
      </w:pPr>
      <w:r>
        <w:t xml:space="preserve">Observed revenue</w:t>
      </w:r>
      <w:r>
        <w:t xml:space="preserve"> </w:t>
      </w:r>
      <m:oMath>
        <m:sSub>
          <m:e>
            <m:r>
              <m:t>R</m:t>
            </m:r>
          </m:e>
          <m:sub>
            <m:r>
              <m:t>e</m:t>
            </m:r>
            <m:r>
              <m:rPr>
                <m:sty m:val="p"/>
              </m:rPr>
              <m:t>,</m:t>
            </m:r>
            <m:r>
              <m:t>t</m:t>
            </m:r>
          </m:sub>
        </m:sSub>
      </m:oMath>
      <w:r>
        <w:t xml:space="preserve"> </w:t>
      </w:r>
      <w:r>
        <w:t xml:space="preserve">(from invoice/payment/recognized revenue, depending on accounting target).</w:t>
      </w:r>
    </w:p>
    <w:p>
      <w:pPr>
        <w:pStyle w:val="Compact"/>
        <w:numPr>
          <w:ilvl w:val="0"/>
          <w:numId w:val="1003"/>
        </w:numPr>
      </w:pPr>
      <w:r>
        <w:t xml:space="preserve">Predicted “expected” revenue</w:t>
      </w:r>
      <w:r>
        <w:t xml:space="preserve"> </w:t>
      </w:r>
      <m:oMath>
        <m:sSub>
          <m:e>
            <m:acc>
              <m:accPr>
                <m:chr m:val="̂"/>
              </m:accPr>
              <m:e>
                <m:r>
                  <m:t>R</m:t>
                </m:r>
              </m:e>
            </m:acc>
          </m:e>
          <m:sub>
            <m:r>
              <m:t>e</m:t>
            </m:r>
            <m:r>
              <m:rPr>
                <m:sty m:val="p"/>
              </m:rPr>
              <m:t>,</m:t>
            </m:r>
            <m:r>
              <m:t>t</m:t>
            </m:r>
          </m:sub>
        </m:sSub>
        <m:r>
          <m:rPr>
            <m:sty m:val="p"/>
          </m:rPr>
          <m:t>=</m:t>
        </m:r>
        <m:sSub>
          <m:e>
            <m:r>
              <m:t>f</m:t>
            </m:r>
          </m:e>
          <m:sub>
            <m:r>
              <m:t>θ</m:t>
            </m:r>
          </m:sub>
        </m:sSub>
        <m:d>
          <m:dPr>
            <m:begChr m:val="("/>
            <m:sepChr m:val=""/>
            <m:endChr m:val=")"/>
            <m:grow/>
          </m:dPr>
          <m:e>
            <m:sSub>
              <m:e>
                <m:r>
                  <m:t>X</m:t>
                </m:r>
              </m:e>
              <m:sub>
                <m:r>
                  <m:t>e</m:t>
                </m:r>
                <m:r>
                  <m:rPr>
                    <m:sty m:val="p"/>
                  </m:rPr>
                  <m:t>,</m:t>
                </m:r>
                <m:r>
                  <m:t>t</m:t>
                </m:r>
              </m:sub>
            </m:sSub>
          </m:e>
        </m:d>
      </m:oMath>
      <w:r>
        <w:t xml:space="preserve"> </w:t>
      </w:r>
      <w:r>
        <w:t xml:space="preserve">from a forecasting/prediction model</w:t>
      </w:r>
      <w:r>
        <w:t xml:space="preserve"> </w:t>
      </w:r>
      <m:oMath>
        <m:sSub>
          <m:e>
            <m:r>
              <m:t>f</m:t>
            </m:r>
          </m:e>
          <m:sub>
            <m:r>
              <m:t>θ</m:t>
            </m:r>
          </m:sub>
        </m:sSub>
      </m:oMath>
      <w:r>
        <w:t xml:space="preserve">.</w:t>
      </w:r>
    </w:p>
    <w:p>
      <w:pPr>
        <w:pStyle w:val="Compact"/>
        <w:numPr>
          <w:ilvl w:val="0"/>
          <w:numId w:val="1003"/>
        </w:numPr>
      </w:pPr>
      <w:r>
        <w:t xml:space="preserve">Deviation</w:t>
      </w:r>
      <w:r>
        <w:t xml:space="preserve"> </w:t>
      </w:r>
      <m:oMath>
        <m:sSub>
          <m:e>
            <m:r>
              <m:t>D</m:t>
            </m:r>
          </m:e>
          <m:sub>
            <m:r>
              <m:t>e</m:t>
            </m:r>
            <m:r>
              <m:rPr>
                <m:sty m:val="p"/>
              </m:rPr>
              <m:t>,</m:t>
            </m:r>
            <m:r>
              <m:t>t</m:t>
            </m:r>
          </m:sub>
        </m:sSub>
        <m:r>
          <m:rPr>
            <m:sty m:val="p"/>
          </m:rPr>
          <m:t>=</m:t>
        </m:r>
        <m:sSub>
          <m:e>
            <m:acc>
              <m:accPr>
                <m:chr m:val="̂"/>
              </m:accPr>
              <m:e>
                <m:r>
                  <m:t>R</m:t>
                </m:r>
              </m:e>
            </m:acc>
          </m:e>
          <m:sub>
            <m:r>
              <m:t>e</m:t>
            </m:r>
            <m:r>
              <m:rPr>
                <m:sty m:val="p"/>
              </m:rPr>
              <m:t>,</m:t>
            </m:r>
            <m:r>
              <m:t>t</m:t>
            </m:r>
          </m:sub>
        </m:sSub>
        <m:r>
          <m:rPr>
            <m:sty m:val="p"/>
          </m:rPr>
          <m:t>−</m:t>
        </m:r>
        <m:sSub>
          <m:e>
            <m:r>
              <m:t>R</m:t>
            </m:r>
          </m:e>
          <m:sub>
            <m:r>
              <m:t>e</m:t>
            </m:r>
            <m:r>
              <m:rPr>
                <m:sty m:val="p"/>
              </m:rPr>
              <m:t>,</m:t>
            </m:r>
            <m:r>
              <m:t>t</m:t>
            </m:r>
          </m:sub>
        </m:sSub>
      </m:oMath>
      <w:r>
        <w:t xml:space="preserve">. Positive</w:t>
      </w:r>
      <w:r>
        <w:t xml:space="preserve"> </w:t>
      </w:r>
      <m:oMath>
        <m:sSub>
          <m:e>
            <m:r>
              <m:t>D</m:t>
            </m:r>
          </m:e>
          <m:sub>
            <m:r>
              <m:t>e</m:t>
            </m:r>
            <m:r>
              <m:rPr>
                <m:sty m:val="p"/>
              </m:rPr>
              <m:t>,</m:t>
            </m:r>
            <m:r>
              <m:t>t</m:t>
            </m:r>
          </m:sub>
        </m:sSub>
      </m:oMath>
      <w:r>
        <w:t xml:space="preserve"> </w:t>
      </w:r>
      <w:r>
        <w:t xml:space="preserve">indicates potential under-realization relative to expectation.</w:t>
      </w:r>
    </w:p>
    <w:p>
      <w:pPr>
        <w:pStyle w:val="Compact"/>
        <w:numPr>
          <w:ilvl w:val="0"/>
          <w:numId w:val="1003"/>
        </w:numPr>
      </w:pPr>
      <w:r>
        <w:t xml:space="preserve">Reconciliation/conformance signal</w:t>
      </w:r>
      <w:r>
        <w:t xml:space="preserve"> </w:t>
      </w:r>
      <m:oMath>
        <m:sSub>
          <m:e>
            <m:r>
              <m:t>C</m:t>
            </m:r>
          </m:e>
          <m:sub>
            <m:r>
              <m:t>e</m:t>
            </m:r>
            <m:r>
              <m:rPr>
                <m:sty m:val="p"/>
              </m:rPr>
              <m:t>,</m:t>
            </m:r>
            <m:r>
              <m:t>t</m:t>
            </m:r>
          </m:sub>
        </m:sSub>
      </m:oMath>
      <w:r>
        <w:t xml:space="preserve"> </w:t>
      </w:r>
      <w:r>
        <w:t xml:space="preserve">capturing missing steps or mismatched counts/amounts (e.g., usage event completeness, order-to-cash trace gaps). Here, process mining style conformance checking motivates converting deviations into diagnostic signals.</w:t>
      </w:r>
      <w:r>
        <w:t xml:space="preserve"> </w:t>
      </w:r>
      <w:hyperlink r:id="rId26">
        <w:r>
          <w:rPr>
            <w:rStyle w:val="Hyperlink"/>
          </w:rPr>
          <w:t xml:space="preserve">[13]</w:t>
        </w:r>
      </w:hyperlink>
    </w:p>
    <w:p>
      <w:pPr>
        <w:pStyle w:val="Compact"/>
        <w:numPr>
          <w:ilvl w:val="0"/>
          <w:numId w:val="1003"/>
        </w:numPr>
      </w:pPr>
      <w:r>
        <w:t xml:space="preserve">Transaction-level anomaly scores</w:t>
      </w:r>
      <w:r>
        <w:t xml:space="preserve"> </w:t>
      </w:r>
      <m:oMath>
        <m:sSub>
          <m:e>
            <m:r>
              <m:t>a</m:t>
            </m:r>
          </m:e>
          <m:sub>
            <m:r>
              <m:t>i</m:t>
            </m:r>
          </m:sub>
        </m:sSub>
        <m:r>
          <m:rPr>
            <m:sty m:val="p"/>
          </m:rPr>
          <m:t>∈</m:t>
        </m:r>
        <m:r>
          <m:rPr>
            <m:sty m:val="p"/>
            <m:scr m:val="double-struck"/>
          </m:rPr>
          <m:t>R</m:t>
        </m:r>
      </m:oMath>
      <w:r>
        <w:t xml:space="preserve"> </w:t>
      </w:r>
      <w:r>
        <w:t xml:space="preserve">for individual records</w:t>
      </w:r>
      <w:r>
        <w:t xml:space="preserve"> </w:t>
      </w:r>
      <m:oMath>
        <m:r>
          <m:t>i</m:t>
        </m:r>
      </m:oMath>
      <w:r>
        <w:t xml:space="preserve"> </w:t>
      </w:r>
      <w:r>
        <w:t xml:space="preserve">within</w:t>
      </w:r>
      <w:r>
        <w:t xml:space="preserve"> </w:t>
      </w:r>
      <m:oMath>
        <m:d>
          <m:dPr>
            <m:begChr m:val="("/>
            <m:sepChr m:val=""/>
            <m:endChr m:val=")"/>
            <m:grow/>
          </m:dPr>
          <m:e>
            <m:r>
              <m:t>e</m:t>
            </m:r>
            <m:r>
              <m:rPr>
                <m:sty m:val="p"/>
              </m:rPr>
              <m:t>,</m:t>
            </m:r>
            <m:r>
              <m:t>t</m:t>
            </m:r>
          </m:e>
        </m:d>
      </m:oMath>
      <w:r>
        <w:t xml:space="preserve">, produced by an anomaly model</w:t>
      </w:r>
      <w:r>
        <w:t xml:space="preserve"> </w:t>
      </w:r>
      <m:oMath>
        <m:sSub>
          <m:e>
            <m:r>
              <m:t>g</m:t>
            </m:r>
          </m:e>
          <m:sub>
            <m:r>
              <m:t>ϕ</m:t>
            </m:r>
          </m:sub>
        </m:sSub>
      </m:oMath>
      <w:r>
        <w:t xml:space="preserve"> </w:t>
      </w:r>
      <w:r>
        <w:t xml:space="preserve">(e.g., Isolation Forest, LOF, autoencoder, transformer).</w:t>
      </w:r>
      <w:r>
        <w:t xml:space="preserve"> </w:t>
      </w:r>
      <w:hyperlink r:id="rId43">
        <w:r>
          <w:rPr>
            <w:rStyle w:val="Hyperlink"/>
          </w:rPr>
          <w:t xml:space="preserve">[32]</w:t>
        </w:r>
      </w:hyperlink>
    </w:p>
    <w:p>
      <w:pPr>
        <w:pStyle w:val="FirstParagraph"/>
      </w:pPr>
      <w:r>
        <w:t xml:space="preserve">Aggregate transaction anomaly evidence as</w:t>
      </w:r>
      <w:r>
        <w:t xml:space="preserve"> </w:t>
      </w:r>
      <m:oMath>
        <m:sSub>
          <m:e>
            <m:r>
              <m:t>A</m:t>
            </m:r>
          </m:e>
          <m:sub>
            <m:r>
              <m:t>e</m:t>
            </m:r>
            <m:r>
              <m:rPr>
                <m:sty m:val="p"/>
              </m:rPr>
              <m:t>,</m:t>
            </m:r>
            <m:r>
              <m:t>t</m:t>
            </m:r>
          </m:sub>
        </m:sSub>
        <m:r>
          <m:rPr>
            <m:sty m:val="p"/>
          </m:rPr>
          <m:t>=</m:t>
        </m:r>
        <m:r>
          <m:rPr>
            <m:sty m:val="p"/>
          </m:rPr>
          <m:t>A</m:t>
        </m:r>
        <m:r>
          <m:rPr>
            <m:sty m:val="p"/>
          </m:rPr>
          <m:t>g</m:t>
        </m:r>
        <m:r>
          <m:rPr>
            <m:sty m:val="p"/>
          </m:rPr>
          <m:t>g</m:t>
        </m:r>
        <m:d>
          <m:dPr>
            <m:begChr m:val="("/>
            <m:sepChr m:val=""/>
            <m:endChr m:val=")"/>
            <m:grow/>
          </m:dPr>
          <m:e>
            <m:r>
              <m:rPr>
                <m:sty m:val="p"/>
              </m:rPr>
              <m:t>{</m:t>
            </m:r>
            <m:sSub>
              <m:e>
                <m:r>
                  <m:t>a</m:t>
                </m:r>
              </m:e>
              <m:sub>
                <m:r>
                  <m:t>i</m:t>
                </m:r>
              </m:sub>
            </m:sSub>
            <m:sSub>
              <m:e>
                <m:r>
                  <m:rPr>
                    <m:sty m:val="p"/>
                  </m:rPr>
                  <m:t>}</m:t>
                </m:r>
              </m:e>
              <m:sub>
                <m:r>
                  <m:t>i</m:t>
                </m:r>
                <m:r>
                  <m:rPr>
                    <m:sty m:val="p"/>
                  </m:rPr>
                  <m:t>∈</m:t>
                </m:r>
                <m:d>
                  <m:dPr>
                    <m:begChr m:val="("/>
                    <m:sepChr m:val=""/>
                    <m:endChr m:val=")"/>
                    <m:grow/>
                  </m:dPr>
                  <m:e>
                    <m:r>
                      <m:t>e</m:t>
                    </m:r>
                    <m:r>
                      <m:rPr>
                        <m:sty m:val="p"/>
                      </m:rPr>
                      <m:t>,</m:t>
                    </m:r>
                    <m:r>
                      <m:t>t</m:t>
                    </m:r>
                  </m:e>
                </m:d>
              </m:sub>
            </m:sSub>
          </m:e>
        </m:d>
      </m:oMath>
      <w:r>
        <w:t xml:space="preserve"> </w:t>
      </w:r>
      <w:r>
        <w:t xml:space="preserve">(e.g., max, top-k mean, or quantile).</w:t>
      </w:r>
    </w:p>
    <w:p>
      <w:pPr>
        <w:pStyle w:val="BodyText"/>
      </w:pPr>
      <w:r>
        <w:t xml:space="preserve">Define a loss-point risk score:</w:t>
      </w:r>
    </w:p>
    <w:p>
      <w:pPr>
        <w:pStyle w:val="BodyText"/>
      </w:pPr>
      <m:oMathPara>
        <m:oMathParaPr>
          <m:jc m:val="center"/>
        </m:oMathParaPr>
        <m:oMath>
          <m:sSub>
            <m:e>
              <m:r>
                <m:t>S</m:t>
              </m:r>
            </m:e>
            <m:sub>
              <m:r>
                <m:t>e</m:t>
              </m:r>
              <m:r>
                <m:rPr>
                  <m:sty m:val="p"/>
                </m:rPr>
                <m:t>,</m:t>
              </m:r>
              <m:r>
                <m:t>t</m:t>
              </m:r>
            </m:sub>
          </m:sSub>
          <m:r>
            <m:rPr>
              <m:sty m:val="p"/>
            </m:rPr>
            <m:t>=</m:t>
          </m:r>
          <m:r>
            <m:t>α</m:t>
          </m:r>
          <m:r>
            <m:rPr>
              <m:sty m:val="p"/>
            </m:rPr>
            <m:t>⋅</m:t>
          </m:r>
          <m:r>
            <m:rPr>
              <m:sty m:val="p"/>
            </m:rPr>
            <m:t>n</m:t>
          </m:r>
          <m:r>
            <m:rPr>
              <m:sty m:val="p"/>
            </m:rPr>
            <m:t>o</m:t>
          </m:r>
          <m:r>
            <m:rPr>
              <m:sty m:val="p"/>
            </m:rPr>
            <m:t>r</m:t>
          </m:r>
          <m:r>
            <m:rPr>
              <m:sty m:val="p"/>
            </m:rPr>
            <m:t>m</m:t>
          </m:r>
          <m:d>
            <m:dPr>
              <m:begChr m:val="("/>
              <m:sepChr m:val=""/>
              <m:endChr m:val=")"/>
              <m:grow/>
            </m:dPr>
            <m:e>
              <m:sSub>
                <m:e>
                  <m:r>
                    <m:t>D</m:t>
                  </m:r>
                </m:e>
                <m:sub>
                  <m:r>
                    <m:t>e</m:t>
                  </m:r>
                  <m:r>
                    <m:rPr>
                      <m:sty m:val="p"/>
                    </m:rPr>
                    <m:t>,</m:t>
                  </m:r>
                  <m:r>
                    <m:t>t</m:t>
                  </m:r>
                </m:sub>
              </m:sSub>
            </m:e>
          </m:d>
          <m:r>
            <m:t> </m:t>
          </m:r>
          <m:r>
            <m:rPr>
              <m:sty m:val="p"/>
            </m:rPr>
            <m:t>+</m:t>
          </m:r>
          <m:r>
            <m:t> </m:t>
          </m:r>
          <m:r>
            <m:t>β</m:t>
          </m:r>
          <m:r>
            <m:rPr>
              <m:sty m:val="p"/>
            </m:rPr>
            <m:t>⋅</m:t>
          </m:r>
          <m:r>
            <m:rPr>
              <m:sty m:val="p"/>
            </m:rPr>
            <m:t>n</m:t>
          </m:r>
          <m:r>
            <m:rPr>
              <m:sty m:val="p"/>
            </m:rPr>
            <m:t>o</m:t>
          </m:r>
          <m:r>
            <m:rPr>
              <m:sty m:val="p"/>
            </m:rPr>
            <m:t>r</m:t>
          </m:r>
          <m:r>
            <m:rPr>
              <m:sty m:val="p"/>
            </m:rPr>
            <m:t>m</m:t>
          </m:r>
          <m:d>
            <m:dPr>
              <m:begChr m:val="("/>
              <m:sepChr m:val=""/>
              <m:endChr m:val=")"/>
              <m:grow/>
            </m:dPr>
            <m:e>
              <m:sSub>
                <m:e>
                  <m:r>
                    <m:t>A</m:t>
                  </m:r>
                </m:e>
                <m:sub>
                  <m:r>
                    <m:t>e</m:t>
                  </m:r>
                  <m:r>
                    <m:rPr>
                      <m:sty m:val="p"/>
                    </m:rPr>
                    <m:t>,</m:t>
                  </m:r>
                  <m:r>
                    <m:t>t</m:t>
                  </m:r>
                </m:sub>
              </m:sSub>
            </m:e>
          </m:d>
          <m:r>
            <m:t> </m:t>
          </m:r>
          <m:r>
            <m:rPr>
              <m:sty m:val="p"/>
            </m:rPr>
            <m:t>+</m:t>
          </m:r>
          <m:r>
            <m:t> </m:t>
          </m:r>
          <m:r>
            <m:t>γ</m:t>
          </m:r>
          <m:r>
            <m:rPr>
              <m:sty m:val="p"/>
            </m:rPr>
            <m:t>⋅</m:t>
          </m:r>
          <m:r>
            <m:rPr>
              <m:sty m:val="p"/>
            </m:rPr>
            <m:t>n</m:t>
          </m:r>
          <m:r>
            <m:rPr>
              <m:sty m:val="p"/>
            </m:rPr>
            <m:t>o</m:t>
          </m:r>
          <m:r>
            <m:rPr>
              <m:sty m:val="p"/>
            </m:rPr>
            <m:t>r</m:t>
          </m:r>
          <m:r>
            <m:rPr>
              <m:sty m:val="p"/>
            </m:rPr>
            <m:t>m</m:t>
          </m:r>
          <m:d>
            <m:dPr>
              <m:begChr m:val="("/>
              <m:sepChr m:val=""/>
              <m:endChr m:val=")"/>
              <m:grow/>
            </m:dPr>
            <m:e>
              <m:sSub>
                <m:e>
                  <m:r>
                    <m:t>C</m:t>
                  </m:r>
                </m:e>
                <m:sub>
                  <m:r>
                    <m:t>e</m:t>
                  </m:r>
                  <m:r>
                    <m:rPr>
                      <m:sty m:val="p"/>
                    </m:rPr>
                    <m:t>,</m:t>
                  </m:r>
                  <m:r>
                    <m:t>t</m:t>
                  </m:r>
                </m:sub>
              </m:sSub>
            </m:e>
          </m:d>
          <m:r>
            <m:t> </m:t>
          </m:r>
          <m:r>
            <m:rPr>
              <m:sty m:val="p"/>
            </m:rPr>
            <m:t>+</m:t>
          </m:r>
          <m:r>
            <m:t> </m:t>
          </m:r>
          <m:r>
            <m:t>δ</m:t>
          </m:r>
          <m:r>
            <m:rPr>
              <m:sty m:val="p"/>
            </m:rPr>
            <m:t>⋅</m:t>
          </m:r>
          <m:r>
            <m:rPr>
              <m:sty m:val="p"/>
            </m:rPr>
            <m:t>n</m:t>
          </m:r>
          <m:r>
            <m:rPr>
              <m:sty m:val="p"/>
            </m:rPr>
            <m:t>o</m:t>
          </m:r>
          <m:r>
            <m:rPr>
              <m:sty m:val="p"/>
            </m:rPr>
            <m:t>r</m:t>
          </m:r>
          <m:r>
            <m:rPr>
              <m:sty m:val="p"/>
            </m:rPr>
            <m:t>m</m:t>
          </m:r>
          <m:d>
            <m:dPr>
              <m:begChr m:val="("/>
              <m:sepChr m:val=""/>
              <m:endChr m:val=")"/>
              <m:grow/>
            </m:dPr>
            <m:e>
              <m:sSub>
                <m:e>
                  <m:r>
                    <m:t>Q</m:t>
                  </m:r>
                </m:e>
                <m:sub>
                  <m:r>
                    <m:t>e</m:t>
                  </m:r>
                  <m:r>
                    <m:rPr>
                      <m:sty m:val="p"/>
                    </m:rPr>
                    <m:t>,</m:t>
                  </m:r>
                  <m:r>
                    <m:t>t</m:t>
                  </m:r>
                </m:sub>
              </m:sSub>
            </m:e>
          </m:d>
          <m:r>
            <m:rPr>
              <m:sty m:val="p"/>
            </m:rPr>
            <m:t>,</m:t>
          </m:r>
        </m:oMath>
      </m:oMathPara>
    </w:p>
    <w:p>
      <w:pPr>
        <w:pStyle w:val="FirstParagraph"/>
      </w:pPr>
      <w:r>
        <w:t xml:space="preserve">where</w:t>
      </w:r>
      <w:r>
        <w:t xml:space="preserve"> </w:t>
      </w:r>
      <m:oMath>
        <m:sSub>
          <m:e>
            <m:r>
              <m:t>Q</m:t>
            </m:r>
          </m:e>
          <m:sub>
            <m:r>
              <m:t>e</m:t>
            </m:r>
            <m:r>
              <m:rPr>
                <m:sty m:val="p"/>
              </m:rPr>
              <m:t>,</m:t>
            </m:r>
            <m:r>
              <m:t>t</m:t>
            </m:r>
          </m:sub>
        </m:sSub>
      </m:oMath>
      <w:r>
        <w:t xml:space="preserve"> </w:t>
      </w:r>
      <w:r>
        <w:t xml:space="preserve">is a data-quality / schema-health term (e.g., missingness spikes, late-arriving records), and</w:t>
      </w:r>
      <w:r>
        <w:t xml:space="preserve"> </w:t>
      </w:r>
      <m:oMath>
        <m:r>
          <m:t>α</m:t>
        </m:r>
        <m:r>
          <m:rPr>
            <m:sty m:val="p"/>
          </m:rPr>
          <m:t>,</m:t>
        </m:r>
        <m:r>
          <m:t>β</m:t>
        </m:r>
        <m:r>
          <m:rPr>
            <m:sty m:val="p"/>
          </m:rPr>
          <m:t>,</m:t>
        </m:r>
        <m:r>
          <m:t>γ</m:t>
        </m:r>
        <m:r>
          <m:rPr>
            <m:sty m:val="p"/>
          </m:rPr>
          <m:t>,</m:t>
        </m:r>
        <m:r>
          <m:t>δ</m:t>
        </m:r>
        <m:r>
          <m:rPr>
            <m:sty m:val="p"/>
          </m:rPr>
          <m:t>≥</m:t>
        </m:r>
        <m:r>
          <m:t>0</m:t>
        </m:r>
      </m:oMath>
      <w:r>
        <w:t xml:space="preserve"> </w:t>
      </w:r>
      <w:r>
        <w:t xml:space="preserve">are tunable weights.</w:t>
      </w:r>
    </w:p>
    <w:p>
      <w:pPr>
        <w:pStyle w:val="BodyText"/>
      </w:pPr>
      <w:r>
        <w:rPr>
          <w:b/>
          <w:bCs/>
        </w:rPr>
        <w:t xml:space="preserve">Estimated recoverable loss</w:t>
      </w:r>
      <w:r>
        <w:t xml:space="preserve"> </w:t>
      </w:r>
      <w:r>
        <w:t xml:space="preserve">can be reported as:</w:t>
      </w:r>
    </w:p>
    <w:p>
      <w:pPr>
        <w:pStyle w:val="BodyText"/>
      </w:pPr>
      <m:oMathPara>
        <m:oMathParaPr>
          <m:jc m:val="center"/>
        </m:oMathParaPr>
        <m:oMath>
          <m:sSub>
            <m:e>
              <m:acc>
                <m:accPr>
                  <m:chr m:val="̂"/>
                </m:accPr>
                <m:e>
                  <m:r>
                    <m:t>L</m:t>
                  </m:r>
                </m:e>
              </m:acc>
            </m:e>
            <m:sub>
              <m:r>
                <m:t>e</m:t>
              </m:r>
              <m:r>
                <m:rPr>
                  <m:sty m:val="p"/>
                </m:rPr>
                <m:t>,</m:t>
              </m:r>
              <m:r>
                <m:t>t</m:t>
              </m:r>
            </m:sub>
          </m:sSub>
          <m:r>
            <m:rPr>
              <m:sty m:val="p"/>
            </m:rPr>
            <m:t>=</m:t>
          </m:r>
          <m:r>
            <m:rPr>
              <m:sty m:val="p"/>
            </m:rPr>
            <m:t>max</m:t>
          </m:r>
          <m:d>
            <m:dPr>
              <m:begChr m:val="("/>
              <m:sepChr m:val=""/>
              <m:endChr m:val=")"/>
              <m:grow/>
            </m:dPr>
            <m:e>
              <m:r>
                <m:t>0</m:t>
              </m:r>
              <m:r>
                <m:rPr>
                  <m:sty m:val="p"/>
                </m:rPr>
                <m:t>,</m:t>
              </m:r>
              <m:sSub>
                <m:e>
                  <m:r>
                    <m:t>D</m:t>
                  </m:r>
                </m:e>
                <m:sub>
                  <m:r>
                    <m:t>e</m:t>
                  </m:r>
                  <m:r>
                    <m:rPr>
                      <m:sty m:val="p"/>
                    </m:rPr>
                    <m:t>,</m:t>
                  </m:r>
                  <m:r>
                    <m:t>t</m:t>
                  </m:r>
                </m:sub>
              </m:sSub>
            </m:e>
          </m:d>
          <m:r>
            <m:rPr>
              <m:sty m:val="p"/>
            </m:rPr>
            <m:t>⋅</m:t>
          </m:r>
          <m:sSub>
            <m:e>
              <m:r>
                <m:t>π</m:t>
              </m:r>
            </m:e>
            <m:sub>
              <m:r>
                <m:t>e</m:t>
              </m:r>
              <m:r>
                <m:rPr>
                  <m:sty m:val="p"/>
                </m:rPr>
                <m:t>,</m:t>
              </m:r>
              <m:r>
                <m:t>t</m:t>
              </m:r>
            </m:sub>
          </m:sSub>
          <m:r>
            <m:rPr>
              <m:sty m:val="p"/>
            </m:rPr>
            <m:t>,</m:t>
          </m:r>
        </m:oMath>
      </m:oMathPara>
    </w:p>
    <w:p>
      <w:pPr>
        <w:pStyle w:val="FirstParagraph"/>
      </w:pPr>
      <w:r>
        <w:t xml:space="preserve">where</w:t>
      </w:r>
      <w:r>
        <w:t xml:space="preserve"> </w:t>
      </w:r>
      <m:oMath>
        <m:sSub>
          <m:e>
            <m:r>
              <m:t>π</m:t>
            </m:r>
          </m:e>
          <m:sub>
            <m:r>
              <m:t>e</m:t>
            </m:r>
            <m:r>
              <m:rPr>
                <m:sty m:val="p"/>
              </m:rPr>
              <m:t>,</m:t>
            </m:r>
            <m:r>
              <m:t>t</m:t>
            </m:r>
          </m:sub>
        </m:sSub>
      </m:oMath>
      <w:r>
        <w:t xml:space="preserve"> </w:t>
      </w:r>
      <w:r>
        <w:t xml:space="preserve">is a recoverability factor (e.g., probability of true leakage, or fraction collectible given dispute/age). This mirrors practical revenue assurance needs: detect, localize, and estimate impact.</w:t>
      </w:r>
      <w:r>
        <w:t xml:space="preserve"> </w:t>
      </w:r>
      <w:hyperlink r:id="rId28">
        <w:r>
          <w:rPr>
            <w:rStyle w:val="Hyperlink"/>
          </w:rPr>
          <w:t xml:space="preserve">[33]</w:t>
        </w:r>
      </w:hyperlink>
    </w:p>
    <w:bookmarkEnd w:id="50"/>
    <w:bookmarkStart w:id="51" w:name="pseudocode"/>
    <w:p>
      <w:pPr>
        <w:pStyle w:val="Heading3"/>
      </w:pPr>
      <w:r>
        <w:t xml:space="preserve">Pseudocode</w:t>
      </w:r>
    </w:p>
    <w:p>
      <w:pPr>
        <w:pStyle w:val="SourceCode"/>
      </w:pPr>
      <w:r>
        <w:rPr>
          <w:rStyle w:val="VerbatimChar"/>
        </w:rPr>
        <w:t xml:space="preserve">Algorithm RevenueLeakageDetector</w:t>
      </w:r>
      <w:r>
        <w:br/>
      </w:r>
      <w:r>
        <w:rPr>
          <w:rStyle w:val="VerbatimChar"/>
        </w:rPr>
        <w:t xml:space="preserve">Inputs:</w:t>
      </w:r>
      <w:r>
        <w:br/>
      </w:r>
      <w:r>
        <w:rPr>
          <w:rStyle w:val="VerbatimChar"/>
        </w:rPr>
        <w:t xml:space="preserve">  - Data tables/logs T_orders, T_usage, T_invoices, T_payments, T_contracts, ...</w:t>
      </w:r>
      <w:r>
        <w:br/>
      </w:r>
      <w:r>
        <w:rPr>
          <w:rStyle w:val="VerbatimChar"/>
        </w:rPr>
        <w:t xml:space="preserve">  - Time windows W, entity set E</w:t>
      </w:r>
      <w:r>
        <w:br/>
      </w:r>
      <w:r>
        <w:rPr>
          <w:rStyle w:val="VerbatimChar"/>
        </w:rPr>
        <w:t xml:space="preserve">  - Models: expected-revenue predictor f_theta, anomaly scorer g_phi</w:t>
      </w:r>
      <w:r>
        <w:br/>
      </w:r>
      <w:r>
        <w:rPr>
          <w:rStyle w:val="VerbatimChar"/>
        </w:rPr>
        <w:t xml:space="preserve">  - Business rules/invariants R (optional)</w:t>
      </w:r>
      <w:r>
        <w:br/>
      </w:r>
      <w:r>
        <w:rPr>
          <w:rStyle w:val="VerbatimChar"/>
        </w:rPr>
        <w:t xml:space="preserve">Outputs:</w:t>
      </w:r>
      <w:r>
        <w:br/>
      </w:r>
      <w:r>
        <w:rPr>
          <w:rStyle w:val="VerbatimChar"/>
        </w:rPr>
        <w:t xml:space="preserve">  - Ranked list of (e, t) loss-point candidates with explanations</w:t>
      </w:r>
      <w:r>
        <w:br/>
      </w:r>
      <w:r>
        <w:br/>
      </w:r>
      <w:r>
        <w:rPr>
          <w:rStyle w:val="VerbatimChar"/>
        </w:rPr>
        <w:t xml:space="preserve">1  Z &lt;- join_and_clean(T_*, keys, schema_rules)             # data quality gates</w:t>
      </w:r>
      <w:r>
        <w:br/>
      </w:r>
      <w:r>
        <w:rPr>
          <w:rStyle w:val="VerbatimChar"/>
        </w:rPr>
        <w:t xml:space="preserve">2  X &lt;- build_features(Z)                                  # entity-time + transaction features</w:t>
      </w:r>
      <w:r>
        <w:br/>
      </w:r>
      <w:r>
        <w:rPr>
          <w:rStyle w:val="VerbatimChar"/>
        </w:rPr>
        <w:t xml:space="preserve">3  for each (e, t) in (E x W):</w:t>
      </w:r>
      <w:r>
        <w:br/>
      </w:r>
      <w:r>
        <w:rPr>
          <w:rStyle w:val="VerbatimChar"/>
        </w:rPr>
        <w:t xml:space="preserve">4      R_obs &lt;- observed_revenue(Z, e, t)</w:t>
      </w:r>
      <w:r>
        <w:br/>
      </w:r>
      <w:r>
        <w:rPr>
          <w:rStyle w:val="VerbatimChar"/>
        </w:rPr>
        <w:t xml:space="preserve">5      R_hat &lt;- f_theta.predict(X_entity_time[e,t])</w:t>
      </w:r>
      <w:r>
        <w:br/>
      </w:r>
      <w:r>
        <w:rPr>
          <w:rStyle w:val="VerbatimChar"/>
        </w:rPr>
        <w:t xml:space="preserve">6      D &lt;- R_hat - R_obs</w:t>
      </w:r>
      <w:r>
        <w:br/>
      </w:r>
      <w:r>
        <w:rPr>
          <w:rStyle w:val="VerbatimChar"/>
        </w:rPr>
        <w:t xml:space="preserve">7      C &lt;- reconciliation_score(Z, e, t, invariants=R)     # missing events, mismatched amounts, etc.</w:t>
      </w:r>
      <w:r>
        <w:br/>
      </w:r>
      <w:r>
        <w:rPr>
          <w:rStyle w:val="VerbatimChar"/>
        </w:rPr>
        <w:t xml:space="preserve">8      A &lt;- aggregate_anomaly(g_phi.score(X_txns[e,t]))     # max or top-k mean</w:t>
      </w:r>
      <w:r>
        <w:br/>
      </w:r>
      <w:r>
        <w:rPr>
          <w:rStyle w:val="VerbatimChar"/>
        </w:rPr>
        <w:t xml:space="preserve">9      Q &lt;- data_quality_score(Z, e, t)</w:t>
      </w:r>
      <w:r>
        <w:br/>
      </w:r>
      <w:r>
        <w:rPr>
          <w:rStyle w:val="VerbatimChar"/>
        </w:rPr>
        <w:t xml:space="preserve">10     S[e,t] &lt;- alpha*norm(D) + beta*norm(A) + gamma*norm(C) + delta*norm(Q)</w:t>
      </w:r>
      <w:r>
        <w:br/>
      </w:r>
      <w:r>
        <w:rPr>
          <w:rStyle w:val="VerbatimChar"/>
        </w:rPr>
        <w:t xml:space="preserve">11     Expl[e,t] &lt;- explain(S, f_theta, g_phi, Z, e, t)     # SHAP/LIME + rule violations + missing steps</w:t>
      </w:r>
      <w:r>
        <w:br/>
      </w:r>
      <w:r>
        <w:rPr>
          <w:rStyle w:val="VerbatimChar"/>
        </w:rPr>
        <w:t xml:space="preserve">12 return sort_by(S, tie_breaker=estimated_loss(D))</w:t>
      </w:r>
    </w:p>
    <w:bookmarkEnd w:id="51"/>
    <w:bookmarkStart w:id="52" w:name="explainability-design"/>
    <w:p>
      <w:pPr>
        <w:pStyle w:val="Heading3"/>
      </w:pPr>
      <w:r>
        <w:t xml:space="preserve">Explainability design</w:t>
      </w:r>
    </w:p>
    <w:p>
      <w:pPr>
        <w:pStyle w:val="FirstParagraph"/>
      </w:pPr>
      <w:r>
        <w:t xml:space="preserve">The system should output</w:t>
      </w:r>
      <w:r>
        <w:t xml:space="preserve"> </w:t>
      </w:r>
      <w:r>
        <w:rPr>
          <w:i/>
          <w:iCs/>
        </w:rPr>
        <w:t xml:space="preserve">two explanation layers</w:t>
      </w:r>
      <w:r>
        <w:t xml:space="preserve">:</w:t>
      </w:r>
    </w:p>
    <w:p>
      <w:pPr>
        <w:pStyle w:val="Compact"/>
        <w:numPr>
          <w:ilvl w:val="0"/>
          <w:numId w:val="1004"/>
        </w:numPr>
      </w:pPr>
      <w:r>
        <w:rPr>
          <w:b/>
          <w:bCs/>
        </w:rPr>
        <w:t xml:space="preserve">Model layer</w:t>
      </w:r>
      <w:r>
        <w:t xml:space="preserve">: feature attributions explaining</w:t>
      </w:r>
      <w:r>
        <w:t xml:space="preserve"> </w:t>
      </w:r>
      <m:oMath>
        <m:sSub>
          <m:e>
            <m:acc>
              <m:accPr>
                <m:chr m:val="̂"/>
              </m:accPr>
              <m:e>
                <m:r>
                  <m:t>R</m:t>
                </m:r>
              </m:e>
            </m:acc>
          </m:e>
          <m:sub>
            <m:r>
              <m:t>e</m:t>
            </m:r>
            <m:r>
              <m:rPr>
                <m:sty m:val="p"/>
              </m:rPr>
              <m:t>,</m:t>
            </m:r>
            <m:r>
              <m:t>t</m:t>
            </m:r>
          </m:sub>
        </m:sSub>
      </m:oMath>
      <w:r>
        <w:t xml:space="preserve"> </w:t>
      </w:r>
      <w:r>
        <w:t xml:space="preserve">or classification risk; SHAP and LIME are standard choices.</w:t>
      </w:r>
      <w:r>
        <w:t xml:space="preserve"> </w:t>
      </w:r>
      <w:hyperlink r:id="rId32">
        <w:r>
          <w:rPr>
            <w:rStyle w:val="Hyperlink"/>
          </w:rPr>
          <w:t xml:space="preserve">[28]</w:t>
        </w:r>
      </w:hyperlink>
    </w:p>
    <w:p>
      <w:pPr>
        <w:pStyle w:val="Compact"/>
        <w:numPr>
          <w:ilvl w:val="0"/>
          <w:numId w:val="1004"/>
        </w:numPr>
      </w:pPr>
      <w:r>
        <w:rPr>
          <w:b/>
          <w:bCs/>
        </w:rPr>
        <w:t xml:space="preserve">Process/reconciliation layer</w:t>
      </w:r>
      <w:r>
        <w:t xml:space="preserve">: a checklist of violated invariants (e.g., “usage events exist without invoice lines,” “invoice issued without contract activation event”), and optionally conformance-checking diagnostics if an event-log model is available.</w:t>
      </w:r>
      <w:r>
        <w:t xml:space="preserve"> </w:t>
      </w:r>
      <w:hyperlink r:id="rId26">
        <w:r>
          <w:rPr>
            <w:rStyle w:val="Hyperlink"/>
          </w:rPr>
          <w:t xml:space="preserve">[34]</w:t>
        </w:r>
      </w:hyperlink>
    </w:p>
    <w:bookmarkEnd w:id="52"/>
    <w:bookmarkStart w:id="53" w:name="hyperparameters-to-expose"/>
    <w:p>
      <w:pPr>
        <w:pStyle w:val="Heading3"/>
      </w:pPr>
      <w:r>
        <w:t xml:space="preserve">Hyperparameters to expose</w:t>
      </w:r>
    </w:p>
    <w:p>
      <w:pPr>
        <w:pStyle w:val="FirstParagraph"/>
      </w:pPr>
      <w:r>
        <w:t xml:space="preserve">A practical configuration set (suitable for a paper’s “implementation details” table) includes:</w:t>
      </w:r>
    </w:p>
    <w:p>
      <w:pPr>
        <w:pStyle w:val="Compact"/>
        <w:numPr>
          <w:ilvl w:val="0"/>
          <w:numId w:val="1005"/>
        </w:numPr>
      </w:pPr>
      <w:r>
        <w:t xml:space="preserve">Windowing:</w:t>
      </w:r>
      <w:r>
        <w:t xml:space="preserve"> </w:t>
      </w:r>
      <m:oMath>
        <m:d>
          <m:dPr>
            <m:begChr m:val="|"/>
            <m:sepChr m:val=""/>
            <m:endChr m:val="|"/>
            <m:grow/>
          </m:dPr>
          <m:e>
            <m:r>
              <m:t>W</m:t>
            </m:r>
          </m:e>
        </m:d>
      </m:oMath>
      <w:r>
        <w:t xml:space="preserve"> </w:t>
      </w:r>
      <w:r>
        <w:t xml:space="preserve">(daily/weekly), seasonality/timestamp features.</w:t>
      </w:r>
      <w:r>
        <w:t xml:space="preserve"> </w:t>
      </w:r>
      <w:hyperlink r:id="rId45">
        <w:r>
          <w:rPr>
            <w:rStyle w:val="Hyperlink"/>
          </w:rPr>
          <w:t xml:space="preserve">[35]</w:t>
        </w:r>
      </w:hyperlink>
    </w:p>
    <w:p>
      <w:pPr>
        <w:pStyle w:val="Compact"/>
        <w:numPr>
          <w:ilvl w:val="0"/>
          <w:numId w:val="1005"/>
        </w:numPr>
      </w:pPr>
      <w:r>
        <w:t xml:space="preserve">Expected-revenue model: model family (LightGBM/XGBoost vs transformer), learning rate, depth/leaves, regularization.</w:t>
      </w:r>
      <w:r>
        <w:t xml:space="preserve"> </w:t>
      </w:r>
      <w:hyperlink r:id="rId44">
        <w:r>
          <w:rPr>
            <w:rStyle w:val="Hyperlink"/>
          </w:rPr>
          <w:t xml:space="preserve">[36]</w:t>
        </w:r>
      </w:hyperlink>
    </w:p>
    <w:p>
      <w:pPr>
        <w:pStyle w:val="Compact"/>
        <w:numPr>
          <w:ilvl w:val="0"/>
          <w:numId w:val="1005"/>
        </w:numPr>
      </w:pPr>
      <w:r>
        <w:t xml:space="preserve">Anomaly model: contamination/expected anomaly rate (Isolation Forest), neighborhood size (LOF), kernel and</w:t>
      </w:r>
      <w:r>
        <w:t xml:space="preserve"> </w:t>
      </w:r>
      <m:oMath>
        <m:r>
          <m:t>ν</m:t>
        </m:r>
      </m:oMath>
      <w:r>
        <w:t xml:space="preserve"> </w:t>
      </w:r>
      <w:r>
        <w:t xml:space="preserve">(one-class SVM), latent dimension (autoencoder).</w:t>
      </w:r>
      <w:r>
        <w:t xml:space="preserve"> </w:t>
      </w:r>
      <w:hyperlink r:id="rId43">
        <w:r>
          <w:rPr>
            <w:rStyle w:val="Hyperlink"/>
          </w:rPr>
          <w:t xml:space="preserve">[37]</w:t>
        </w:r>
      </w:hyperlink>
    </w:p>
    <w:p>
      <w:pPr>
        <w:pStyle w:val="Compact"/>
        <w:numPr>
          <w:ilvl w:val="0"/>
          <w:numId w:val="1005"/>
        </w:numPr>
      </w:pPr>
      <w:r>
        <w:t xml:space="preserve">Evidence fusion:</w:t>
      </w:r>
      <w:r>
        <w:t xml:space="preserve"> </w:t>
      </w:r>
      <m:oMath>
        <m:r>
          <m:t>α</m:t>
        </m:r>
        <m:r>
          <m:rPr>
            <m:sty m:val="p"/>
          </m:rPr>
          <m:t>,</m:t>
        </m:r>
        <m:r>
          <m:t>β</m:t>
        </m:r>
        <m:r>
          <m:rPr>
            <m:sty m:val="p"/>
          </m:rPr>
          <m:t>,</m:t>
        </m:r>
        <m:r>
          <m:t>γ</m:t>
        </m:r>
        <m:r>
          <m:rPr>
            <m:sty m:val="p"/>
          </m:rPr>
          <m:t>,</m:t>
        </m:r>
        <m:r>
          <m:t>δ</m:t>
        </m:r>
      </m:oMath>
      <w:r>
        <w:t xml:space="preserve">, normalization scheme, alert thresholds, and top-</w:t>
      </w:r>
      <m:oMath>
        <m:r>
          <m:t>k</m:t>
        </m:r>
      </m:oMath>
      <w:r>
        <w:t xml:space="preserve"> </w:t>
      </w:r>
      <w:r>
        <w:t xml:space="preserve">review budget (precision@k target).</w:t>
      </w:r>
      <w:r>
        <w:t xml:space="preserve"> </w:t>
      </w:r>
      <w:hyperlink r:id="rId36">
        <w:r>
          <w:rPr>
            <w:rStyle w:val="Hyperlink"/>
          </w:rPr>
          <w:t xml:space="preserve">[27]</w:t>
        </w:r>
      </w:hyperlink>
    </w:p>
    <w:bookmarkEnd w:id="53"/>
    <w:bookmarkStart w:id="54" w:name="computational-complexity"/>
    <w:p>
      <w:pPr>
        <w:pStyle w:val="Heading3"/>
      </w:pPr>
      <w:r>
        <w:t xml:space="preserve">Computational complexity</w:t>
      </w:r>
    </w:p>
    <w:p>
      <w:pPr>
        <w:pStyle w:val="FirstParagraph"/>
      </w:pPr>
      <w:r>
        <w:t xml:space="preserve">Let</w:t>
      </w:r>
      <w:r>
        <w:t xml:space="preserve"> </w:t>
      </w:r>
      <m:oMath>
        <m:r>
          <m:t>n</m:t>
        </m:r>
      </m:oMath>
      <w:r>
        <w:t xml:space="preserve"> </w:t>
      </w:r>
      <w:r>
        <w:t xml:space="preserve">be number of transactions and</w:t>
      </w:r>
      <w:r>
        <w:t xml:space="preserve"> </w:t>
      </w:r>
      <m:oMath>
        <m:r>
          <m:t>d</m:t>
        </m:r>
      </m:oMath>
      <w:r>
        <w:t xml:space="preserve"> </w:t>
      </w:r>
      <w:r>
        <w:t xml:space="preserve">features.</w:t>
      </w:r>
    </w:p>
    <w:p>
      <w:pPr>
        <w:pStyle w:val="Compact"/>
        <w:numPr>
          <w:ilvl w:val="0"/>
          <w:numId w:val="1006"/>
        </w:numPr>
      </w:pPr>
      <w:r>
        <w:t xml:space="preserve">Isolation Forest training is designed to be efficient via subsampling and has documented favorable computational characteristics; in practice it is often treated as near-linear in</w:t>
      </w:r>
      <w:r>
        <w:t xml:space="preserve"> </w:t>
      </w:r>
      <m:oMath>
        <m:r>
          <m:t>n</m:t>
        </m:r>
      </m:oMath>
      <w:r>
        <w:t xml:space="preserve"> </w:t>
      </w:r>
      <w:r>
        <w:t xml:space="preserve">with a small constant depending on number of trees and subsample size.</w:t>
      </w:r>
      <w:r>
        <w:t xml:space="preserve"> </w:t>
      </w:r>
      <w:hyperlink r:id="rId43">
        <w:r>
          <w:rPr>
            <w:rStyle w:val="Hyperlink"/>
          </w:rPr>
          <w:t xml:space="preserve">[24]</w:t>
        </w:r>
      </w:hyperlink>
    </w:p>
    <w:p>
      <w:pPr>
        <w:pStyle w:val="Compact"/>
        <w:numPr>
          <w:ilvl w:val="0"/>
          <w:numId w:val="1006"/>
        </w:numPr>
      </w:pPr>
      <w:r>
        <w:t xml:space="preserve">LOF typically depends on nearest-neighbor search, which becomes expensive at scale unless approximations/indexes are used.</w:t>
      </w:r>
      <w:r>
        <w:t xml:space="preserve"> </w:t>
      </w:r>
      <w:hyperlink r:id="rId42">
        <w:r>
          <w:rPr>
            <w:rStyle w:val="Hyperlink"/>
          </w:rPr>
          <w:t xml:space="preserve">[38]</w:t>
        </w:r>
      </w:hyperlink>
    </w:p>
    <w:p>
      <w:pPr>
        <w:pStyle w:val="Compact"/>
        <w:numPr>
          <w:ilvl w:val="0"/>
          <w:numId w:val="1006"/>
        </w:numPr>
      </w:pPr>
      <w:r>
        <w:t xml:space="preserve">Gradient-boosted trees scale roughly with</w:t>
      </w:r>
      <w:r>
        <w:t xml:space="preserve"> </w:t>
      </w:r>
      <m:oMath>
        <m:r>
          <m:t>O</m:t>
        </m:r>
        <m:d>
          <m:dPr>
            <m:begChr m:val="("/>
            <m:sepChr m:val=""/>
            <m:endChr m:val=")"/>
            <m:grow/>
          </m:dPr>
          <m:e>
            <m:r>
              <m:t>M</m:t>
            </m:r>
            <m:r>
              <m:rPr>
                <m:sty m:val="p"/>
              </m:rPr>
              <m:t>⋅</m:t>
            </m:r>
            <m:r>
              <m:t>n</m:t>
            </m:r>
            <m:r>
              <m:rPr>
                <m:sty m:val="p"/>
              </m:rPr>
              <m:t>log</m:t>
            </m:r>
            <m:r>
              <m:t>n</m:t>
            </m:r>
          </m:e>
        </m:d>
      </m:oMath>
      <w:r>
        <w:t xml:space="preserve"> </w:t>
      </w:r>
      <w:r>
        <w:t xml:space="preserve">for</w:t>
      </w:r>
      <w:r>
        <w:t xml:space="preserve"> </w:t>
      </w:r>
      <m:oMath>
        <m:r>
          <m:t>M</m:t>
        </m:r>
      </m:oMath>
      <w:r>
        <w:t xml:space="preserve"> </w:t>
      </w:r>
      <w:r>
        <w:t xml:space="preserve">trees (implementation-dependent), and are commonly selected for large tabular problems due to efficiency and quality.</w:t>
      </w:r>
      <w:r>
        <w:t xml:space="preserve"> </w:t>
      </w:r>
      <w:hyperlink r:id="rId44">
        <w:r>
          <w:rPr>
            <w:rStyle w:val="Hyperlink"/>
          </w:rPr>
          <w:t xml:space="preserve">[36]</w:t>
        </w:r>
      </w:hyperlink>
    </w:p>
    <w:p>
      <w:pPr>
        <w:pStyle w:val="Compact"/>
        <w:numPr>
          <w:ilvl w:val="0"/>
          <w:numId w:val="1006"/>
        </w:numPr>
      </w:pPr>
      <w:r>
        <w:t xml:space="preserve">Transformer-based sequence models introduce higher training cost (roughly quadratic in sequence length without sparsity tricks) but can improve sequential anomaly detection in complex time series.</w:t>
      </w:r>
      <w:r>
        <w:t xml:space="preserve"> </w:t>
      </w:r>
      <w:hyperlink r:id="rId45">
        <w:r>
          <w:rPr>
            <w:rStyle w:val="Hyperlink"/>
          </w:rPr>
          <w:t xml:space="preserve">[26]</w:t>
        </w:r>
      </w:hyperlink>
    </w:p>
    <w:bookmarkEnd w:id="54"/>
    <w:bookmarkEnd w:id="55"/>
    <w:bookmarkStart w:id="62" w:name="experimental-design"/>
    <w:p>
      <w:pPr>
        <w:pStyle w:val="Heading2"/>
      </w:pPr>
      <w:r>
        <w:t xml:space="preserve">Experimental design</w:t>
      </w:r>
    </w:p>
    <w:bookmarkStart w:id="56" w:name="tasks-and-evaluation-targets"/>
    <w:p>
      <w:pPr>
        <w:pStyle w:val="Heading3"/>
      </w:pPr>
      <w:r>
        <w:t xml:space="preserve">Tasks and evaluation targets</w:t>
      </w:r>
    </w:p>
    <w:p>
      <w:pPr>
        <w:pStyle w:val="FirstParagraph"/>
      </w:pPr>
      <w:r>
        <w:t xml:space="preserve">To make the research paper rigorous, define</w:t>
      </w:r>
      <w:r>
        <w:t xml:space="preserve"> </w:t>
      </w:r>
      <w:r>
        <w:rPr>
          <w:b/>
          <w:bCs/>
        </w:rPr>
        <w:t xml:space="preserve">two primary tasks</w:t>
      </w:r>
      <w:r>
        <w:t xml:space="preserve"> </w:t>
      </w:r>
      <w:r>
        <w:t xml:space="preserve">and one optional task:</w:t>
      </w:r>
    </w:p>
    <w:p>
      <w:pPr>
        <w:pStyle w:val="Compact"/>
        <w:numPr>
          <w:ilvl w:val="0"/>
          <w:numId w:val="1007"/>
        </w:numPr>
      </w:pPr>
      <w:r>
        <w:rPr>
          <w:b/>
          <w:bCs/>
        </w:rPr>
        <w:t xml:space="preserve">Task A (transaction/line-item anomaly detection)</w:t>
      </w:r>
      <w:r>
        <w:t xml:space="preserve">: identify erroneous invoice lines, suspicious discounts, missing charges, duplicate refunds, or atypical settlements.</w:t>
      </w:r>
      <w:r>
        <w:t xml:space="preserve"> </w:t>
      </w:r>
      <w:hyperlink r:id="rId40">
        <w:r>
          <w:rPr>
            <w:rStyle w:val="Hyperlink"/>
          </w:rPr>
          <w:t xml:space="preserve">[39]</w:t>
        </w:r>
      </w:hyperlink>
    </w:p>
    <w:p>
      <w:pPr>
        <w:pStyle w:val="Compact"/>
        <w:numPr>
          <w:ilvl w:val="0"/>
          <w:numId w:val="1007"/>
        </w:numPr>
      </w:pPr>
      <w:r>
        <w:rPr>
          <w:b/>
          <w:bCs/>
        </w:rPr>
        <w:t xml:space="preserve">Task B (loss-point ranking)</w:t>
      </w:r>
      <w:r>
        <w:t xml:space="preserve">: rank entity-time buckets</w:t>
      </w:r>
      <w:r>
        <w:t xml:space="preserve"> </w:t>
      </w:r>
      <m:oMath>
        <m:d>
          <m:dPr>
            <m:begChr m:val="("/>
            <m:sepChr m:val=""/>
            <m:endChr m:val=")"/>
            <m:grow/>
          </m:dPr>
          <m:e>
            <m:r>
              <m:t>e</m:t>
            </m:r>
            <m:r>
              <m:rPr>
                <m:sty m:val="p"/>
              </m:rPr>
              <m:t>,</m:t>
            </m:r>
            <m:r>
              <m:t>t</m:t>
            </m:r>
          </m:e>
        </m:d>
      </m:oMath>
      <w:r>
        <w:t xml:space="preserve"> </w:t>
      </w:r>
      <w:r>
        <w:t xml:space="preserve">by likelihood and magnitude of revenue leakage (the system’s core promise).</w:t>
      </w:r>
      <w:r>
        <w:t xml:space="preserve"> </w:t>
      </w:r>
      <w:hyperlink r:id="rId29">
        <w:r>
          <w:rPr>
            <w:rStyle w:val="Hyperlink"/>
          </w:rPr>
          <w:t xml:space="preserve">[40]</w:t>
        </w:r>
      </w:hyperlink>
    </w:p>
    <w:p>
      <w:pPr>
        <w:pStyle w:val="Compact"/>
        <w:numPr>
          <w:ilvl w:val="0"/>
          <w:numId w:val="1007"/>
        </w:numPr>
      </w:pPr>
      <w:r>
        <w:rPr>
          <w:b/>
          <w:bCs/>
        </w:rPr>
        <w:t xml:space="preserve">Optional Task C (root-cause localization)</w:t>
      </w:r>
      <w:r>
        <w:t xml:space="preserve">: evaluate whether the system correctly identifies the failing step (e.g., missing mediation feed, wrong price list, term misapplication). This can be scored via annotated synthetic injections or expert audit sampling.</w:t>
      </w:r>
      <w:r>
        <w:t xml:space="preserve"> </w:t>
      </w:r>
      <w:hyperlink r:id="rId26">
        <w:r>
          <w:rPr>
            <w:rStyle w:val="Hyperlink"/>
          </w:rPr>
          <w:t xml:space="preserve">[41]</w:t>
        </w:r>
      </w:hyperlink>
    </w:p>
    <w:bookmarkEnd w:id="56"/>
    <w:bookmarkStart w:id="57" w:name="data-splits-and-cross-validation"/>
    <w:p>
      <w:pPr>
        <w:pStyle w:val="Heading3"/>
      </w:pPr>
      <w:r>
        <w:t xml:space="preserve">Data splits and cross-validation</w:t>
      </w:r>
    </w:p>
    <w:p>
      <w:pPr>
        <w:pStyle w:val="FirstParagraph"/>
      </w:pPr>
      <w:r>
        <w:t xml:space="preserve">Because leakage patterns drift and “future” operations should not influence “past” predictions, prefer</w:t>
      </w:r>
      <w:r>
        <w:t xml:space="preserve"> </w:t>
      </w:r>
      <w:r>
        <w:rPr>
          <w:b/>
          <w:bCs/>
        </w:rPr>
        <w:t xml:space="preserve">time-based splits</w:t>
      </w:r>
      <w:r>
        <w:t xml:space="preserve">:</w:t>
      </w:r>
    </w:p>
    <w:p>
      <w:pPr>
        <w:pStyle w:val="Compact"/>
        <w:numPr>
          <w:ilvl w:val="0"/>
          <w:numId w:val="1008"/>
        </w:numPr>
      </w:pPr>
      <w:r>
        <w:t xml:space="preserve">Train on</w:t>
      </w:r>
      <w:r>
        <w:t xml:space="preserve"> </w:t>
      </w:r>
      <m:oMath>
        <m:d>
          <m:dPr>
            <m:begChr m:val="["/>
            <m:sepChr m:val=""/>
            <m:endChr m:val="]"/>
            <m:grow/>
          </m:dPr>
          <m:e>
            <m:sSub>
              <m:e>
                <m:r>
                  <m:t>t</m:t>
                </m:r>
              </m:e>
              <m:sub>
                <m:r>
                  <m:t>0</m:t>
                </m:r>
              </m:sub>
            </m:sSub>
            <m:r>
              <m:rPr>
                <m:sty m:val="p"/>
              </m:rPr>
              <m:t>,</m:t>
            </m:r>
            <m:sSub>
              <m:e>
                <m:r>
                  <m:t>t</m:t>
                </m:r>
              </m:e>
              <m:sub>
                <m:r>
                  <m:t>t</m:t>
                </m:r>
                <m:r>
                  <m:t>r</m:t>
                </m:r>
                <m:r>
                  <m:t>a</m:t>
                </m:r>
                <m:r>
                  <m:t>i</m:t>
                </m:r>
                <m:r>
                  <m:t>n</m:t>
                </m:r>
              </m:sub>
            </m:sSub>
          </m:e>
        </m:d>
      </m:oMath>
      <w:r>
        <w:t xml:space="preserve">, validate on</w:t>
      </w:r>
      <w:r>
        <w:t xml:space="preserve"> </w:t>
      </w:r>
      <m:oMath>
        <m:r>
          <m:rPr>
            <m:sty m:val="p"/>
          </m:rPr>
          <m:t>(</m:t>
        </m:r>
        <m:sSub>
          <m:e>
            <m:r>
              <m:t>t</m:t>
            </m:r>
          </m:e>
          <m:sub>
            <m:r>
              <m:t>t</m:t>
            </m:r>
            <m:r>
              <m:t>r</m:t>
            </m:r>
            <m:r>
              <m:t>a</m:t>
            </m:r>
            <m:r>
              <m:t>i</m:t>
            </m:r>
            <m:r>
              <m:t>n</m:t>
            </m:r>
          </m:sub>
        </m:sSub>
        <m:r>
          <m:rPr>
            <m:sty m:val="p"/>
          </m:rPr>
          <m:t>,</m:t>
        </m:r>
        <m:sSub>
          <m:e>
            <m:r>
              <m:t>t</m:t>
            </m:r>
          </m:e>
          <m:sub>
            <m:r>
              <m:t>v</m:t>
            </m:r>
            <m:r>
              <m:t>a</m:t>
            </m:r>
            <m:r>
              <m:t>l</m:t>
            </m:r>
          </m:sub>
        </m:sSub>
        <m:r>
          <m:rPr>
            <m:sty m:val="p"/>
          </m:rPr>
          <m:t>]</m:t>
        </m:r>
      </m:oMath>
      <w:r>
        <w:t xml:space="preserve">, test on</w:t>
      </w:r>
      <w:r>
        <w:t xml:space="preserve"> </w:t>
      </w:r>
      <m:oMath>
        <m:r>
          <m:rPr>
            <m:sty m:val="p"/>
          </m:rPr>
          <m:t>(</m:t>
        </m:r>
        <m:sSub>
          <m:e>
            <m:r>
              <m:t>t</m:t>
            </m:r>
          </m:e>
          <m:sub>
            <m:r>
              <m:t>v</m:t>
            </m:r>
            <m:r>
              <m:t>a</m:t>
            </m:r>
            <m:r>
              <m:t>l</m:t>
            </m:r>
          </m:sub>
        </m:sSub>
        <m:r>
          <m:rPr>
            <m:sty m:val="p"/>
          </m:rPr>
          <m:t>,</m:t>
        </m:r>
        <m:sSub>
          <m:e>
            <m:r>
              <m:t>t</m:t>
            </m:r>
          </m:e>
          <m:sub>
            <m:r>
              <m:t>t</m:t>
            </m:r>
            <m:r>
              <m:t>e</m:t>
            </m:r>
            <m:r>
              <m:t>s</m:t>
            </m:r>
            <m:r>
              <m:t>t</m:t>
            </m:r>
          </m:sub>
        </m:sSub>
        <m:r>
          <m:rPr>
            <m:sty m:val="p"/>
          </m:rPr>
          <m:t>]</m:t>
        </m:r>
      </m:oMath>
      <w:r>
        <w:t xml:space="preserve">.</w:t>
      </w:r>
    </w:p>
    <w:p>
      <w:pPr>
        <w:pStyle w:val="Compact"/>
        <w:numPr>
          <w:ilvl w:val="0"/>
          <w:numId w:val="1008"/>
        </w:numPr>
      </w:pPr>
      <w:r>
        <w:t xml:space="preserve">Add</w:t>
      </w:r>
      <w:r>
        <w:t xml:space="preserve"> </w:t>
      </w:r>
      <w:r>
        <w:rPr>
          <w:b/>
          <w:bCs/>
        </w:rPr>
        <w:t xml:space="preserve">group constraints</w:t>
      </w:r>
      <w:r>
        <w:t xml:space="preserve"> </w:t>
      </w:r>
      <w:r>
        <w:t xml:space="preserve">when relevant (e.g., ensure the same invoice ID or dispute case doesn’t appear across splits). This mirrors concerns in real-time fraud/anomaly systems with delayed labels and nonstationarity.</w:t>
      </w:r>
      <w:r>
        <w:t xml:space="preserve"> </w:t>
      </w:r>
      <w:hyperlink r:id="rId23">
        <w:r>
          <w:rPr>
            <w:rStyle w:val="Hyperlink"/>
          </w:rPr>
          <w:t xml:space="preserve">[42]</w:t>
        </w:r>
      </w:hyperlink>
    </w:p>
    <w:p>
      <w:pPr>
        <w:pStyle w:val="FirstParagraph"/>
      </w:pPr>
      <w:r>
        <w:t xml:space="preserve">For hyperparameter selection, use either:</w:t>
      </w:r>
    </w:p>
    <w:p>
      <w:pPr>
        <w:pStyle w:val="Compact"/>
        <w:numPr>
          <w:ilvl w:val="0"/>
          <w:numId w:val="1009"/>
        </w:numPr>
      </w:pPr>
      <w:r>
        <w:t xml:space="preserve">Rolling-origin evaluation (walk-forward validation), or</w:t>
      </w:r>
    </w:p>
    <w:p>
      <w:pPr>
        <w:pStyle w:val="Compact"/>
        <w:numPr>
          <w:ilvl w:val="0"/>
          <w:numId w:val="1009"/>
        </w:numPr>
      </w:pPr>
      <w:r>
        <w:t xml:space="preserve">Nested time-series CV for stable estimation under drift.</w:t>
      </w:r>
    </w:p>
    <w:bookmarkEnd w:id="57"/>
    <w:bookmarkStart w:id="58" w:name="baselines"/>
    <w:p>
      <w:pPr>
        <w:pStyle w:val="Heading3"/>
      </w:pPr>
      <w:r>
        <w:t xml:space="preserve">Baselines</w:t>
      </w:r>
    </w:p>
    <w:p>
      <w:pPr>
        <w:pStyle w:val="FirstParagraph"/>
      </w:pPr>
      <w:r>
        <w:t xml:space="preserve">A paper should include baselines across four categories:</w:t>
      </w:r>
    </w:p>
    <w:p>
      <w:pPr>
        <w:pStyle w:val="Compact"/>
        <w:numPr>
          <w:ilvl w:val="0"/>
          <w:numId w:val="1010"/>
        </w:numPr>
      </w:pPr>
      <w:r>
        <w:rPr>
          <w:b/>
          <w:bCs/>
        </w:rPr>
        <w:t xml:space="preserve">Rules/statistics</w:t>
      </w:r>
      <w:r>
        <w:t xml:space="preserve">: z-score/IQR thresholds; seasonal decomposition + residual thresholds; simple reconciliation counts. (These correspond to “static rules and periodic QA” limitations described in telecom billing contexts.)</w:t>
      </w:r>
      <w:r>
        <w:t xml:space="preserve"> </w:t>
      </w:r>
      <w:hyperlink r:id="rId38">
        <w:r>
          <w:rPr>
            <w:rStyle w:val="Hyperlink"/>
          </w:rPr>
          <w:t xml:space="preserve">[43]</w:t>
        </w:r>
      </w:hyperlink>
    </w:p>
    <w:p>
      <w:pPr>
        <w:pStyle w:val="Compact"/>
        <w:numPr>
          <w:ilvl w:val="0"/>
          <w:numId w:val="1010"/>
        </w:numPr>
      </w:pPr>
      <w:r>
        <w:rPr>
          <w:b/>
          <w:bCs/>
        </w:rPr>
        <w:t xml:space="preserve">Unsupervised ML</w:t>
      </w:r>
      <w:r>
        <w:t xml:space="preserve">: LOF, Isolation Forest, one-class SVM, PCA residuals, autoencoders.</w:t>
      </w:r>
      <w:r>
        <w:t xml:space="preserve"> </w:t>
      </w:r>
      <w:hyperlink r:id="rId42">
        <w:r>
          <w:rPr>
            <w:rStyle w:val="Hyperlink"/>
          </w:rPr>
          <w:t xml:space="preserve">[44]</w:t>
        </w:r>
      </w:hyperlink>
    </w:p>
    <w:p>
      <w:pPr>
        <w:pStyle w:val="Compact"/>
        <w:numPr>
          <w:ilvl w:val="0"/>
          <w:numId w:val="1010"/>
        </w:numPr>
      </w:pPr>
      <w:r>
        <w:rPr>
          <w:b/>
          <w:bCs/>
        </w:rPr>
        <w:t xml:space="preserve">Supervised / weak supervision</w:t>
      </w:r>
      <w:r>
        <w:t xml:space="preserve">: XGBoost, LightGBM, CatBoost trained on historical audits/charge corrections where available.</w:t>
      </w:r>
      <w:r>
        <w:t xml:space="preserve"> </w:t>
      </w:r>
      <w:hyperlink r:id="rId44">
        <w:r>
          <w:rPr>
            <w:rStyle w:val="Hyperlink"/>
          </w:rPr>
          <w:t xml:space="preserve">[25]</w:t>
        </w:r>
      </w:hyperlink>
    </w:p>
    <w:p>
      <w:pPr>
        <w:pStyle w:val="Compact"/>
        <w:numPr>
          <w:ilvl w:val="0"/>
          <w:numId w:val="1010"/>
        </w:numPr>
      </w:pPr>
      <w:r>
        <w:rPr>
          <w:b/>
          <w:bCs/>
        </w:rPr>
        <w:t xml:space="preserve">Sequential</w:t>
      </w:r>
      <w:r>
        <w:t xml:space="preserve"> </w:t>
      </w:r>
      <w:r>
        <w:t xml:space="preserve">(if time series and logs are central): Anomaly Transformer or similar transformer-based residual/reconstruction models.</w:t>
      </w:r>
      <w:r>
        <w:t xml:space="preserve"> </w:t>
      </w:r>
      <w:hyperlink r:id="rId45">
        <w:r>
          <w:rPr>
            <w:rStyle w:val="Hyperlink"/>
          </w:rPr>
          <w:t xml:space="preserve">[26]</w:t>
        </w:r>
      </w:hyperlink>
    </w:p>
    <w:bookmarkEnd w:id="58"/>
    <w:bookmarkStart w:id="59" w:name="ablation-studies"/>
    <w:p>
      <w:pPr>
        <w:pStyle w:val="Heading3"/>
      </w:pPr>
      <w:r>
        <w:t xml:space="preserve">Ablation studies</w:t>
      </w:r>
    </w:p>
    <w:p>
      <w:pPr>
        <w:pStyle w:val="FirstParagraph"/>
      </w:pPr>
      <w:r>
        <w:t xml:space="preserve">Recommended ablations isolate each evidence stream:</w:t>
      </w:r>
    </w:p>
    <w:p>
      <w:pPr>
        <w:pStyle w:val="Compact"/>
        <w:numPr>
          <w:ilvl w:val="0"/>
          <w:numId w:val="1011"/>
        </w:numPr>
      </w:pPr>
      <w:r>
        <w:t xml:space="preserve">Remove reconciliation/conformance</w:t>
      </w:r>
      <w:r>
        <w:t xml:space="preserve"> </w:t>
      </w:r>
      <m:oMath>
        <m:sSub>
          <m:e>
            <m:r>
              <m:t>C</m:t>
            </m:r>
          </m:e>
          <m:sub>
            <m:r>
              <m:t>e</m:t>
            </m:r>
            <m:r>
              <m:rPr>
                <m:sty m:val="p"/>
              </m:rPr>
              <m:t>,</m:t>
            </m:r>
            <m:r>
              <m:t>t</m:t>
            </m:r>
          </m:sub>
        </m:sSub>
      </m:oMath>
    </w:p>
    <w:p>
      <w:pPr>
        <w:pStyle w:val="Compact"/>
        <w:numPr>
          <w:ilvl w:val="0"/>
          <w:numId w:val="1011"/>
        </w:numPr>
      </w:pPr>
      <w:r>
        <w:t xml:space="preserve">Remove expected-revenue deviation</w:t>
      </w:r>
      <w:r>
        <w:t xml:space="preserve"> </w:t>
      </w:r>
      <m:oMath>
        <m:sSub>
          <m:e>
            <m:r>
              <m:t>D</m:t>
            </m:r>
          </m:e>
          <m:sub>
            <m:r>
              <m:t>e</m:t>
            </m:r>
            <m:r>
              <m:rPr>
                <m:sty m:val="p"/>
              </m:rPr>
              <m:t>,</m:t>
            </m:r>
            <m:r>
              <m:t>t</m:t>
            </m:r>
          </m:sub>
        </m:sSub>
      </m:oMath>
    </w:p>
    <w:p>
      <w:pPr>
        <w:pStyle w:val="Compact"/>
        <w:numPr>
          <w:ilvl w:val="0"/>
          <w:numId w:val="1011"/>
        </w:numPr>
      </w:pPr>
      <w:r>
        <w:t xml:space="preserve">Remove transaction anomaly aggregate</w:t>
      </w:r>
      <w:r>
        <w:t xml:space="preserve"> </w:t>
      </w:r>
      <m:oMath>
        <m:sSub>
          <m:e>
            <m:r>
              <m:t>A</m:t>
            </m:r>
          </m:e>
          <m:sub>
            <m:r>
              <m:t>e</m:t>
            </m:r>
            <m:r>
              <m:rPr>
                <m:sty m:val="p"/>
              </m:rPr>
              <m:t>,</m:t>
            </m:r>
            <m:r>
              <m:t>t</m:t>
            </m:r>
          </m:sub>
        </m:sSub>
      </m:oMath>
    </w:p>
    <w:p>
      <w:pPr>
        <w:pStyle w:val="Compact"/>
        <w:numPr>
          <w:ilvl w:val="0"/>
          <w:numId w:val="1011"/>
        </w:numPr>
      </w:pPr>
      <w:r>
        <w:t xml:space="preserve">Remove explainability and measure impact on investigator time (if user-study feasible)</w:t>
      </w:r>
    </w:p>
    <w:p>
      <w:pPr>
        <w:pStyle w:val="FirstParagraph"/>
      </w:pPr>
      <w:r>
        <w:t xml:space="preserve">This directly tests whether “hybrid” integration provides gains beyond single-method detection.</w:t>
      </w:r>
      <w:r>
        <w:t xml:space="preserve"> </w:t>
      </w:r>
      <w:hyperlink r:id="rId40">
        <w:r>
          <w:rPr>
            <w:rStyle w:val="Hyperlink"/>
          </w:rPr>
          <w:t xml:space="preserve">[45]</w:t>
        </w:r>
      </w:hyperlink>
    </w:p>
    <w:bookmarkEnd w:id="59"/>
    <w:bookmarkStart w:id="61" w:name="evaluation-protocol"/>
    <w:p>
      <w:pPr>
        <w:pStyle w:val="Heading3"/>
      </w:pPr>
      <w:r>
        <w:t xml:space="preserve">Evaluation protocol</w:t>
      </w:r>
    </w:p>
    <w:p>
      <w:pPr>
        <w:pStyle w:val="Compact"/>
        <w:numPr>
          <w:ilvl w:val="0"/>
          <w:numId w:val="1012"/>
        </w:numPr>
      </w:pPr>
      <w:r>
        <w:t xml:space="preserve">Use PR metrics and top-</w:t>
      </w:r>
      <m:oMath>
        <m:r>
          <m:t>k</m:t>
        </m:r>
      </m:oMath>
      <w:r>
        <w:t xml:space="preserve"> </w:t>
      </w:r>
      <w:r>
        <w:t xml:space="preserve">ranking metrics due to imbalance and limited review capacity.</w:t>
      </w:r>
      <w:r>
        <w:t xml:space="preserve"> </w:t>
      </w:r>
      <w:hyperlink r:id="rId36">
        <w:r>
          <w:rPr>
            <w:rStyle w:val="Hyperlink"/>
          </w:rPr>
          <w:t xml:space="preserve">[27]</w:t>
        </w:r>
      </w:hyperlink>
    </w:p>
    <w:p>
      <w:pPr>
        <w:pStyle w:val="Compact"/>
        <w:numPr>
          <w:ilvl w:val="0"/>
          <w:numId w:val="1012"/>
        </w:numPr>
      </w:pPr>
      <w:r>
        <w:t xml:space="preserve">Calibrate alert thresholds on validation only; avoid test-set threshold tuning.</w:t>
      </w:r>
    </w:p>
    <w:p>
      <w:pPr>
        <w:pStyle w:val="Compact"/>
        <w:numPr>
          <w:ilvl w:val="0"/>
          <w:numId w:val="1012"/>
        </w:numPr>
      </w:pPr>
      <w:r>
        <w:t xml:space="preserve">Report confidence intervals via bootstrap or fold variance; use paired tests where possible for significance.</w:t>
      </w:r>
      <w:r>
        <w:t xml:space="preserve"> </w:t>
      </w:r>
      <w:hyperlink r:id="rId60">
        <w:r>
          <w:rPr>
            <w:rStyle w:val="Hyperlink"/>
          </w:rPr>
          <w:t xml:space="preserve">[46]</w:t>
        </w:r>
      </w:hyperlink>
    </w:p>
    <w:p>
      <w:pPr>
        <w:pStyle w:val="FirstParagraph"/>
      </w:pPr>
      <w:r>
        <w:t xml:space="preserve">Mermaid timeline (Stage-2 experiments plan):</w:t>
      </w:r>
    </w:p>
    <w:p>
      <w:pPr>
        <w:pStyle w:val="SourceCode"/>
      </w:pPr>
      <w:r>
        <w:rPr>
          <w:rStyle w:val="VerbatimChar"/>
        </w:rPr>
        <w:t xml:space="preserve">gantt</w:t>
      </w:r>
      <w:r>
        <w:br/>
      </w:r>
      <w:r>
        <w:rPr>
          <w:rStyle w:val="VerbatimChar"/>
        </w:rPr>
        <w:t xml:space="preserve">  title Stage-2 experimental timeline (suggested)</w:t>
      </w:r>
      <w:r>
        <w:br/>
      </w:r>
      <w:r>
        <w:rPr>
          <w:rStyle w:val="VerbatimChar"/>
        </w:rPr>
        <w:t xml:space="preserve">  dateFormat  YYYY-MM-DD</w:t>
      </w:r>
      <w:r>
        <w:br/>
      </w:r>
      <w:r>
        <w:rPr>
          <w:rStyle w:val="VerbatimChar"/>
        </w:rPr>
        <w:t xml:space="preserve">  section Data</w:t>
      </w:r>
      <w:r>
        <w:br/>
      </w:r>
      <w:r>
        <w:rPr>
          <w:rStyle w:val="VerbatimChar"/>
        </w:rPr>
        <w:t xml:space="preserve">  Define schema + joins           :a1, 2026-03-01, 10d</w:t>
      </w:r>
      <w:r>
        <w:br/>
      </w:r>
      <w:r>
        <w:rPr>
          <w:rStyle w:val="VerbatimChar"/>
        </w:rPr>
        <w:t xml:space="preserve">  Synthetic leakage generator     :a2, after a1, 10d</w:t>
      </w:r>
      <w:r>
        <w:br/>
      </w:r>
      <w:r>
        <w:rPr>
          <w:rStyle w:val="VerbatimChar"/>
        </w:rPr>
        <w:t xml:space="preserve">  Public dataset baselines        :a3, after a1, 12d</w:t>
      </w:r>
      <w:r>
        <w:br/>
      </w:r>
      <w:r>
        <w:rPr>
          <w:rStyle w:val="VerbatimChar"/>
        </w:rPr>
        <w:t xml:space="preserve">  section Modeling</w:t>
      </w:r>
      <w:r>
        <w:br/>
      </w:r>
      <w:r>
        <w:rPr>
          <w:rStyle w:val="VerbatimChar"/>
        </w:rPr>
        <w:t xml:space="preserve">  Train expected-revenue models   :b1, after a2, 12d</w:t>
      </w:r>
      <w:r>
        <w:br/>
      </w:r>
      <w:r>
        <w:rPr>
          <w:rStyle w:val="VerbatimChar"/>
        </w:rPr>
        <w:t xml:space="preserve">  Train anomaly detectors         :b2, after a2, 12d</w:t>
      </w:r>
      <w:r>
        <w:br/>
      </w:r>
      <w:r>
        <w:rPr>
          <w:rStyle w:val="VerbatimChar"/>
        </w:rPr>
        <w:t xml:space="preserve">  Fusion + ranking                :b3, after b1, 8d</w:t>
      </w:r>
      <w:r>
        <w:br/>
      </w:r>
      <w:r>
        <w:rPr>
          <w:rStyle w:val="VerbatimChar"/>
        </w:rPr>
        <w:t xml:space="preserve">  section Evaluation</w:t>
      </w:r>
      <w:r>
        <w:br/>
      </w:r>
      <w:r>
        <w:rPr>
          <w:rStyle w:val="VerbatimChar"/>
        </w:rPr>
        <w:t xml:space="preserve">  Baselines + ablations           :c1, after b3, 12d</w:t>
      </w:r>
      <w:r>
        <w:br/>
      </w:r>
      <w:r>
        <w:rPr>
          <w:rStyle w:val="VerbatimChar"/>
        </w:rPr>
        <w:t xml:space="preserve">  Significance + robustness       :c2, after c1, 7d</w:t>
      </w:r>
      <w:r>
        <w:br/>
      </w:r>
      <w:r>
        <w:rPr>
          <w:rStyle w:val="VerbatimChar"/>
        </w:rPr>
        <w:t xml:space="preserve">  section Writing</w:t>
      </w:r>
      <w:r>
        <w:br/>
      </w:r>
      <w:r>
        <w:rPr>
          <w:rStyle w:val="VerbatimChar"/>
        </w:rPr>
        <w:t xml:space="preserve">  Figures/tables + LaTeX          :d1, after c2, 10d</w:t>
      </w:r>
    </w:p>
    <w:bookmarkEnd w:id="61"/>
    <w:bookmarkEnd w:id="62"/>
    <w:bookmarkStart w:id="71" w:name="datasets-and-governance"/>
    <w:p>
      <w:pPr>
        <w:pStyle w:val="Heading2"/>
      </w:pPr>
      <w:r>
        <w:t xml:space="preserve">Datasets and governance</w:t>
      </w:r>
    </w:p>
    <w:bookmarkStart w:id="65" w:name="public-datasets-suitable-as-proxies"/>
    <w:p>
      <w:pPr>
        <w:pStyle w:val="Heading3"/>
      </w:pPr>
      <w:r>
        <w:t xml:space="preserve">Public datasets suitable as proxies</w:t>
      </w:r>
    </w:p>
    <w:p>
      <w:pPr>
        <w:pStyle w:val="FirstParagraph"/>
      </w:pPr>
      <w:r>
        <w:t xml:space="preserve">True revenue leakage datasets are rarely public due to confidentiality; simulation-based approaches (e.g., PaySim) explicitly address the lack of legitimate financial transaction datasets for research.</w:t>
      </w:r>
      <w:r>
        <w:t xml:space="preserve"> </w:t>
      </w:r>
      <w:hyperlink r:id="rId63">
        <w:r>
          <w:rPr>
            <w:rStyle w:val="Hyperlink"/>
          </w:rPr>
          <w:t xml:space="preserve">[47]</w:t>
        </w:r>
      </w:hyperlink>
      <w:r>
        <w:br/>
      </w:r>
      <w:r>
        <w:t xml:space="preserve">Therefore, Stage-2 experiments typically use</w:t>
      </w:r>
      <w:r>
        <w:t xml:space="preserve"> </w:t>
      </w:r>
      <w:r>
        <w:rPr>
          <w:b/>
          <w:bCs/>
        </w:rPr>
        <w:t xml:space="preserve">proxy datasets</w:t>
      </w:r>
      <w:r>
        <w:t xml:space="preserve"> </w:t>
      </w:r>
      <w:r>
        <w:t xml:space="preserve">plus synthetic leakage injection.</w:t>
      </w:r>
    </w:p>
    <w:p>
      <w:pPr>
        <w:pStyle w:val="BodyText"/>
      </w:pPr>
      <w:r>
        <w:t xml:space="preserve">Dataset comparison table (recommended for the paper):</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Dataset</w:t>
            </w:r>
          </w:p>
        </w:tc>
        <w:tc>
          <w:tcPr/>
          <w:p>
            <w:pPr>
              <w:pStyle w:val="Compact"/>
            </w:pPr>
            <w:r>
              <w:t xml:space="preserve">What it provides</w:t>
            </w:r>
          </w:p>
        </w:tc>
        <w:tc>
          <w:tcPr/>
          <w:p>
            <w:pPr>
              <w:pStyle w:val="Compact"/>
            </w:pPr>
            <w:r>
              <w:t xml:space="preserve">How it maps to “revenue loss”</w:t>
            </w:r>
          </w:p>
        </w:tc>
        <w:tc>
          <w:tcPr/>
          <w:p>
            <w:pPr>
              <w:pStyle w:val="Compact"/>
            </w:pPr>
            <w:r>
              <w:t xml:space="preserve">Label availability</w:t>
            </w:r>
          </w:p>
        </w:tc>
        <w:tc>
          <w:tcPr/>
          <w:p>
            <w:pPr>
              <w:pStyle w:val="Compact"/>
            </w:pPr>
            <w:r>
              <w:t xml:space="preserve">Notes</w:t>
            </w:r>
          </w:p>
        </w:tc>
      </w:tr>
      <w:tr>
        <w:tc>
          <w:tcPr/>
          <w:p>
            <w:pPr>
              <w:pStyle w:val="Compact"/>
            </w:pPr>
            <w:r>
              <w:t xml:space="preserve">M5 Forecasting (Walmart retail unit sales)</w:t>
            </w:r>
          </w:p>
        </w:tc>
        <w:tc>
          <w:tcPr/>
          <w:p>
            <w:pPr>
              <w:pStyle w:val="Compact"/>
            </w:pPr>
            <w:r>
              <w:t xml:space="preserve">Hierarchical daily time series + covariates</w:t>
            </w:r>
          </w:p>
        </w:tc>
        <w:tc>
          <w:tcPr/>
          <w:p>
            <w:pPr>
              <w:pStyle w:val="Compact"/>
            </w:pPr>
            <w:r>
              <w:t xml:space="preserve">Test expected-revenue/volume forecasting and deviation detection by hierarchy</w:t>
            </w:r>
          </w:p>
        </w:tc>
        <w:tc>
          <w:tcPr/>
          <w:p>
            <w:pPr>
              <w:pStyle w:val="Compact"/>
            </w:pPr>
            <w:r>
              <w:t xml:space="preserve">No leakage labels; forecasting ground truth</w:t>
            </w:r>
          </w:p>
        </w:tc>
        <w:tc>
          <w:tcPr/>
          <w:p>
            <w:pPr>
              <w:pStyle w:val="Compact"/>
            </w:pPr>
            <w:r>
              <w:t xml:space="preserve">Strong benchmark for forecasting at scale; use to validate</w:t>
            </w:r>
            <w:r>
              <w:t xml:space="preserve"> </w:t>
            </w:r>
            <m:oMath>
              <m:sSub>
                <m:e>
                  <m:acc>
                    <m:accPr>
                      <m:chr m:val="̂"/>
                    </m:accPr>
                    <m:e>
                      <m:r>
                        <m:t>R</m:t>
                      </m:r>
                    </m:e>
                  </m:acc>
                </m:e>
                <m:sub>
                  <m:r>
                    <m:t>e</m:t>
                  </m:r>
                  <m:r>
                    <m:rPr>
                      <m:sty m:val="p"/>
                    </m:rPr>
                    <m:t>,</m:t>
                  </m:r>
                  <m:r>
                    <m:t>t</m:t>
                  </m:r>
                </m:sub>
              </m:sSub>
            </m:oMath>
            <w:r>
              <w:t xml:space="preserve"> </w:t>
            </w:r>
            <w:r>
              <w:t xml:space="preserve">module</w:t>
            </w:r>
          </w:p>
        </w:tc>
      </w:tr>
      <w:tr>
        <w:tc>
          <w:tcPr/>
          <w:p>
            <w:pPr>
              <w:pStyle w:val="Compact"/>
            </w:pPr>
            <w:r>
              <w:t xml:space="preserve">Credit Card Fraud (European cardholders)</w:t>
            </w:r>
          </w:p>
        </w:tc>
        <w:tc>
          <w:tcPr/>
          <w:p>
            <w:pPr>
              <w:pStyle w:val="Compact"/>
            </w:pPr>
            <w:r>
              <w:t xml:space="preserve">Highly imbalanced transactions with fraud labels</w:t>
            </w:r>
          </w:p>
        </w:tc>
        <w:tc>
          <w:tcPr/>
          <w:p>
            <w:pPr>
              <w:pStyle w:val="Compact"/>
            </w:pPr>
            <w:r>
              <w:t xml:space="preserve">Proxy for rare-event detection + ranking; interpret “fraud loss” as revenue loss</w:t>
            </w:r>
          </w:p>
        </w:tc>
        <w:tc>
          <w:tcPr/>
          <w:p>
            <w:pPr>
              <w:pStyle w:val="Compact"/>
            </w:pPr>
            <w:r>
              <w:t xml:space="preserve">Fraud labels available</w:t>
            </w:r>
          </w:p>
        </w:tc>
        <w:tc>
          <w:tcPr/>
          <w:p>
            <w:pPr>
              <w:pStyle w:val="Compact"/>
            </w:pPr>
            <w:r>
              <w:t xml:space="preserve">Use to validate PR-AUC and precision@k methods</w:t>
            </w:r>
          </w:p>
        </w:tc>
      </w:tr>
      <w:tr>
        <w:tc>
          <w:tcPr/>
          <w:p>
            <w:pPr>
              <w:pStyle w:val="Compact"/>
            </w:pPr>
            <w:r>
              <w:t xml:space="preserve">PaySim simulator</w:t>
            </w:r>
          </w:p>
        </w:tc>
        <w:tc>
          <w:tcPr/>
          <w:p>
            <w:pPr>
              <w:pStyle w:val="Compact"/>
            </w:pPr>
            <w:r>
              <w:t xml:space="preserve">Agent-based synthetic mobile money transactions</w:t>
            </w:r>
          </w:p>
        </w:tc>
        <w:tc>
          <w:tcPr/>
          <w:p>
            <w:pPr>
              <w:pStyle w:val="Compact"/>
            </w:pPr>
            <w:r>
              <w:t xml:space="preserve">Controlled injection of anomalous behaviors; can adapt to “undercharge/missing bill” patterns</w:t>
            </w:r>
          </w:p>
        </w:tc>
        <w:tc>
          <w:tcPr/>
          <w:p>
            <w:pPr>
              <w:pStyle w:val="Compact"/>
            </w:pPr>
            <w:r>
              <w:t xml:space="preserve">Labels (by injection design)</w:t>
            </w:r>
          </w:p>
        </w:tc>
        <w:tc>
          <w:tcPr/>
          <w:p>
            <w:pPr>
              <w:pStyle w:val="Compact"/>
            </w:pPr>
            <w:r>
              <w:t xml:space="preserve">Explicitly designed to create realistic synthetic financial data</w:t>
            </w:r>
          </w:p>
        </w:tc>
      </w:tr>
      <w:tr>
        <w:tc>
          <w:tcPr/>
          <w:p>
            <w:pPr>
              <w:pStyle w:val="Compact"/>
            </w:pPr>
            <w:r>
              <w:t xml:space="preserve">NAB (Numenta Anomaly Benchmark)</w:t>
            </w:r>
          </w:p>
        </w:tc>
        <w:tc>
          <w:tcPr/>
          <w:p>
            <w:pPr>
              <w:pStyle w:val="Compact"/>
            </w:pPr>
            <w:r>
              <w:t xml:space="preserve">Labeled streaming time series</w:t>
            </w:r>
          </w:p>
        </w:tc>
        <w:tc>
          <w:tcPr/>
          <w:p>
            <w:pPr>
              <w:pStyle w:val="Compact"/>
            </w:pPr>
            <w:r>
              <w:t xml:space="preserve">Evaluate streaming anomaly scoring and early detection</w:t>
            </w:r>
          </w:p>
        </w:tc>
        <w:tc>
          <w:tcPr/>
          <w:p>
            <w:pPr>
              <w:pStyle w:val="Compact"/>
            </w:pPr>
            <w:r>
              <w:t xml:space="preserve">Labeled anomaly windows</w:t>
            </w:r>
          </w:p>
        </w:tc>
        <w:tc>
          <w:tcPr/>
          <w:p>
            <w:pPr>
              <w:pStyle w:val="Compact"/>
            </w:pPr>
            <w:r>
              <w:t xml:space="preserve">Useful if you present a streaming variant of leakage detection</w:t>
            </w:r>
          </w:p>
        </w:tc>
      </w:tr>
      <w:tr>
        <w:tc>
          <w:tcPr/>
          <w:p>
            <w:pPr>
              <w:pStyle w:val="Compact"/>
            </w:pPr>
            <w:r>
              <w:t xml:space="preserve">Yahoo Webscope S5</w:t>
            </w:r>
          </w:p>
        </w:tc>
        <w:tc>
          <w:tcPr/>
          <w:p>
            <w:pPr>
              <w:pStyle w:val="Compact"/>
            </w:pPr>
            <w:r>
              <w:t xml:space="preserve">Labeled anomalies in real + synthetic time series</w:t>
            </w:r>
          </w:p>
        </w:tc>
        <w:tc>
          <w:tcPr/>
          <w:p>
            <w:pPr>
              <w:pStyle w:val="Compact"/>
            </w:pPr>
            <w:r>
              <w:t xml:space="preserve">Additional time-series anomaly benchmark (access restricted)</w:t>
            </w:r>
          </w:p>
        </w:tc>
        <w:tc>
          <w:tcPr/>
          <w:p>
            <w:pPr>
              <w:pStyle w:val="Compact"/>
            </w:pPr>
            <w:r>
              <w:t xml:space="preserve">Labels provided</w:t>
            </w:r>
          </w:p>
        </w:tc>
        <w:tc>
          <w:tcPr/>
          <w:p>
            <w:pPr>
              <w:pStyle w:val="Compact"/>
            </w:pPr>
            <w:r>
              <w:t xml:space="preserve">Use only if access is feasible under terms</w:t>
            </w:r>
          </w:p>
        </w:tc>
      </w:tr>
    </w:tbl>
    <w:p>
      <w:pPr>
        <w:pStyle w:val="BodyText"/>
      </w:pPr>
      <w:r>
        <w:t xml:space="preserve">Sources for key dataset claims: M5 papers on competition scope and data scale; credit card fraud dataset provenance; PaySim original simulator paper and repository references; NAB benchmark paper; Yahoo S5 access constraints and description.</w:t>
      </w:r>
      <w:r>
        <w:t xml:space="preserve"> </w:t>
      </w:r>
      <w:hyperlink r:id="rId64">
        <w:r>
          <w:rPr>
            <w:rStyle w:val="Hyperlink"/>
          </w:rPr>
          <w:t xml:space="preserve">[48]</w:t>
        </w:r>
      </w:hyperlink>
    </w:p>
    <w:bookmarkEnd w:id="65"/>
    <w:bookmarkStart w:id="66" w:name="Xc35d401cb34d40c1b85c7e23d9f27ce1d91a77b"/>
    <w:p>
      <w:pPr>
        <w:pStyle w:val="Heading3"/>
      </w:pPr>
      <w:r>
        <w:t xml:space="preserve">Recommended synthetic data generation for “hidden revenue loss points”</w:t>
      </w:r>
    </w:p>
    <w:p>
      <w:pPr>
        <w:pStyle w:val="FirstParagraph"/>
      </w:pPr>
      <w:r>
        <w:t xml:space="preserve">A revenue-leak injection generator should start from a clean “order-to-cash” schema and inject controlled defects inspired by real leakage narratives:</w:t>
      </w:r>
    </w:p>
    <w:p>
      <w:pPr>
        <w:pStyle w:val="Compact"/>
        <w:numPr>
          <w:ilvl w:val="0"/>
          <w:numId w:val="1013"/>
        </w:numPr>
      </w:pPr>
      <w:r>
        <w:rPr>
          <w:b/>
          <w:bCs/>
        </w:rPr>
        <w:t xml:space="preserve">Undercharge</w:t>
      </w:r>
      <w:r>
        <w:t xml:space="preserve">: apply wrong price list, wrong discount tier, rounding errors (mirrors invoicing-error case studies).</w:t>
      </w:r>
      <w:r>
        <w:t xml:space="preserve"> </w:t>
      </w:r>
      <w:hyperlink r:id="rId40">
        <w:r>
          <w:rPr>
            <w:rStyle w:val="Hyperlink"/>
          </w:rPr>
          <w:t xml:space="preserve">[49]</w:t>
        </w:r>
      </w:hyperlink>
    </w:p>
    <w:p>
      <w:pPr>
        <w:pStyle w:val="Compact"/>
        <w:numPr>
          <w:ilvl w:val="0"/>
          <w:numId w:val="1013"/>
        </w:numPr>
      </w:pPr>
      <w:r>
        <w:rPr>
          <w:b/>
          <w:bCs/>
        </w:rPr>
        <w:t xml:space="preserve">Missing charge</w:t>
      </w:r>
      <w:r>
        <w:t xml:space="preserve">: usage events present but invoice line absent (reconciliation failure).</w:t>
      </w:r>
      <w:r>
        <w:t xml:space="preserve"> </w:t>
      </w:r>
      <w:hyperlink r:id="rId22">
        <w:r>
          <w:rPr>
            <w:rStyle w:val="Hyperlink"/>
          </w:rPr>
          <w:t xml:space="preserve">[29]</w:t>
        </w:r>
      </w:hyperlink>
    </w:p>
    <w:p>
      <w:pPr>
        <w:pStyle w:val="Compact"/>
        <w:numPr>
          <w:ilvl w:val="0"/>
          <w:numId w:val="1013"/>
        </w:numPr>
      </w:pPr>
      <w:r>
        <w:rPr>
          <w:b/>
          <w:bCs/>
        </w:rPr>
        <w:t xml:space="preserve">Delayed billing</w:t>
      </w:r>
      <w:r>
        <w:t xml:space="preserve">: invoice issued late (time-window shifts) producing temporary under-realization.</w:t>
      </w:r>
    </w:p>
    <w:p>
      <w:pPr>
        <w:pStyle w:val="Compact"/>
        <w:numPr>
          <w:ilvl w:val="0"/>
          <w:numId w:val="1013"/>
        </w:numPr>
      </w:pPr>
      <w:r>
        <w:rPr>
          <w:b/>
          <w:bCs/>
        </w:rPr>
        <w:t xml:space="preserve">Settlement mismatch</w:t>
      </w:r>
      <w:r>
        <w:t xml:space="preserve">: partner revenue share deviates from expected split.</w:t>
      </w:r>
    </w:p>
    <w:p>
      <w:pPr>
        <w:pStyle w:val="Compact"/>
        <w:numPr>
          <w:ilvl w:val="0"/>
          <w:numId w:val="1013"/>
        </w:numPr>
      </w:pPr>
      <w:r>
        <w:rPr>
          <w:b/>
          <w:bCs/>
        </w:rPr>
        <w:t xml:space="preserve">Process gaps</w:t>
      </w:r>
      <w:r>
        <w:t xml:space="preserve">: missing activation/shipping events; incomplete order-to-cash trace (process conformance deviation).</w:t>
      </w:r>
      <w:r>
        <w:t xml:space="preserve"> </w:t>
      </w:r>
      <w:hyperlink r:id="rId26">
        <w:r>
          <w:rPr>
            <w:rStyle w:val="Hyperlink"/>
          </w:rPr>
          <w:t xml:space="preserve">[50]</w:t>
        </w:r>
      </w:hyperlink>
    </w:p>
    <w:p>
      <w:pPr>
        <w:pStyle w:val="FirstParagraph"/>
      </w:pPr>
      <w:r>
        <w:t xml:space="preserve">Simulation is justified by published work describing the scarcity of public financial datasets and providing agent-based simulators for transaction anomaly/fraud research.</w:t>
      </w:r>
      <w:r>
        <w:t xml:space="preserve"> </w:t>
      </w:r>
      <w:hyperlink r:id="rId63">
        <w:r>
          <w:rPr>
            <w:rStyle w:val="Hyperlink"/>
          </w:rPr>
          <w:t xml:space="preserve">[47]</w:t>
        </w:r>
      </w:hyperlink>
    </w:p>
    <w:bookmarkEnd w:id="66"/>
    <w:bookmarkStart w:id="67" w:name="X2dfc5cda5a7f347c00fd1b0a9c60674f3314afd"/>
    <w:p>
      <w:pPr>
        <w:pStyle w:val="Heading3"/>
      </w:pPr>
      <w:r>
        <w:t xml:space="preserve">Data schema for a general order-to-cash leakage detector</w:t>
      </w:r>
    </w:p>
    <w:p>
      <w:pPr>
        <w:pStyle w:val="FirstParagraph"/>
      </w:pPr>
      <w:r>
        <w:t xml:space="preserve">A minimal schema (paper table) typically includes:</w:t>
      </w:r>
    </w:p>
    <w:p>
      <w:pPr>
        <w:pStyle w:val="Compact"/>
        <w:numPr>
          <w:ilvl w:val="0"/>
          <w:numId w:val="1014"/>
        </w:numPr>
      </w:pPr>
      <w:r>
        <w:rPr>
          <w:rStyle w:val="VerbatimChar"/>
        </w:rPr>
        <w:t xml:space="preserve">order_id, customer_id, product_id, contract_id, order_ts, fulfillment_ts</w:t>
      </w:r>
    </w:p>
    <w:p>
      <w:pPr>
        <w:pStyle w:val="Compact"/>
        <w:numPr>
          <w:ilvl w:val="0"/>
          <w:numId w:val="1014"/>
        </w:numPr>
      </w:pPr>
      <w:r>
        <w:rPr>
          <w:rStyle w:val="VerbatimChar"/>
        </w:rPr>
        <w:t xml:space="preserve">usage_event_id, usage_ts, metered_qty, unit, source_system</w:t>
      </w:r>
    </w:p>
    <w:p>
      <w:pPr>
        <w:pStyle w:val="Compact"/>
        <w:numPr>
          <w:ilvl w:val="0"/>
          <w:numId w:val="1014"/>
        </w:numPr>
      </w:pPr>
      <w:r>
        <w:rPr>
          <w:rStyle w:val="VerbatimChar"/>
        </w:rPr>
        <w:t xml:space="preserve">invoice_id, invoice_ts, invoice_line_id, qty, unit_price, discount, tax, total</w:t>
      </w:r>
    </w:p>
    <w:p>
      <w:pPr>
        <w:pStyle w:val="Compact"/>
        <w:numPr>
          <w:ilvl w:val="0"/>
          <w:numId w:val="1014"/>
        </w:numPr>
      </w:pPr>
      <w:r>
        <w:rPr>
          <w:rStyle w:val="VerbatimChar"/>
        </w:rPr>
        <w:t xml:space="preserve">payment_id, payment_ts, paid_amount, method, status, chargeback_flag</w:t>
      </w:r>
    </w:p>
    <w:p>
      <w:pPr>
        <w:pStyle w:val="Compact"/>
        <w:numPr>
          <w:ilvl w:val="0"/>
          <w:numId w:val="1014"/>
        </w:numPr>
      </w:pPr>
      <w:r>
        <w:rPr>
          <w:rStyle w:val="VerbatimChar"/>
        </w:rPr>
        <w:t xml:space="preserve">ledger_post_id, posting_ts, revenue_account, recognized_amount</w:t>
      </w:r>
    </w:p>
    <w:p>
      <w:pPr>
        <w:pStyle w:val="Compact"/>
        <w:numPr>
          <w:ilvl w:val="0"/>
          <w:numId w:val="1014"/>
        </w:numPr>
      </w:pPr>
      <w:r>
        <w:t xml:space="preserve">Join keys + slowly changing dimensions: customer segment, region, channel, salesperson, plan/version, promotion_id.</w:t>
      </w:r>
    </w:p>
    <w:p>
      <w:pPr>
        <w:pStyle w:val="FirstParagraph"/>
      </w:pPr>
      <w:r>
        <w:t xml:space="preserve">This schema supports both predictive modeling and reconciliation/conformance analyses across lifecycle steps.</w:t>
      </w:r>
      <w:r>
        <w:t xml:space="preserve"> </w:t>
      </w:r>
      <w:hyperlink r:id="rId21">
        <w:r>
          <w:rPr>
            <w:rStyle w:val="Hyperlink"/>
          </w:rPr>
          <w:t xml:space="preserve">[51]</w:t>
        </w:r>
      </w:hyperlink>
    </w:p>
    <w:bookmarkEnd w:id="67"/>
    <w:bookmarkStart w:id="70" w:name="privacy-ethics-and-governance"/>
    <w:p>
      <w:pPr>
        <w:pStyle w:val="Heading3"/>
      </w:pPr>
      <w:r>
        <w:t xml:space="preserve">Privacy, ethics, and governance</w:t>
      </w:r>
    </w:p>
    <w:p>
      <w:pPr>
        <w:pStyle w:val="FirstParagraph"/>
      </w:pPr>
      <w:r>
        <w:t xml:space="preserve">Revenue leakage detection often touches personal and commercially sensitive data (customers, payments, invoices). Governance should follow “privacy by design” principles (data minimization, purpose limitation) and strong pseudonymization controls where identifiers are not strictly needed.</w:t>
      </w:r>
      <w:r>
        <w:t xml:space="preserve"> </w:t>
      </w:r>
      <w:hyperlink r:id="rId68">
        <w:r>
          <w:rPr>
            <w:rStyle w:val="Hyperlink"/>
          </w:rPr>
          <w:t xml:space="preserve">[52]</w:t>
        </w:r>
      </w:hyperlink>
      <w:r>
        <w:br/>
      </w:r>
      <w:r>
        <w:t xml:space="preserve">From an AI risk perspective, align with National Institute of Standards and Technology</w:t>
      </w:r>
      <w:hyperlink r:id="rId44">
        <w:r>
          <w:rPr>
            <w:rStyle w:val="Hyperlink"/>
          </w:rPr>
          <w:t xml:space="preserve">[53]</w:t>
        </w:r>
      </w:hyperlink>
      <w:r>
        <w:t xml:space="preserve"> </w:t>
      </w:r>
      <w:r>
        <w:t xml:space="preserve">AI RMF guidance on trustworthy AI risk identification, measurement, and management, and document datasets and models using “datasheets” and “model cards” patterns to support transparency and reproducibility.</w:t>
      </w:r>
      <w:r>
        <w:t xml:space="preserve"> </w:t>
      </w:r>
      <w:hyperlink r:id="rId69">
        <w:r>
          <w:rPr>
            <w:rStyle w:val="Hyperlink"/>
          </w:rPr>
          <w:t xml:space="preserve">[54]</w:t>
        </w:r>
      </w:hyperlink>
    </w:p>
    <w:bookmarkEnd w:id="70"/>
    <w:bookmarkEnd w:id="71"/>
    <w:bookmarkStart w:id="86" w:name="X2922378bef2b10d9f22ceb0a236add326ddfa56"/>
    <w:p>
      <w:pPr>
        <w:pStyle w:val="Heading2"/>
      </w:pPr>
      <w:r>
        <w:t xml:space="preserve">Results reporting and implementation plan</w:t>
      </w:r>
    </w:p>
    <w:bookmarkStart w:id="72" w:name="X39e4f42cec57f4aa65fc9cce83cb56b79d595fa"/>
    <w:p>
      <w:pPr>
        <w:pStyle w:val="Heading3"/>
      </w:pPr>
      <w:r>
        <w:t xml:space="preserve">Recommended evaluation metrics and expected targets</w:t>
      </w:r>
    </w:p>
    <w:p>
      <w:pPr>
        <w:pStyle w:val="FirstParagraph"/>
      </w:pPr>
      <w:r>
        <w:t xml:space="preserve">Because the project is intended for Stage-2 experimentation, “thresholds” should be framed as</w:t>
      </w:r>
      <w:r>
        <w:t xml:space="preserve"> </w:t>
      </w:r>
      <w:r>
        <w:rPr>
          <w:b/>
          <w:bCs/>
        </w:rPr>
        <w:t xml:space="preserve">target operating points</w:t>
      </w:r>
      <w:r>
        <w:t xml:space="preserve"> </w:t>
      </w:r>
      <w:r>
        <w:t xml:space="preserve">rather than guaranteed outcomes.</w:t>
      </w:r>
    </w:p>
    <w:p>
      <w:pPr>
        <w:pStyle w:val="BodyText"/>
      </w:pPr>
      <w:r>
        <w:rPr>
          <w:b/>
          <w:bCs/>
        </w:rPr>
        <w:t xml:space="preserve">For Task A (transaction/line-item detection):</w:t>
      </w:r>
      <w:r>
        <w:t xml:space="preserve"> </w:t>
      </w:r>
      <w:r>
        <w:t xml:space="preserve">- PR-AUC / Average Precision; Precision@k and Recall@k (k = daily analyst capacity).</w:t>
      </w:r>
      <w:r>
        <w:t xml:space="preserve"> </w:t>
      </w:r>
      <w:hyperlink r:id="rId36">
        <w:r>
          <w:rPr>
            <w:rStyle w:val="Hyperlink"/>
          </w:rPr>
          <w:t xml:space="preserve">[27]</w:t>
        </w:r>
      </w:hyperlink>
      <w:r>
        <w:br/>
      </w:r>
      <w:r>
        <w:t xml:space="preserve">- Cost-weighted variants (e.g., “precision in dollars”: fraction of reviewed dollar value that is true leakage), reflecting that revenue assurance prioritizes high-impact findings.</w:t>
      </w:r>
      <w:r>
        <w:t xml:space="preserve"> </w:t>
      </w:r>
      <w:hyperlink r:id="rId28">
        <w:r>
          <w:rPr>
            <w:rStyle w:val="Hyperlink"/>
          </w:rPr>
          <w:t xml:space="preserve">[55]</w:t>
        </w:r>
      </w:hyperlink>
    </w:p>
    <w:p>
      <w:pPr>
        <w:pStyle w:val="BodyText"/>
      </w:pPr>
      <w:r>
        <w:rPr>
          <w:b/>
          <w:bCs/>
        </w:rPr>
        <w:t xml:space="preserve">For Task B (loss-point ranking):</w:t>
      </w:r>
      <w:r>
        <w:t xml:space="preserve"> </w:t>
      </w:r>
      <w:r>
        <w:t xml:space="preserve">- NDCG@k / MAP@k for ranked lists; plus calibration of</w:t>
      </w:r>
      <w:r>
        <w:t xml:space="preserve"> </w:t>
      </w:r>
      <m:oMath>
        <m:sSub>
          <m:e>
            <m:acc>
              <m:accPr>
                <m:chr m:val="̂"/>
              </m:accPr>
              <m:e>
                <m:r>
                  <m:t>L</m:t>
                </m:r>
              </m:e>
            </m:acc>
          </m:e>
          <m:sub>
            <m:r>
              <m:t>e</m:t>
            </m:r>
            <m:r>
              <m:rPr>
                <m:sty m:val="p"/>
              </m:rPr>
              <m:t>,</m:t>
            </m:r>
            <m:r>
              <m:t>t</m:t>
            </m:r>
          </m:sub>
        </m:sSub>
      </m:oMath>
      <w:r>
        <w:t xml:space="preserve"> </w:t>
      </w:r>
      <w:r>
        <w:t xml:space="preserve">vs realized recovery (if available).</w:t>
      </w:r>
      <w:r>
        <w:br/>
      </w:r>
      <w:r>
        <w:t xml:space="preserve">- Coverage metrics: percent of real injected leak events found in top-k buckets.</w:t>
      </w:r>
    </w:p>
    <w:p>
      <w:pPr>
        <w:pStyle w:val="BodyText"/>
      </w:pPr>
      <w:r>
        <w:rPr>
          <w:b/>
          <w:bCs/>
        </w:rPr>
        <w:t xml:space="preserve">Suggested target bands (tunable to industry):</w:t>
      </w:r>
      <w:r>
        <w:t xml:space="preserve"> </w:t>
      </w:r>
      <w:r>
        <w:t xml:space="preserve">- Precision@k high enough that analyst queues are usable (e.g., &gt;0.7 in the top 50–500 items depending on team size), while maintaining recall sufficient to capture material leak patterns across weeks. These targets are consistent with anomaly detection’s emphasis on ranking quality under imbalance rather than raw accuracy.</w:t>
      </w:r>
      <w:r>
        <w:t xml:space="preserve"> </w:t>
      </w:r>
      <w:hyperlink r:id="rId36">
        <w:r>
          <w:rPr>
            <w:rStyle w:val="Hyperlink"/>
          </w:rPr>
          <w:t xml:space="preserve">[56]</w:t>
        </w:r>
      </w:hyperlink>
    </w:p>
    <w:bookmarkEnd w:id="72"/>
    <w:bookmarkStart w:id="77" w:name="statistical-significance-tests"/>
    <w:p>
      <w:pPr>
        <w:pStyle w:val="Heading3"/>
      </w:pPr>
      <w:r>
        <w:t xml:space="preserve">Statistical significance tests</w:t>
      </w:r>
    </w:p>
    <w:p>
      <w:pPr>
        <w:pStyle w:val="FirstParagraph"/>
      </w:pPr>
      <w:r>
        <w:t xml:space="preserve">Use paired tests because model outputs are compared on the same test examples:</w:t>
      </w:r>
    </w:p>
    <w:p>
      <w:pPr>
        <w:pStyle w:val="Compact"/>
        <w:numPr>
          <w:ilvl w:val="0"/>
          <w:numId w:val="1015"/>
        </w:numPr>
      </w:pPr>
      <w:r>
        <w:t xml:space="preserve">Compare ROC AUC using DeLong’s test for correlated ROC curves.</w:t>
      </w:r>
      <w:r>
        <w:t xml:space="preserve"> </w:t>
      </w:r>
      <w:hyperlink r:id="rId73">
        <w:r>
          <w:rPr>
            <w:rStyle w:val="Hyperlink"/>
          </w:rPr>
          <w:t xml:space="preserve">[57]</w:t>
        </w:r>
      </w:hyperlink>
    </w:p>
    <w:p>
      <w:pPr>
        <w:pStyle w:val="Compact"/>
        <w:numPr>
          <w:ilvl w:val="0"/>
          <w:numId w:val="1015"/>
        </w:numPr>
      </w:pPr>
      <w:r>
        <w:t xml:space="preserve">For operating-point comparisons (precision/recall at a fixed threshold) on paired predictions, use McNemar’s test on the 2×2 disagreement table.</w:t>
      </w:r>
      <w:r>
        <w:t xml:space="preserve"> </w:t>
      </w:r>
      <w:hyperlink r:id="rId74">
        <w:r>
          <w:rPr>
            <w:rStyle w:val="Hyperlink"/>
          </w:rPr>
          <w:t xml:space="preserve">[58]</w:t>
        </w:r>
      </w:hyperlink>
    </w:p>
    <w:p>
      <w:pPr>
        <w:pStyle w:val="Compact"/>
        <w:numPr>
          <w:ilvl w:val="0"/>
          <w:numId w:val="1015"/>
        </w:numPr>
      </w:pPr>
      <w:r>
        <w:t xml:space="preserve">For cross-validation fold results and non-normal metric distributions, use a Wilcoxon signed-rank test.</w:t>
      </w:r>
      <w:r>
        <w:t xml:space="preserve"> </w:t>
      </w:r>
      <w:hyperlink r:id="rId75">
        <w:r>
          <w:rPr>
            <w:rStyle w:val="Hyperlink"/>
          </w:rPr>
          <w:t xml:space="preserve">[59]</w:t>
        </w:r>
      </w:hyperlink>
    </w:p>
    <w:p>
      <w:pPr>
        <w:pStyle w:val="Compact"/>
        <w:numPr>
          <w:ilvl w:val="0"/>
          <w:numId w:val="1015"/>
        </w:numPr>
      </w:pPr>
      <w:r>
        <w:t xml:space="preserve">For “full ROC curve equality” in paired designs, consider distribution-free permutation tests.</w:t>
      </w:r>
      <w:r>
        <w:t xml:space="preserve"> </w:t>
      </w:r>
      <w:hyperlink r:id="rId76">
        <w:r>
          <w:rPr>
            <w:rStyle w:val="Hyperlink"/>
          </w:rPr>
          <w:t xml:space="preserve">[60]</w:t>
        </w:r>
      </w:hyperlink>
    </w:p>
    <w:bookmarkEnd w:id="77"/>
    <w:bookmarkStart w:id="78" w:name="visualization-suggestions-for-the-paper"/>
    <w:p>
      <w:pPr>
        <w:pStyle w:val="Heading3"/>
      </w:pPr>
      <w:r>
        <w:t xml:space="preserve">Visualization suggestions for the paper</w:t>
      </w:r>
    </w:p>
    <w:p>
      <w:pPr>
        <w:pStyle w:val="FirstParagraph"/>
      </w:pPr>
      <w:r>
        <w:t xml:space="preserve">A results section should typically include:</w:t>
      </w:r>
    </w:p>
    <w:p>
      <w:pPr>
        <w:pStyle w:val="Compact"/>
        <w:numPr>
          <w:ilvl w:val="0"/>
          <w:numId w:val="1016"/>
        </w:numPr>
      </w:pPr>
      <w:r>
        <w:t xml:space="preserve">PR curves and Precision@k curves (primary).</w:t>
      </w:r>
      <w:r>
        <w:t xml:space="preserve"> </w:t>
      </w:r>
      <w:hyperlink r:id="rId36">
        <w:r>
          <w:rPr>
            <w:rStyle w:val="Hyperlink"/>
          </w:rPr>
          <w:t xml:space="preserve">[27]</w:t>
        </w:r>
      </w:hyperlink>
    </w:p>
    <w:p>
      <w:pPr>
        <w:pStyle w:val="Compact"/>
        <w:numPr>
          <w:ilvl w:val="0"/>
          <w:numId w:val="1016"/>
        </w:numPr>
      </w:pPr>
      <w:r>
        <w:t xml:space="preserve">A calibration plot of predicted loss</w:t>
      </w:r>
      <w:r>
        <w:t xml:space="preserve"> </w:t>
      </w:r>
      <m:oMath>
        <m:sSub>
          <m:e>
            <m:acc>
              <m:accPr>
                <m:chr m:val="̂"/>
              </m:accPr>
              <m:e>
                <m:r>
                  <m:t>L</m:t>
                </m:r>
              </m:e>
            </m:acc>
          </m:e>
          <m:sub>
            <m:r>
              <m:t>e</m:t>
            </m:r>
            <m:r>
              <m:rPr>
                <m:sty m:val="p"/>
              </m:rPr>
              <m:t>,</m:t>
            </m:r>
            <m:r>
              <m:t>t</m:t>
            </m:r>
          </m:sub>
        </m:sSub>
      </m:oMath>
      <w:r>
        <w:t xml:space="preserve"> </w:t>
      </w:r>
      <w:r>
        <w:t xml:space="preserve">vs realized/known loss (for synthetic injections and any audited cases).</w:t>
      </w:r>
      <w:r>
        <w:t xml:space="preserve"> </w:t>
      </w:r>
      <w:hyperlink r:id="rId40">
        <w:r>
          <w:rPr>
            <w:rStyle w:val="Hyperlink"/>
          </w:rPr>
          <w:t xml:space="preserve">[22]</w:t>
        </w:r>
      </w:hyperlink>
    </w:p>
    <w:p>
      <w:pPr>
        <w:pStyle w:val="Compact"/>
        <w:numPr>
          <w:ilvl w:val="0"/>
          <w:numId w:val="1016"/>
        </w:numPr>
      </w:pPr>
      <w:r>
        <w:t xml:space="preserve">A “waterfall” chart breaking total detected loss by leakage type (undercharge vs missing charge vs settlement mismatch).</w:t>
      </w:r>
    </w:p>
    <w:p>
      <w:pPr>
        <w:pStyle w:val="Compact"/>
        <w:numPr>
          <w:ilvl w:val="0"/>
          <w:numId w:val="1016"/>
        </w:numPr>
      </w:pPr>
      <w:r>
        <w:t xml:space="preserve">An explanation case study: 1–2 examples with SHAP bars + invariant violations for the same candidate.</w:t>
      </w:r>
      <w:r>
        <w:t xml:space="preserve"> </w:t>
      </w:r>
      <w:hyperlink r:id="rId32">
        <w:r>
          <w:rPr>
            <w:rStyle w:val="Hyperlink"/>
          </w:rPr>
          <w:t xml:space="preserve">[61]</w:t>
        </w:r>
      </w:hyperlink>
    </w:p>
    <w:bookmarkEnd w:id="78"/>
    <w:bookmarkStart w:id="80" w:name="implementation-details"/>
    <w:p>
      <w:pPr>
        <w:pStyle w:val="Heading3"/>
      </w:pPr>
      <w:r>
        <w:t xml:space="preserve">Implementation details</w:t>
      </w:r>
    </w:p>
    <w:p>
      <w:pPr>
        <w:pStyle w:val="FirstParagraph"/>
      </w:pPr>
      <w:r>
        <w:rPr>
          <w:b/>
          <w:bCs/>
        </w:rPr>
        <w:t xml:space="preserve">Core stack (reference implementation)</w:t>
      </w:r>
      <w:r>
        <w:br/>
      </w:r>
      <w:r>
        <w:t xml:space="preserve">Python + pandas/pyarrow for ETL, scikit-learn for Isolation Forest/LOF/OCSVM baselines, LightGBM/XGBoost/CatBoost for supervised tabular modeling, and PyTorch for deep sequence models if needed.</w:t>
      </w:r>
      <w:r>
        <w:t xml:space="preserve"> </w:t>
      </w:r>
      <w:hyperlink r:id="rId43">
        <w:r>
          <w:rPr>
            <w:rStyle w:val="Hyperlink"/>
          </w:rPr>
          <w:t xml:space="preserve">[62]</w:t>
        </w:r>
      </w:hyperlink>
    </w:p>
    <w:p>
      <w:pPr>
        <w:pStyle w:val="BodyText"/>
      </w:pPr>
      <w:r>
        <w:rPr>
          <w:b/>
          <w:bCs/>
        </w:rPr>
        <w:t xml:space="preserve">Streaming / enterprise architecture options</w:t>
      </w:r>
      <w:r>
        <w:br/>
      </w:r>
      <w:r>
        <w:t xml:space="preserve">If positioning the system for high-volume enterprise settings (telecom/cloud), cite industry references emphasizing real-time monitoring and multi-system integration, and note that scalable streaming fraud/anomaly architectures commonly combine data streaming + online scoring + feedback.</w:t>
      </w:r>
      <w:r>
        <w:t xml:space="preserve"> </w:t>
      </w:r>
      <w:hyperlink r:id="rId22">
        <w:r>
          <w:rPr>
            <w:rStyle w:val="Hyperlink"/>
          </w:rPr>
          <w:t xml:space="preserve">[63]</w:t>
        </w:r>
      </w:hyperlink>
    </w:p>
    <w:p>
      <w:pPr>
        <w:pStyle w:val="BodyText"/>
      </w:pPr>
      <w:r>
        <w:rPr>
          <w:b/>
          <w:bCs/>
        </w:rPr>
        <w:t xml:space="preserve">Hardware and runtime estimates (to be validated in Stage-2)</w:t>
      </w:r>
      <w:r>
        <w:br/>
      </w:r>
      <w:r>
        <w:t xml:space="preserve">- Tabular GBDT baseline training on 1–10M rows typically fits in a single modern CPU machine; deep sequence models may benefit from a single GPU. (State as estimate; report measured wall-clock time in Stage-2.)</w:t>
      </w:r>
      <w:r>
        <w:t xml:space="preserve"> </w:t>
      </w:r>
      <w:hyperlink r:id="rId79">
        <w:r>
          <w:rPr>
            <w:rStyle w:val="Hyperlink"/>
          </w:rPr>
          <w:t xml:space="preserve">[64]</w:t>
        </w:r>
      </w:hyperlink>
    </w:p>
    <w:bookmarkEnd w:id="80"/>
    <w:bookmarkStart w:id="81" w:name="X06ab2e94e64ef748ec8bc05ee67fe013b2a5721"/>
    <w:p>
      <w:pPr>
        <w:pStyle w:val="Heading3"/>
      </w:pPr>
      <w:r>
        <w:t xml:space="preserve">Figures and tables to include in the LaTeX paper</w:t>
      </w:r>
    </w:p>
    <w:p>
      <w:pPr>
        <w:pStyle w:val="FirstParagraph"/>
      </w:pPr>
      <w:r>
        <w:t xml:space="preserve">Recommended minimum set:</w:t>
      </w:r>
    </w:p>
    <w:p>
      <w:pPr>
        <w:pStyle w:val="Compact"/>
        <w:numPr>
          <w:ilvl w:val="0"/>
          <w:numId w:val="1017"/>
        </w:numPr>
      </w:pPr>
      <w:r>
        <w:rPr>
          <w:b/>
          <w:bCs/>
        </w:rPr>
        <w:t xml:space="preserve">Figure</w:t>
      </w:r>
      <w:r>
        <w:t xml:space="preserve">: System architecture diagram (pipeline + evidence fusion).</w:t>
      </w:r>
    </w:p>
    <w:p>
      <w:pPr>
        <w:pStyle w:val="Compact"/>
        <w:numPr>
          <w:ilvl w:val="0"/>
          <w:numId w:val="1017"/>
        </w:numPr>
      </w:pPr>
      <w:r>
        <w:rPr>
          <w:b/>
          <w:bCs/>
        </w:rPr>
        <w:t xml:space="preserve">Table</w:t>
      </w:r>
      <w:r>
        <w:t xml:space="preserve">: Dataset summary (rows, time span, features, label type, leakage injections).</w:t>
      </w:r>
    </w:p>
    <w:p>
      <w:pPr>
        <w:pStyle w:val="Compact"/>
        <w:numPr>
          <w:ilvl w:val="0"/>
          <w:numId w:val="1017"/>
        </w:numPr>
      </w:pPr>
      <w:r>
        <w:rPr>
          <w:b/>
          <w:bCs/>
        </w:rPr>
        <w:t xml:space="preserve">Table</w:t>
      </w:r>
      <w:r>
        <w:t xml:space="preserve">: Model comparison (baselines vs proposed; label needs; interpretability).</w:t>
      </w:r>
    </w:p>
    <w:p>
      <w:pPr>
        <w:pStyle w:val="Compact"/>
        <w:numPr>
          <w:ilvl w:val="0"/>
          <w:numId w:val="1017"/>
        </w:numPr>
      </w:pPr>
      <w:r>
        <w:rPr>
          <w:b/>
          <w:bCs/>
        </w:rPr>
        <w:t xml:space="preserve">Table</w:t>
      </w:r>
      <w:r>
        <w:t xml:space="preserve">: Main results (PR-AUC, Precision@k, expected recovered revenue).</w:t>
      </w:r>
    </w:p>
    <w:p>
      <w:pPr>
        <w:pStyle w:val="Compact"/>
        <w:numPr>
          <w:ilvl w:val="0"/>
          <w:numId w:val="1017"/>
        </w:numPr>
      </w:pPr>
      <w:r>
        <w:rPr>
          <w:b/>
          <w:bCs/>
        </w:rPr>
        <w:t xml:space="preserve">Table</w:t>
      </w:r>
      <w:r>
        <w:t xml:space="preserve">: Ablation study results (remove each evidence stream).</w:t>
      </w:r>
    </w:p>
    <w:bookmarkEnd w:id="81"/>
    <w:bookmarkStart w:id="83" w:name="limitations-and-future-scope"/>
    <w:p>
      <w:pPr>
        <w:pStyle w:val="Heading3"/>
      </w:pPr>
      <w:r>
        <w:t xml:space="preserve">Limitations and future scope</w:t>
      </w:r>
    </w:p>
    <w:p>
      <w:pPr>
        <w:pStyle w:val="FirstParagraph"/>
      </w:pPr>
      <w:r>
        <w:rPr>
          <w:b/>
          <w:bCs/>
        </w:rPr>
        <w:t xml:space="preserve">Limitations</w:t>
      </w:r>
      <w:r>
        <w:t xml:space="preserve"> </w:t>
      </w:r>
      <w:r>
        <w:t xml:space="preserve">- Ground-truth leakage labels are scarce; audits provide partial labels and can be delayed, requiring weak supervision and careful evaluation design.</w:t>
      </w:r>
      <w:r>
        <w:t xml:space="preserve"> </w:t>
      </w:r>
      <w:hyperlink r:id="rId23">
        <w:r>
          <w:rPr>
            <w:rStyle w:val="Hyperlink"/>
          </w:rPr>
          <w:t xml:space="preserve">[65]</w:t>
        </w:r>
      </w:hyperlink>
      <w:r>
        <w:br/>
      </w:r>
      <w:r>
        <w:t xml:space="preserve">- Models can conflate legitimate business shifts (promotions, seasonality, new product launches) with leakage unless forecasting features and change-point controls are robust.</w:t>
      </w:r>
      <w:r>
        <w:t xml:space="preserve"> </w:t>
      </w:r>
      <w:hyperlink r:id="rId45">
        <w:r>
          <w:rPr>
            <w:rStyle w:val="Hyperlink"/>
          </w:rPr>
          <w:t xml:space="preserve">[66]</w:t>
        </w:r>
      </w:hyperlink>
      <w:r>
        <w:br/>
      </w:r>
      <w:r>
        <w:t xml:space="preserve">- Process conformance signals depend on event logging quality and stable join keys; failures in instrumentation can look like leakage.</w:t>
      </w:r>
      <w:r>
        <w:t xml:space="preserve"> </w:t>
      </w:r>
      <w:hyperlink r:id="rId26">
        <w:r>
          <w:rPr>
            <w:rStyle w:val="Hyperlink"/>
          </w:rPr>
          <w:t xml:space="preserve">[50]</w:t>
        </w:r>
      </w:hyperlink>
    </w:p>
    <w:p>
      <w:pPr>
        <w:pStyle w:val="BodyText"/>
      </w:pPr>
      <w:r>
        <w:rPr>
          <w:b/>
          <w:bCs/>
        </w:rPr>
        <w:t xml:space="preserve">Future scope</w:t>
      </w:r>
      <w:r>
        <w:t xml:space="preserve"> </w:t>
      </w:r>
      <w:r>
        <w:t xml:space="preserve">- Incorporate explicit process mining alignment costs and richer conformance diagnostics (beyond simple reconciliation), building on established conformance checking literature.</w:t>
      </w:r>
      <w:r>
        <w:t xml:space="preserve"> </w:t>
      </w:r>
      <w:hyperlink r:id="rId26">
        <w:r>
          <w:rPr>
            <w:rStyle w:val="Hyperlink"/>
          </w:rPr>
          <w:t xml:space="preserve">[13]</w:t>
        </w:r>
      </w:hyperlink>
      <w:r>
        <w:br/>
      </w:r>
      <w:r>
        <w:t xml:space="preserve">- Add drift detection and active learning to prioritize which alerts get labeled (feedback loops are emphasized in scalable fraud/anomaly systems).</w:t>
      </w:r>
      <w:r>
        <w:t xml:space="preserve"> </w:t>
      </w:r>
      <w:hyperlink r:id="rId23">
        <w:r>
          <w:rPr>
            <w:rStyle w:val="Hyperlink"/>
          </w:rPr>
          <w:t xml:space="preserve">[67]</w:t>
        </w:r>
      </w:hyperlink>
      <w:r>
        <w:br/>
      </w:r>
      <w:r>
        <w:t xml:space="preserve">- Extend to causal inference for “expected revenue” under interventions (pricing/catalog changes) to reduce false positives in periods of structural change.</w:t>
      </w:r>
      <w:r>
        <w:br/>
      </w:r>
      <w:r>
        <w:t xml:space="preserve">- Strengthen governance artifacts (datasheets and model cards) as part of the final submission to improve reproducibility and responsible deployment.</w:t>
      </w:r>
      <w:r>
        <w:t xml:space="preserve"> </w:t>
      </w:r>
      <w:hyperlink r:id="rId82">
        <w:r>
          <w:rPr>
            <w:rStyle w:val="Hyperlink"/>
          </w:rPr>
          <w:t xml:space="preserve">[68]</w:t>
        </w:r>
      </w:hyperlink>
    </w:p>
    <w:bookmarkEnd w:id="83"/>
    <w:bookmarkStart w:id="84" w:name="sample-latex-snippets"/>
    <w:p>
      <w:pPr>
        <w:pStyle w:val="Heading3"/>
      </w:pPr>
      <w:r>
        <w:t xml:space="preserve">Sample LaTeX snippets</w:t>
      </w:r>
    </w:p>
    <w:p>
      <w:pPr>
        <w:pStyle w:val="FirstParagraph"/>
      </w:pPr>
      <w:r>
        <w:t xml:space="preserve">Title and author block (generic; adapt to venue template):</w:t>
      </w:r>
    </w:p>
    <w:p>
      <w:pPr>
        <w:pStyle w:val="SourceCode"/>
      </w:pPr>
      <w:r>
        <w:rPr>
          <w:rStyle w:val="VerbatimChar"/>
        </w:rPr>
        <w:t xml:space="preserve">\title{AI System for Detecting Hidden Revenue Loss Points via Reconciliation-Aware Forecasting and Explainable Anomaly Detection}</w:t>
      </w:r>
      <w:r>
        <w:br/>
      </w:r>
      <w:r>
        <w:br/>
      </w:r>
      <w:r>
        <w:rPr>
          <w:rStyle w:val="VerbatimChar"/>
        </w:rPr>
        <w:t xml:space="preserve">\author{</w:t>
      </w:r>
      <w:r>
        <w:br/>
      </w:r>
      <w:r>
        <w:rPr>
          <w:rStyle w:val="VerbatimChar"/>
        </w:rPr>
        <w:t xml:space="preserve">  First Author \\</w:t>
      </w:r>
      <w:r>
        <w:br/>
      </w:r>
      <w:r>
        <w:rPr>
          <w:rStyle w:val="VerbatimChar"/>
        </w:rPr>
        <w:t xml:space="preserve">  Affiliation \\</w:t>
      </w:r>
      <w:r>
        <w:br/>
      </w:r>
      <w:r>
        <w:rPr>
          <w:rStyle w:val="VerbatimChar"/>
        </w:rPr>
        <w:t xml:space="preserve">  City, Country \\</w:t>
      </w:r>
      <w:r>
        <w:br/>
      </w:r>
      <w:r>
        <w:rPr>
          <w:rStyle w:val="VerbatimChar"/>
        </w:rPr>
        <w:t xml:space="preserve">  \texttt{email@domain.com}</w:t>
      </w:r>
      <w:r>
        <w:br/>
      </w:r>
      <w:r>
        <w:rPr>
          <w:rStyle w:val="VerbatimChar"/>
        </w:rPr>
        <w:t xml:space="preserve">  \and</w:t>
      </w:r>
      <w:r>
        <w:br/>
      </w:r>
      <w:r>
        <w:rPr>
          <w:rStyle w:val="VerbatimChar"/>
        </w:rPr>
        <w:t xml:space="preserve">  Second Author \\</w:t>
      </w:r>
      <w:r>
        <w:br/>
      </w:r>
      <w:r>
        <w:rPr>
          <w:rStyle w:val="VerbatimChar"/>
        </w:rPr>
        <w:t xml:space="preserve">  Affiliation \\</w:t>
      </w:r>
      <w:r>
        <w:br/>
      </w:r>
      <w:r>
        <w:rPr>
          <w:rStyle w:val="VerbatimChar"/>
        </w:rPr>
        <w:t xml:space="preserve">  City, Country \\</w:t>
      </w:r>
      <w:r>
        <w:br/>
      </w:r>
      <w:r>
        <w:rPr>
          <w:rStyle w:val="VerbatimChar"/>
        </w:rPr>
        <w:t xml:space="preserve">  \texttt{email@domain.com}</w:t>
      </w:r>
      <w:r>
        <w:br/>
      </w:r>
      <w:r>
        <w:rPr>
          <w:rStyle w:val="VerbatimChar"/>
        </w:rPr>
        <w:t xml:space="preserve">}</w:t>
      </w:r>
    </w:p>
    <w:p>
      <w:pPr>
        <w:pStyle w:val="FirstParagraph"/>
      </w:pPr>
      <w:r>
        <w:t xml:space="preserve">Equation formatting:</w:t>
      </w:r>
    </w:p>
    <w:p>
      <w:pPr>
        <w:pStyle w:val="SourceCode"/>
      </w:pPr>
      <w:r>
        <w:rPr>
          <w:rStyle w:val="VerbatimChar"/>
        </w:rPr>
        <w:t xml:space="preserve">\begin{equation}</w:t>
      </w:r>
      <w:r>
        <w:br/>
      </w:r>
      <w:r>
        <w:rPr>
          <w:rStyle w:val="VerbatimChar"/>
        </w:rPr>
        <w:t xml:space="preserve">S_{e,t} = \alpha \cdot \mathrm{norm}(D_{e,t})</w:t>
      </w:r>
      <w:r>
        <w:br/>
      </w:r>
      <w:r>
        <w:rPr>
          <w:rStyle w:val="VerbatimChar"/>
        </w:rPr>
        <w:t xml:space="preserve">+ \beta \cdot \mathrm{norm}(A_{e,t})</w:t>
      </w:r>
      <w:r>
        <w:br/>
      </w:r>
      <w:r>
        <w:rPr>
          <w:rStyle w:val="VerbatimChar"/>
        </w:rPr>
        <w:t xml:space="preserve">+ \gamma \cdot \mathrm{norm}(C_{e,t})</w:t>
      </w:r>
      <w:r>
        <w:br/>
      </w:r>
      <w:r>
        <w:rPr>
          <w:rStyle w:val="VerbatimChar"/>
        </w:rPr>
        <w:t xml:space="preserve">+ \delta \cdot \mathrm{norm}(Q_{e,t})</w:t>
      </w:r>
      <w:r>
        <w:br/>
      </w:r>
      <w:r>
        <w:rPr>
          <w:rStyle w:val="VerbatimChar"/>
        </w:rPr>
        <w:t xml:space="preserve">\label{eq:loss_score}</w:t>
      </w:r>
      <w:r>
        <w:br/>
      </w:r>
      <w:r>
        <w:rPr>
          <w:rStyle w:val="VerbatimChar"/>
        </w:rPr>
        <w:t xml:space="preserve">\end{equation}</w:t>
      </w:r>
    </w:p>
    <w:p>
      <w:pPr>
        <w:pStyle w:val="FirstParagraph"/>
      </w:pPr>
      <w:r>
        <w:t xml:space="preserve">Figure and table formatting (IEEE/ACM-like):</w:t>
      </w:r>
    </w:p>
    <w:p>
      <w:pPr>
        <w:pStyle w:val="SourceCode"/>
      </w:pPr>
      <w:r>
        <w:rPr>
          <w:rStyle w:val="VerbatimChar"/>
        </w:rPr>
        <w:t xml:space="preserve">\begin{figure}[t]</w:t>
      </w:r>
      <w:r>
        <w:br/>
      </w:r>
      <w:r>
        <w:rPr>
          <w:rStyle w:val="VerbatimChar"/>
        </w:rPr>
        <w:t xml:space="preserve">  \centering</w:t>
      </w:r>
      <w:r>
        <w:br/>
      </w:r>
      <w:r>
        <w:rPr>
          <w:rStyle w:val="VerbatimChar"/>
        </w:rPr>
        <w:t xml:space="preserve">  \includegraphics[width=\linewidth]{figures/architecture.pdf}</w:t>
      </w:r>
      <w:r>
        <w:br/>
      </w:r>
      <w:r>
        <w:rPr>
          <w:rStyle w:val="VerbatimChar"/>
        </w:rPr>
        <w:t xml:space="preserve">  \caption{System architecture for detecting and ranking hidden revenue loss points.}</w:t>
      </w:r>
      <w:r>
        <w:br/>
      </w:r>
      <w:r>
        <w:rPr>
          <w:rStyle w:val="VerbatimChar"/>
        </w:rPr>
        <w:t xml:space="preserve">  \label{fig:architecture}</w:t>
      </w:r>
      <w:r>
        <w:br/>
      </w:r>
      <w:r>
        <w:rPr>
          <w:rStyle w:val="VerbatimChar"/>
        </w:rPr>
        <w:t xml:space="preserve">\end{figure}</w:t>
      </w:r>
      <w:r>
        <w:br/>
      </w:r>
      <w:r>
        <w:br/>
      </w:r>
      <w:r>
        <w:rPr>
          <w:rStyle w:val="VerbatimChar"/>
        </w:rPr>
        <w:t xml:space="preserve">\begin{table}[t]</w:t>
      </w:r>
      <w:r>
        <w:br/>
      </w:r>
      <w:r>
        <w:rPr>
          <w:rStyle w:val="VerbatimChar"/>
        </w:rPr>
        <w:t xml:space="preserve">  \centering</w:t>
      </w:r>
      <w:r>
        <w:br/>
      </w:r>
      <w:r>
        <w:rPr>
          <w:rStyle w:val="VerbatimChar"/>
        </w:rPr>
        <w:t xml:space="preserve">  \caption{Dataset summary used in Stage-2 experiments.}</w:t>
      </w:r>
      <w:r>
        <w:br/>
      </w:r>
      <w:r>
        <w:rPr>
          <w:rStyle w:val="VerbatimChar"/>
        </w:rPr>
        <w:t xml:space="preserve">  \label{tab:datasets}</w:t>
      </w:r>
      <w:r>
        <w:br/>
      </w:r>
      <w:r>
        <w:rPr>
          <w:rStyle w:val="VerbatimChar"/>
        </w:rPr>
        <w:t xml:space="preserve">  \begin{tabular}{lrrrr}</w:t>
      </w:r>
      <w:r>
        <w:br/>
      </w:r>
      <w:r>
        <w:rPr>
          <w:rStyle w:val="VerbatimChar"/>
        </w:rPr>
        <w:t xml:space="preserve">    \hline</w:t>
      </w:r>
      <w:r>
        <w:br/>
      </w:r>
      <w:r>
        <w:rPr>
          <w:rStyle w:val="VerbatimChar"/>
        </w:rPr>
        <w:t xml:space="preserve">    Dataset &amp; Rows &amp; Features &amp; Labels &amp; Task \\</w:t>
      </w:r>
      <w:r>
        <w:br/>
      </w:r>
      <w:r>
        <w:rPr>
          <w:rStyle w:val="VerbatimChar"/>
        </w:rPr>
        <w:t xml:space="preserve">    \hline</w:t>
      </w:r>
      <w:r>
        <w:br/>
      </w:r>
      <w:r>
        <w:rPr>
          <w:rStyle w:val="VerbatimChar"/>
        </w:rPr>
        <w:t xml:space="preserve">    M5 &amp; -- &amp; -- &amp; No &amp; Forecasting \\</w:t>
      </w:r>
      <w:r>
        <w:br/>
      </w:r>
      <w:r>
        <w:rPr>
          <w:rStyle w:val="VerbatimChar"/>
        </w:rPr>
        <w:t xml:space="preserve">    PaySim &amp; -- &amp; -- &amp; Yes &amp; Injection \\</w:t>
      </w:r>
      <w:r>
        <w:br/>
      </w:r>
      <w:r>
        <w:rPr>
          <w:rStyle w:val="VerbatimChar"/>
        </w:rPr>
        <w:t xml:space="preserve">    \hline</w:t>
      </w:r>
      <w:r>
        <w:br/>
      </w:r>
      <w:r>
        <w:rPr>
          <w:rStyle w:val="VerbatimChar"/>
        </w:rPr>
        <w:t xml:space="preserve">  \end{tabular}</w:t>
      </w:r>
      <w:r>
        <w:br/>
      </w:r>
      <w:r>
        <w:rPr>
          <w:rStyle w:val="VerbatimChar"/>
        </w:rPr>
        <w:t xml:space="preserve">\end{table}</w:t>
      </w:r>
    </w:p>
    <w:p>
      <w:pPr>
        <w:pStyle w:val="FirstParagraph"/>
      </w:pPr>
      <w:r>
        <w:t xml:space="preserve">Sample BibTeX entries (common conference styles):</w:t>
      </w:r>
    </w:p>
    <w:p>
      <w:pPr>
        <w:pStyle w:val="SourceCode"/>
      </w:pPr>
      <w:r>
        <w:rPr>
          <w:rStyle w:val="VerbatimChar"/>
        </w:rPr>
        <w:t xml:space="preserve">@inproceedings{liu2008iforest,</w:t>
      </w:r>
      <w:r>
        <w:br/>
      </w:r>
      <w:r>
        <w:rPr>
          <w:rStyle w:val="VerbatimChar"/>
        </w:rPr>
        <w:t xml:space="preserve">  title={Isolation Forest},</w:t>
      </w:r>
      <w:r>
        <w:br/>
      </w:r>
      <w:r>
        <w:rPr>
          <w:rStyle w:val="VerbatimChar"/>
        </w:rPr>
        <w:t xml:space="preserve">  author={Liu, Fei Tony and Ting, Kai Ming and Zhou, Zhi-Hua},</w:t>
      </w:r>
      <w:r>
        <w:br/>
      </w:r>
      <w:r>
        <w:rPr>
          <w:rStyle w:val="VerbatimChar"/>
        </w:rPr>
        <w:t xml:space="preserve">  booktitle={Proc. IEEE International Conference on Data Mining (ICDM)},</w:t>
      </w:r>
      <w:r>
        <w:br/>
      </w:r>
      <w:r>
        <w:rPr>
          <w:rStyle w:val="VerbatimChar"/>
        </w:rPr>
        <w:t xml:space="preserve">  year={2008}</w:t>
      </w:r>
      <w:r>
        <w:br/>
      </w:r>
      <w:r>
        <w:rPr>
          <w:rStyle w:val="VerbatimChar"/>
        </w:rPr>
        <w:t xml:space="preserve">}</w:t>
      </w:r>
      <w:r>
        <w:br/>
      </w:r>
      <w:r>
        <w:br/>
      </w:r>
      <w:r>
        <w:rPr>
          <w:rStyle w:val="VerbatimChar"/>
        </w:rPr>
        <w:t xml:space="preserve">@inproceedings{chen2016xgboost,</w:t>
      </w:r>
      <w:r>
        <w:br/>
      </w:r>
      <w:r>
        <w:rPr>
          <w:rStyle w:val="VerbatimChar"/>
        </w:rPr>
        <w:t xml:space="preserve">  title={XGBoost: A Scalable Tree Boosting System},</w:t>
      </w:r>
      <w:r>
        <w:br/>
      </w:r>
      <w:r>
        <w:rPr>
          <w:rStyle w:val="VerbatimChar"/>
        </w:rPr>
        <w:t xml:space="preserve">  author={Chen, Tianqi and Guestrin, Carlos},</w:t>
      </w:r>
      <w:r>
        <w:br/>
      </w:r>
      <w:r>
        <w:rPr>
          <w:rStyle w:val="VerbatimChar"/>
        </w:rPr>
        <w:t xml:space="preserve">  booktitle={Proc. ACM SIGKDD},</w:t>
      </w:r>
      <w:r>
        <w:br/>
      </w:r>
      <w:r>
        <w:rPr>
          <w:rStyle w:val="VerbatimChar"/>
        </w:rPr>
        <w:t xml:space="preserve">  year={2016}</w:t>
      </w:r>
      <w:r>
        <w:br/>
      </w:r>
      <w:r>
        <w:rPr>
          <w:rStyle w:val="VerbatimChar"/>
        </w:rPr>
        <w:t xml:space="preserve">}</w:t>
      </w:r>
      <w:r>
        <w:br/>
      </w:r>
      <w:r>
        <w:br/>
      </w:r>
      <w:r>
        <w:rPr>
          <w:rStyle w:val="VerbatimChar"/>
        </w:rPr>
        <w:t xml:space="preserve">@inproceedings{lundberg2017shap,</w:t>
      </w:r>
      <w:r>
        <w:br/>
      </w:r>
      <w:r>
        <w:rPr>
          <w:rStyle w:val="VerbatimChar"/>
        </w:rPr>
        <w:t xml:space="preserve">  title={A Unified Approach to Interpreting Model Predictions},</w:t>
      </w:r>
      <w:r>
        <w:br/>
      </w:r>
      <w:r>
        <w:rPr>
          <w:rStyle w:val="VerbatimChar"/>
        </w:rPr>
        <w:t xml:space="preserve">  author={Lundberg, Scott M. and Lee, Su-In},</w:t>
      </w:r>
      <w:r>
        <w:br/>
      </w:r>
      <w:r>
        <w:rPr>
          <w:rStyle w:val="VerbatimChar"/>
        </w:rPr>
        <w:t xml:space="preserve">  booktitle={Advances in Neural Information Processing Systems (NeurIPS)},</w:t>
      </w:r>
      <w:r>
        <w:br/>
      </w:r>
      <w:r>
        <w:rPr>
          <w:rStyle w:val="VerbatimChar"/>
        </w:rPr>
        <w:t xml:space="preserve">  year={2017}</w:t>
      </w:r>
      <w:r>
        <w:br/>
      </w:r>
      <w:r>
        <w:rPr>
          <w:rStyle w:val="VerbatimChar"/>
        </w:rPr>
        <w:t xml:space="preserve">}</w:t>
      </w:r>
      <w:r>
        <w:br/>
      </w:r>
      <w:r>
        <w:br/>
      </w:r>
      <w:r>
        <w:rPr>
          <w:rStyle w:val="VerbatimChar"/>
        </w:rPr>
        <w:t xml:space="preserve">@article{lavin2015nab,</w:t>
      </w:r>
      <w:r>
        <w:br/>
      </w:r>
      <w:r>
        <w:rPr>
          <w:rStyle w:val="VerbatimChar"/>
        </w:rPr>
        <w:t xml:space="preserve">  title={Evaluating Real-Time Anomaly Detection Algorithms -- The Numenta Anomaly Benchmark},</w:t>
      </w:r>
      <w:r>
        <w:br/>
      </w:r>
      <w:r>
        <w:rPr>
          <w:rStyle w:val="VerbatimChar"/>
        </w:rPr>
        <w:t xml:space="preserve">  author={Lavin, Alexander and Ahmad, Subutai},</w:t>
      </w:r>
      <w:r>
        <w:br/>
      </w:r>
      <w:r>
        <w:rPr>
          <w:rStyle w:val="VerbatimChar"/>
        </w:rPr>
        <w:t xml:space="preserve">  journal={Proc. IEEE ICMLA},</w:t>
      </w:r>
      <w:r>
        <w:br/>
      </w:r>
      <w:r>
        <w:rPr>
          <w:rStyle w:val="VerbatimChar"/>
        </w:rPr>
        <w:t xml:space="preserve">  year={2015}</w:t>
      </w:r>
      <w:r>
        <w:br/>
      </w:r>
      <w:r>
        <w:rPr>
          <w:rStyle w:val="VerbatimChar"/>
        </w:rPr>
        <w:t xml:space="preserve">}</w:t>
      </w:r>
    </w:p>
    <w:bookmarkEnd w:id="84"/>
    <w:bookmarkStart w:id="85" w:name="Xf13759102aa0438f1ba467c24f3a0935c190bcd"/>
    <w:p>
      <w:pPr>
        <w:pStyle w:val="Heading3"/>
      </w:pPr>
      <w:r>
        <w:t xml:space="preserve">Reference set prioritized to primary sources</w:t>
      </w:r>
    </w:p>
    <w:p>
      <w:pPr>
        <w:pStyle w:val="FirstParagraph"/>
      </w:pPr>
      <w:r>
        <w:t xml:space="preserve">The following sources are the most “paper-appropriate” anchors for citations and related work:</w:t>
      </w:r>
    </w:p>
    <w:p>
      <w:pPr>
        <w:pStyle w:val="Compact"/>
        <w:numPr>
          <w:ilvl w:val="0"/>
          <w:numId w:val="1018"/>
        </w:numPr>
      </w:pPr>
      <w:r>
        <w:t xml:space="preserve">TM Forum revenue assurance / leakage framework and KPIs.</w:t>
      </w:r>
      <w:r>
        <w:t xml:space="preserve"> </w:t>
      </w:r>
      <w:hyperlink r:id="rId28">
        <w:r>
          <w:rPr>
            <w:rStyle w:val="Hyperlink"/>
          </w:rPr>
          <w:t xml:space="preserve">[69]</w:t>
        </w:r>
      </w:hyperlink>
    </w:p>
    <w:p>
      <w:pPr>
        <w:pStyle w:val="Compact"/>
        <w:numPr>
          <w:ilvl w:val="0"/>
          <w:numId w:val="1018"/>
        </w:numPr>
      </w:pPr>
      <w:r>
        <w:t xml:space="preserve">Order-to-cash and revenue leakage definition (industry overview).</w:t>
      </w:r>
      <w:r>
        <w:t xml:space="preserve"> </w:t>
      </w:r>
      <w:hyperlink r:id="rId21">
        <w:r>
          <w:rPr>
            <w:rStyle w:val="Hyperlink"/>
          </w:rPr>
          <w:t xml:space="preserve">[70]</w:t>
        </w:r>
      </w:hyperlink>
    </w:p>
    <w:p>
      <w:pPr>
        <w:pStyle w:val="Compact"/>
        <w:numPr>
          <w:ilvl w:val="0"/>
          <w:numId w:val="1018"/>
        </w:numPr>
      </w:pPr>
      <w:r>
        <w:t xml:space="preserve">Invoicing anomaly detection with revenue-loss estimation (case study).</w:t>
      </w:r>
      <w:r>
        <w:t xml:space="preserve"> </w:t>
      </w:r>
      <w:hyperlink r:id="rId40">
        <w:r>
          <w:rPr>
            <w:rStyle w:val="Hyperlink"/>
          </w:rPr>
          <w:t xml:space="preserve">[22]</w:t>
        </w:r>
      </w:hyperlink>
    </w:p>
    <w:p>
      <w:pPr>
        <w:pStyle w:val="Compact"/>
        <w:numPr>
          <w:ilvl w:val="0"/>
          <w:numId w:val="1018"/>
        </w:numPr>
      </w:pPr>
      <w:r>
        <w:t xml:space="preserve">Core anomaly detection: LOF, Isolation Forest, one-class SVM, autoencoders, transformer-based anomaly detection.</w:t>
      </w:r>
      <w:r>
        <w:t xml:space="preserve"> </w:t>
      </w:r>
      <w:hyperlink r:id="rId42">
        <w:r>
          <w:rPr>
            <w:rStyle w:val="Hyperlink"/>
          </w:rPr>
          <w:t xml:space="preserve">[71]</w:t>
        </w:r>
      </w:hyperlink>
    </w:p>
    <w:p>
      <w:pPr>
        <w:pStyle w:val="Compact"/>
        <w:numPr>
          <w:ilvl w:val="0"/>
          <w:numId w:val="1018"/>
        </w:numPr>
      </w:pPr>
      <w:r>
        <w:t xml:space="preserve">Explainability: SHAP and LIME.</w:t>
      </w:r>
      <w:r>
        <w:t xml:space="preserve"> </w:t>
      </w:r>
      <w:hyperlink r:id="rId32">
        <w:r>
          <w:rPr>
            <w:rStyle w:val="Hyperlink"/>
          </w:rPr>
          <w:t xml:space="preserve">[28]</w:t>
        </w:r>
      </w:hyperlink>
    </w:p>
    <w:p>
      <w:pPr>
        <w:pStyle w:val="Compact"/>
        <w:numPr>
          <w:ilvl w:val="0"/>
          <w:numId w:val="1018"/>
        </w:numPr>
      </w:pPr>
      <w:r>
        <w:t xml:space="preserve">Evaluation under imbalance: PR vs ROC foundations.</w:t>
      </w:r>
      <w:r>
        <w:t xml:space="preserve"> </w:t>
      </w:r>
      <w:hyperlink r:id="rId36">
        <w:r>
          <w:rPr>
            <w:rStyle w:val="Hyperlink"/>
          </w:rPr>
          <w:t xml:space="preserve">[27]</w:t>
        </w:r>
      </w:hyperlink>
    </w:p>
    <w:p>
      <w:pPr>
        <w:pStyle w:val="Compact"/>
        <w:numPr>
          <w:ilvl w:val="0"/>
          <w:numId w:val="1018"/>
        </w:numPr>
      </w:pPr>
      <w:r>
        <w:t xml:space="preserve">Synthetic data justification: PaySim.</w:t>
      </w:r>
      <w:r>
        <w:t xml:space="preserve"> </w:t>
      </w:r>
      <w:hyperlink r:id="rId63">
        <w:r>
          <w:rPr>
            <w:rStyle w:val="Hyperlink"/>
          </w:rPr>
          <w:t xml:space="preserve">[47]</w:t>
        </w:r>
      </w:hyperlink>
    </w:p>
    <w:p>
      <w:pPr>
        <w:pStyle w:val="Compact"/>
        <w:numPr>
          <w:ilvl w:val="0"/>
          <w:numId w:val="1018"/>
        </w:numPr>
      </w:pPr>
      <w:r>
        <w:t xml:space="preserve">Governance: NIST AI RMF; dataset/model documentation patterns.</w:t>
      </w:r>
      <w:r>
        <w:t xml:space="preserve"> </w:t>
      </w:r>
      <w:hyperlink r:id="rId69">
        <w:r>
          <w:rPr>
            <w:rStyle w:val="Hyperlink"/>
          </w:rPr>
          <w:t xml:space="preserve">[54]</w:t>
        </w:r>
      </w:hyperlink>
    </w:p>
    <w:bookmarkEnd w:id="85"/>
    <w:bookmarkEnd w:id="86"/>
    <w:bookmarkEnd w:id="87"/>
    <w:bookmarkEnd w:id="88"/>
    <w:p>
      <w:r>
        <w:pict>
          <v:rect style="width:0;height:1.5pt" o:hralign="center" o:hrstd="t" o:hr="t"/>
        </w:pict>
      </w:r>
    </w:p>
    <w:bookmarkStart w:id="89" w:name="citations"/>
    <w:p>
      <w:pPr>
        <w:pStyle w:val="FirstParagraph"/>
      </w:pPr>
      <w:hyperlink r:id="rId21">
        <w:r>
          <w:rPr>
            <w:rStyle w:val="Hyperlink"/>
          </w:rPr>
          <w:t xml:space="preserve">[1]</w:t>
        </w:r>
      </w:hyperlink>
      <w:r>
        <w:t xml:space="preserve"> </w:t>
      </w:r>
      <w:hyperlink r:id="rId21">
        <w:r>
          <w:rPr>
            <w:rStyle w:val="Hyperlink"/>
          </w:rPr>
          <w:t xml:space="preserve">[2]</w:t>
        </w:r>
      </w:hyperlink>
      <w:r>
        <w:t xml:space="preserve"> </w:t>
      </w:r>
      <w:hyperlink r:id="rId21">
        <w:r>
          <w:rPr>
            <w:rStyle w:val="Hyperlink"/>
          </w:rPr>
          <w:t xml:space="preserve">[6]</w:t>
        </w:r>
      </w:hyperlink>
      <w:r>
        <w:t xml:space="preserve"> </w:t>
      </w:r>
      <w:hyperlink r:id="rId21">
        <w:r>
          <w:rPr>
            <w:rStyle w:val="Hyperlink"/>
          </w:rPr>
          <w:t xml:space="preserve">[15]</w:t>
        </w:r>
      </w:hyperlink>
      <w:r>
        <w:t xml:space="preserve"> </w:t>
      </w:r>
      <w:hyperlink r:id="rId21">
        <w:r>
          <w:rPr>
            <w:rStyle w:val="Hyperlink"/>
          </w:rPr>
          <w:t xml:space="preserve">[51]</w:t>
        </w:r>
      </w:hyperlink>
      <w:r>
        <w:t xml:space="preserve"> </w:t>
      </w:r>
      <w:hyperlink r:id="rId21">
        <w:r>
          <w:rPr>
            <w:rStyle w:val="Hyperlink"/>
          </w:rPr>
          <w:t xml:space="preserve">[70]</w:t>
        </w:r>
      </w:hyperlink>
      <w:r>
        <w:t xml:space="preserve"> </w:t>
      </w:r>
      <w:r>
        <w:t xml:space="preserve">https://www.ibm.com/think/topics/order-to-cash-o2c</w:t>
      </w:r>
    </w:p>
    <w:p>
      <w:pPr>
        <w:pStyle w:val="BodyText"/>
      </w:pPr>
      <w:hyperlink r:id="rId21">
        <w:r>
          <w:rPr>
            <w:rStyle w:val="Hyperlink"/>
          </w:rPr>
          <w:t xml:space="preserve">https://www.ibm.com/think/topics/order-to-cash-o2c</w:t>
        </w:r>
      </w:hyperlink>
    </w:p>
    <w:p>
      <w:pPr>
        <w:pStyle w:val="BodyText"/>
      </w:pPr>
      <w:hyperlink r:id="rId22">
        <w:r>
          <w:rPr>
            <w:rStyle w:val="Hyperlink"/>
          </w:rPr>
          <w:t xml:space="preserve">[3]</w:t>
        </w:r>
      </w:hyperlink>
      <w:r>
        <w:t xml:space="preserve"> </w:t>
      </w:r>
      <w:hyperlink r:id="rId22">
        <w:r>
          <w:rPr>
            <w:rStyle w:val="Hyperlink"/>
          </w:rPr>
          <w:t xml:space="preserve">[11]</w:t>
        </w:r>
      </w:hyperlink>
      <w:r>
        <w:t xml:space="preserve"> </w:t>
      </w:r>
      <w:hyperlink r:id="rId22">
        <w:r>
          <w:rPr>
            <w:rStyle w:val="Hyperlink"/>
          </w:rPr>
          <w:t xml:space="preserve">[29]</w:t>
        </w:r>
      </w:hyperlink>
      <w:r>
        <w:t xml:space="preserve"> </w:t>
      </w:r>
      <w:hyperlink r:id="rId22">
        <w:r>
          <w:rPr>
            <w:rStyle w:val="Hyperlink"/>
          </w:rPr>
          <w:t xml:space="preserve">[63]</w:t>
        </w:r>
      </w:hyperlink>
      <w:r>
        <w:t xml:space="preserve"> </w:t>
      </w:r>
      <w:r>
        <w:t xml:space="preserve">https://aws.amazon.com/blogs/industries/revolutionizing-telecom-revenue-assurance-the-aws-ai-driven-framework-for-next-generation-solutions/</w:t>
      </w:r>
    </w:p>
    <w:p>
      <w:pPr>
        <w:pStyle w:val="BodyText"/>
      </w:pPr>
      <w:hyperlink r:id="rId22">
        <w:r>
          <w:rPr>
            <w:rStyle w:val="Hyperlink"/>
          </w:rPr>
          <w:t xml:space="preserve">https://aws.amazon.com/blogs/industries/revolutionizing-telecom-revenue-assurance-the-aws-ai-driven-framework-for-next-generation-solutions/</w:t>
        </w:r>
      </w:hyperlink>
    </w:p>
    <w:p>
      <w:pPr>
        <w:pStyle w:val="BodyText"/>
      </w:pPr>
      <w:hyperlink r:id="rId23">
        <w:r>
          <w:rPr>
            <w:rStyle w:val="Hyperlink"/>
          </w:rPr>
          <w:t xml:space="preserve">[4]</w:t>
        </w:r>
      </w:hyperlink>
      <w:r>
        <w:t xml:space="preserve"> </w:t>
      </w:r>
      <w:hyperlink r:id="rId23">
        <w:r>
          <w:rPr>
            <w:rStyle w:val="Hyperlink"/>
          </w:rPr>
          <w:t xml:space="preserve">[8]</w:t>
        </w:r>
      </w:hyperlink>
      <w:r>
        <w:t xml:space="preserve"> </w:t>
      </w:r>
      <w:hyperlink r:id="rId23">
        <w:r>
          <w:rPr>
            <w:rStyle w:val="Hyperlink"/>
          </w:rPr>
          <w:t xml:space="preserve">[21]</w:t>
        </w:r>
      </w:hyperlink>
      <w:r>
        <w:t xml:space="preserve"> </w:t>
      </w:r>
      <w:hyperlink r:id="rId23">
        <w:r>
          <w:rPr>
            <w:rStyle w:val="Hyperlink"/>
          </w:rPr>
          <w:t xml:space="preserve">[42]</w:t>
        </w:r>
      </w:hyperlink>
      <w:r>
        <w:t xml:space="preserve"> </w:t>
      </w:r>
      <w:hyperlink r:id="rId23">
        <w:r>
          <w:rPr>
            <w:rStyle w:val="Hyperlink"/>
          </w:rPr>
          <w:t xml:space="preserve">[65]</w:t>
        </w:r>
      </w:hyperlink>
      <w:r>
        <w:t xml:space="preserve"> </w:t>
      </w:r>
      <w:hyperlink r:id="rId23">
        <w:r>
          <w:rPr>
            <w:rStyle w:val="Hyperlink"/>
          </w:rPr>
          <w:t xml:space="preserve">[67]</w:t>
        </w:r>
      </w:hyperlink>
      <w:r>
        <w:t xml:space="preserve"> </w:t>
      </w:r>
      <w:r>
        <w:t xml:space="preserve">https://www.sciencedirect.com/science/article/abs/pii/S1566253517305444</w:t>
      </w:r>
    </w:p>
    <w:p>
      <w:pPr>
        <w:pStyle w:val="BodyText"/>
      </w:pPr>
      <w:hyperlink r:id="rId23">
        <w:r>
          <w:rPr>
            <w:rStyle w:val="Hyperlink"/>
          </w:rPr>
          <w:t xml:space="preserve">https://www.sciencedirect.com/science/article/abs/pii/S1566253517305444</w:t>
        </w:r>
      </w:hyperlink>
    </w:p>
    <w:p>
      <w:pPr>
        <w:pStyle w:val="BodyText"/>
      </w:pPr>
      <w:hyperlink r:id="rId24">
        <w:r>
          <w:rPr>
            <w:rStyle w:val="Hyperlink"/>
          </w:rPr>
          <w:t xml:space="preserve">[5]</w:t>
        </w:r>
      </w:hyperlink>
      <w:r>
        <w:t xml:space="preserve"> </w:t>
      </w:r>
      <w:r>
        <w:t xml:space="preserve">https://www.msc-les.org/proceedings/emss/2016/EMSS2016_249.pdf</w:t>
      </w:r>
    </w:p>
    <w:p>
      <w:pPr>
        <w:pStyle w:val="BodyText"/>
      </w:pPr>
      <w:hyperlink r:id="rId24">
        <w:r>
          <w:rPr>
            <w:rStyle w:val="Hyperlink"/>
          </w:rPr>
          <w:t xml:space="preserve">https://www.msc-les.org/proceedings/emss/2016/EMSS2016_249.pdf</w:t>
        </w:r>
      </w:hyperlink>
    </w:p>
    <w:p>
      <w:pPr>
        <w:pStyle w:val="BodyText"/>
      </w:pPr>
      <w:hyperlink r:id="rId26">
        <w:r>
          <w:rPr>
            <w:rStyle w:val="Hyperlink"/>
          </w:rPr>
          <w:t xml:space="preserve">[7]</w:t>
        </w:r>
      </w:hyperlink>
      <w:r>
        <w:t xml:space="preserve"> </w:t>
      </w:r>
      <w:hyperlink r:id="rId26">
        <w:r>
          <w:rPr>
            <w:rStyle w:val="Hyperlink"/>
          </w:rPr>
          <w:t xml:space="preserve">[13]</w:t>
        </w:r>
      </w:hyperlink>
      <w:r>
        <w:t xml:space="preserve"> </w:t>
      </w:r>
      <w:hyperlink r:id="rId26">
        <w:r>
          <w:rPr>
            <w:rStyle w:val="Hyperlink"/>
          </w:rPr>
          <w:t xml:space="preserve">[34]</w:t>
        </w:r>
      </w:hyperlink>
      <w:r>
        <w:t xml:space="preserve"> </w:t>
      </w:r>
      <w:hyperlink r:id="rId26">
        <w:r>
          <w:rPr>
            <w:rStyle w:val="Hyperlink"/>
          </w:rPr>
          <w:t xml:space="preserve">[41]</w:t>
        </w:r>
      </w:hyperlink>
      <w:r>
        <w:t xml:space="preserve"> </w:t>
      </w:r>
      <w:hyperlink r:id="rId26">
        <w:r>
          <w:rPr>
            <w:rStyle w:val="Hyperlink"/>
          </w:rPr>
          <w:t xml:space="preserve">[50]</w:t>
        </w:r>
      </w:hyperlink>
      <w:r>
        <w:t xml:space="preserve"> </w:t>
      </w:r>
      <w:r>
        <w:t xml:space="preserve">https://arxiv.org/pdf/2007.10903</w:t>
      </w:r>
    </w:p>
    <w:p>
      <w:pPr>
        <w:pStyle w:val="BodyText"/>
      </w:pPr>
      <w:hyperlink r:id="rId26">
        <w:r>
          <w:rPr>
            <w:rStyle w:val="Hyperlink"/>
          </w:rPr>
          <w:t xml:space="preserve">https://arxiv.org/pdf/2007.10903</w:t>
        </w:r>
      </w:hyperlink>
    </w:p>
    <w:p>
      <w:pPr>
        <w:pStyle w:val="BodyText"/>
      </w:pPr>
      <w:hyperlink r:id="rId28">
        <w:r>
          <w:rPr>
            <w:rStyle w:val="Hyperlink"/>
          </w:rPr>
          <w:t xml:space="preserve">[9]</w:t>
        </w:r>
      </w:hyperlink>
      <w:r>
        <w:t xml:space="preserve"> </w:t>
      </w:r>
      <w:hyperlink r:id="rId28">
        <w:r>
          <w:rPr>
            <w:rStyle w:val="Hyperlink"/>
          </w:rPr>
          <w:t xml:space="preserve">[12]</w:t>
        </w:r>
      </w:hyperlink>
      <w:r>
        <w:t xml:space="preserve"> </w:t>
      </w:r>
      <w:hyperlink r:id="rId28">
        <w:r>
          <w:rPr>
            <w:rStyle w:val="Hyperlink"/>
          </w:rPr>
          <w:t xml:space="preserve">[16]</w:t>
        </w:r>
      </w:hyperlink>
      <w:r>
        <w:t xml:space="preserve"> </w:t>
      </w:r>
      <w:hyperlink r:id="rId28">
        <w:r>
          <w:rPr>
            <w:rStyle w:val="Hyperlink"/>
          </w:rPr>
          <w:t xml:space="preserve">[18]</w:t>
        </w:r>
      </w:hyperlink>
      <w:r>
        <w:t xml:space="preserve"> </w:t>
      </w:r>
      <w:hyperlink r:id="rId28">
        <w:r>
          <w:rPr>
            <w:rStyle w:val="Hyperlink"/>
          </w:rPr>
          <w:t xml:space="preserve">[33]</w:t>
        </w:r>
      </w:hyperlink>
      <w:r>
        <w:t xml:space="preserve"> </w:t>
      </w:r>
      <w:hyperlink r:id="rId28">
        <w:r>
          <w:rPr>
            <w:rStyle w:val="Hyperlink"/>
          </w:rPr>
          <w:t xml:space="preserve">[55]</w:t>
        </w:r>
      </w:hyperlink>
      <w:r>
        <w:t xml:space="preserve"> </w:t>
      </w:r>
      <w:hyperlink r:id="rId28">
        <w:r>
          <w:rPr>
            <w:rStyle w:val="Hyperlink"/>
          </w:rPr>
          <w:t xml:space="preserve">[69]</w:t>
        </w:r>
      </w:hyperlink>
      <w:r>
        <w:t xml:space="preserve"> </w:t>
      </w:r>
      <w:r>
        <w:t xml:space="preserve">https://www.tmforum.org/resources/best-practice/gb941d-revenue-assurance-revenue-leakage-framework-and-examples-v2-0/</w:t>
      </w:r>
    </w:p>
    <w:p>
      <w:pPr>
        <w:pStyle w:val="BodyText"/>
      </w:pPr>
      <w:hyperlink r:id="rId28">
        <w:r>
          <w:rPr>
            <w:rStyle w:val="Hyperlink"/>
          </w:rPr>
          <w:t xml:space="preserve">https://www.tmforum.org/resources/best-practice/gb941d-revenue-assurance-revenue-leakage-framework-and-examples-v2-0/</w:t>
        </w:r>
      </w:hyperlink>
    </w:p>
    <w:p>
      <w:pPr>
        <w:pStyle w:val="BodyText"/>
      </w:pPr>
      <w:hyperlink r:id="rId29">
        <w:r>
          <w:rPr>
            <w:rStyle w:val="Hyperlink"/>
          </w:rPr>
          <w:t xml:space="preserve">[10]</w:t>
        </w:r>
      </w:hyperlink>
      <w:r>
        <w:t xml:space="preserve"> </w:t>
      </w:r>
      <w:hyperlink r:id="rId29">
        <w:r>
          <w:rPr>
            <w:rStyle w:val="Hyperlink"/>
          </w:rPr>
          <w:t xml:space="preserve">[40]</w:t>
        </w:r>
      </w:hyperlink>
      <w:r>
        <w:t xml:space="preserve"> </w:t>
      </w:r>
      <w:r>
        <w:t xml:space="preserve">https://www.mckinsey.com/capabilities/operations/our-insights/finding-hidden-value-with-order-to-cash-optimization</w:t>
      </w:r>
    </w:p>
    <w:p>
      <w:pPr>
        <w:pStyle w:val="BodyText"/>
      </w:pPr>
      <w:hyperlink r:id="rId29">
        <w:r>
          <w:rPr>
            <w:rStyle w:val="Hyperlink"/>
          </w:rPr>
          <w:t xml:space="preserve">https://www.mckinsey.com/capabilities/operations/our-insights/finding-hidden-value-with-order-to-cash-optimization</w:t>
        </w:r>
      </w:hyperlink>
    </w:p>
    <w:p>
      <w:pPr>
        <w:pStyle w:val="BodyText"/>
      </w:pPr>
      <w:hyperlink r:id="rId32">
        <w:r>
          <w:rPr>
            <w:rStyle w:val="Hyperlink"/>
          </w:rPr>
          <w:t xml:space="preserve">[14]</w:t>
        </w:r>
      </w:hyperlink>
      <w:r>
        <w:t xml:space="preserve"> </w:t>
      </w:r>
      <w:hyperlink r:id="rId32">
        <w:r>
          <w:rPr>
            <w:rStyle w:val="Hyperlink"/>
          </w:rPr>
          <w:t xml:space="preserve">[28]</w:t>
        </w:r>
      </w:hyperlink>
      <w:r>
        <w:t xml:space="preserve"> </w:t>
      </w:r>
      <w:hyperlink r:id="rId32">
        <w:r>
          <w:rPr>
            <w:rStyle w:val="Hyperlink"/>
          </w:rPr>
          <w:t xml:space="preserve">[61]</w:t>
        </w:r>
      </w:hyperlink>
      <w:r>
        <w:t xml:space="preserve"> </w:t>
      </w:r>
      <w:r>
        <w:t xml:space="preserve">A Unified Approach to Interpreting Model Predictions</w:t>
      </w:r>
    </w:p>
    <w:p>
      <w:pPr>
        <w:pStyle w:val="BodyText"/>
      </w:pPr>
      <w:hyperlink r:id="rId32">
        <w:r>
          <w:rPr>
            <w:rStyle w:val="Hyperlink"/>
          </w:rPr>
          <w:t xml:space="preserve">https://arxiv.org/abs/1705.07874?utm_source=chatgpt.com</w:t>
        </w:r>
      </w:hyperlink>
    </w:p>
    <w:p>
      <w:pPr>
        <w:pStyle w:val="BodyText"/>
      </w:pPr>
      <w:hyperlink r:id="rId36">
        <w:r>
          <w:rPr>
            <w:rStyle w:val="Hyperlink"/>
          </w:rPr>
          <w:t xml:space="preserve">[17]</w:t>
        </w:r>
      </w:hyperlink>
      <w:r>
        <w:t xml:space="preserve"> </w:t>
      </w:r>
      <w:hyperlink r:id="rId36">
        <w:r>
          <w:rPr>
            <w:rStyle w:val="Hyperlink"/>
          </w:rPr>
          <w:t xml:space="preserve">[27]</w:t>
        </w:r>
      </w:hyperlink>
      <w:r>
        <w:t xml:space="preserve"> </w:t>
      </w:r>
      <w:hyperlink r:id="rId36">
        <w:r>
          <w:rPr>
            <w:rStyle w:val="Hyperlink"/>
          </w:rPr>
          <w:t xml:space="preserve">[56]</w:t>
        </w:r>
      </w:hyperlink>
      <w:r>
        <w:t xml:space="preserve"> </w:t>
      </w:r>
      <w:r>
        <w:t xml:space="preserve">The Relationship Between Precision-Recall and ROC Curves</w:t>
      </w:r>
    </w:p>
    <w:p>
      <w:pPr>
        <w:pStyle w:val="BodyText"/>
      </w:pPr>
      <w:hyperlink r:id="rId36">
        <w:r>
          <w:rPr>
            <w:rStyle w:val="Hyperlink"/>
          </w:rPr>
          <w:t xml:space="preserve">https://ftp.cs.wisc.edu/machine-learning/shavlik-group/davis.icml06.pdf?utm_source=chatgpt.com</w:t>
        </w:r>
      </w:hyperlink>
    </w:p>
    <w:p>
      <w:pPr>
        <w:pStyle w:val="BodyText"/>
      </w:pPr>
      <w:hyperlink r:id="rId37">
        <w:r>
          <w:rPr>
            <w:rStyle w:val="Hyperlink"/>
          </w:rPr>
          <w:t xml:space="preserve">[19]</w:t>
        </w:r>
      </w:hyperlink>
      <w:r>
        <w:t xml:space="preserve"> </w:t>
      </w:r>
      <w:r>
        <w:t xml:space="preserve">https://www.tmforum.org/resources/suite/gb941-revenue-assurance-solution-suite-v19-5/</w:t>
      </w:r>
    </w:p>
    <w:p>
      <w:pPr>
        <w:pStyle w:val="BodyText"/>
      </w:pPr>
      <w:hyperlink r:id="rId37">
        <w:r>
          <w:rPr>
            <w:rStyle w:val="Hyperlink"/>
          </w:rPr>
          <w:t xml:space="preserve">https://www.tmforum.org/resources/suite/gb941-revenue-assurance-solution-suite-v19-5/</w:t>
        </w:r>
      </w:hyperlink>
    </w:p>
    <w:p>
      <w:pPr>
        <w:pStyle w:val="BodyText"/>
      </w:pPr>
      <w:hyperlink r:id="rId38">
        <w:r>
          <w:rPr>
            <w:rStyle w:val="Hyperlink"/>
          </w:rPr>
          <w:t xml:space="preserve">[20]</w:t>
        </w:r>
      </w:hyperlink>
      <w:r>
        <w:t xml:space="preserve"> </w:t>
      </w:r>
      <w:hyperlink r:id="rId38">
        <w:r>
          <w:rPr>
            <w:rStyle w:val="Hyperlink"/>
          </w:rPr>
          <w:t xml:space="preserve">[43]</w:t>
        </w:r>
      </w:hyperlink>
      <w:r>
        <w:t xml:space="preserve"> </w:t>
      </w:r>
      <w:r>
        <w:t xml:space="preserve">https://www.tmforum.org/catalysts/projects/C25.0.812/aipowered-billing-qa-and-anomaly-detection</w:t>
      </w:r>
    </w:p>
    <w:p>
      <w:pPr>
        <w:pStyle w:val="BodyText"/>
      </w:pPr>
      <w:hyperlink r:id="rId38">
        <w:r>
          <w:rPr>
            <w:rStyle w:val="Hyperlink"/>
          </w:rPr>
          <w:t xml:space="preserve">https://www.tmforum.org/catalysts/projects/C25.0.812/aipowered-billing-qa-and-anomaly-detection</w:t>
        </w:r>
      </w:hyperlink>
    </w:p>
    <w:p>
      <w:pPr>
        <w:pStyle w:val="BodyText"/>
      </w:pPr>
      <w:hyperlink r:id="rId40">
        <w:r>
          <w:rPr>
            <w:rStyle w:val="Hyperlink"/>
          </w:rPr>
          <w:t xml:space="preserve">[22]</w:t>
        </w:r>
      </w:hyperlink>
      <w:r>
        <w:t xml:space="preserve"> </w:t>
      </w:r>
      <w:hyperlink r:id="rId40">
        <w:r>
          <w:rPr>
            <w:rStyle w:val="Hyperlink"/>
          </w:rPr>
          <w:t xml:space="preserve">[30]</w:t>
        </w:r>
      </w:hyperlink>
      <w:r>
        <w:t xml:space="preserve"> </w:t>
      </w:r>
      <w:hyperlink r:id="rId40">
        <w:r>
          <w:rPr>
            <w:rStyle w:val="Hyperlink"/>
          </w:rPr>
          <w:t xml:space="preserve">[39]</w:t>
        </w:r>
      </w:hyperlink>
      <w:r>
        <w:t xml:space="preserve"> </w:t>
      </w:r>
      <w:hyperlink r:id="rId40">
        <w:r>
          <w:rPr>
            <w:rStyle w:val="Hyperlink"/>
          </w:rPr>
          <w:t xml:space="preserve">[45]</w:t>
        </w:r>
      </w:hyperlink>
      <w:r>
        <w:t xml:space="preserve"> </w:t>
      </w:r>
      <w:hyperlink r:id="rId40">
        <w:r>
          <w:rPr>
            <w:rStyle w:val="Hyperlink"/>
          </w:rPr>
          <w:t xml:space="preserve">[49]</w:t>
        </w:r>
      </w:hyperlink>
      <w:r>
        <w:t xml:space="preserve"> </w:t>
      </w:r>
      <w:r>
        <w:t xml:space="preserve">https://www.diva-portal.org/smash/get/diva2%3A1538469/FULLTEXT01.pdf</w:t>
      </w:r>
    </w:p>
    <w:p>
      <w:pPr>
        <w:pStyle w:val="BodyText"/>
      </w:pPr>
      <w:hyperlink r:id="rId40">
        <w:r>
          <w:rPr>
            <w:rStyle w:val="Hyperlink"/>
          </w:rPr>
          <w:t xml:space="preserve">https://www.diva-portal.org/smash/get/diva2%3A1538469/FULLTEXT01.pdf</w:t>
        </w:r>
      </w:hyperlink>
    </w:p>
    <w:p>
      <w:pPr>
        <w:pStyle w:val="BodyText"/>
      </w:pPr>
      <w:hyperlink r:id="rId42">
        <w:r>
          <w:rPr>
            <w:rStyle w:val="Hyperlink"/>
          </w:rPr>
          <w:t xml:space="preserve">[23]</w:t>
        </w:r>
      </w:hyperlink>
      <w:r>
        <w:t xml:space="preserve"> </w:t>
      </w:r>
      <w:hyperlink r:id="rId42">
        <w:r>
          <w:rPr>
            <w:rStyle w:val="Hyperlink"/>
          </w:rPr>
          <w:t xml:space="preserve">[38]</w:t>
        </w:r>
      </w:hyperlink>
      <w:r>
        <w:t xml:space="preserve"> </w:t>
      </w:r>
      <w:hyperlink r:id="rId42">
        <w:r>
          <w:rPr>
            <w:rStyle w:val="Hyperlink"/>
          </w:rPr>
          <w:t xml:space="preserve">[44]</w:t>
        </w:r>
      </w:hyperlink>
      <w:r>
        <w:t xml:space="preserve"> </w:t>
      </w:r>
      <w:hyperlink r:id="rId42">
        <w:r>
          <w:rPr>
            <w:rStyle w:val="Hyperlink"/>
          </w:rPr>
          <w:t xml:space="preserve">[71]</w:t>
        </w:r>
      </w:hyperlink>
      <w:r>
        <w:t xml:space="preserve"> </w:t>
      </w:r>
      <w:r>
        <w:t xml:space="preserve">https://webdocs.cs.ualberta.ca/~zaiane/pub/check/breunig.pdf</w:t>
      </w:r>
    </w:p>
    <w:p>
      <w:pPr>
        <w:pStyle w:val="BodyText"/>
      </w:pPr>
      <w:hyperlink r:id="rId42">
        <w:r>
          <w:rPr>
            <w:rStyle w:val="Hyperlink"/>
          </w:rPr>
          <w:t xml:space="preserve">https://webdocs.cs.ualberta.ca/~zaiane/pub/check/breunig.pdf</w:t>
        </w:r>
      </w:hyperlink>
    </w:p>
    <w:p>
      <w:pPr>
        <w:pStyle w:val="BodyText"/>
      </w:pPr>
      <w:hyperlink r:id="rId43">
        <w:r>
          <w:rPr>
            <w:rStyle w:val="Hyperlink"/>
          </w:rPr>
          <w:t xml:space="preserve">[24]</w:t>
        </w:r>
      </w:hyperlink>
      <w:r>
        <w:t xml:space="preserve"> </w:t>
      </w:r>
      <w:hyperlink r:id="rId43">
        <w:r>
          <w:rPr>
            <w:rStyle w:val="Hyperlink"/>
          </w:rPr>
          <w:t xml:space="preserve">[31]</w:t>
        </w:r>
      </w:hyperlink>
      <w:r>
        <w:t xml:space="preserve"> </w:t>
      </w:r>
      <w:hyperlink r:id="rId43">
        <w:r>
          <w:rPr>
            <w:rStyle w:val="Hyperlink"/>
          </w:rPr>
          <w:t xml:space="preserve">[32]</w:t>
        </w:r>
      </w:hyperlink>
      <w:r>
        <w:t xml:space="preserve"> </w:t>
      </w:r>
      <w:hyperlink r:id="rId43">
        <w:r>
          <w:rPr>
            <w:rStyle w:val="Hyperlink"/>
          </w:rPr>
          <w:t xml:space="preserve">[37]</w:t>
        </w:r>
      </w:hyperlink>
      <w:r>
        <w:t xml:space="preserve"> </w:t>
      </w:r>
      <w:hyperlink r:id="rId43">
        <w:r>
          <w:rPr>
            <w:rStyle w:val="Hyperlink"/>
          </w:rPr>
          <w:t xml:space="preserve">[62]</w:t>
        </w:r>
      </w:hyperlink>
      <w:r>
        <w:t xml:space="preserve"> </w:t>
      </w:r>
      <w:r>
        <w:t xml:space="preserve">Isolation Forest</w:t>
      </w:r>
    </w:p>
    <w:p>
      <w:pPr>
        <w:pStyle w:val="BodyText"/>
      </w:pPr>
      <w:hyperlink r:id="rId43">
        <w:r>
          <w:rPr>
            <w:rStyle w:val="Hyperlink"/>
          </w:rPr>
          <w:t xml:space="preserve">https://www.lamda.nju.edu.cn/publication/icdm08b.pdf?utm_source=chatgpt.com</w:t>
        </w:r>
      </w:hyperlink>
    </w:p>
    <w:p>
      <w:pPr>
        <w:pStyle w:val="BodyText"/>
      </w:pPr>
      <w:hyperlink r:id="rId44">
        <w:r>
          <w:rPr>
            <w:rStyle w:val="Hyperlink"/>
          </w:rPr>
          <w:t xml:space="preserve">[25]</w:t>
        </w:r>
      </w:hyperlink>
      <w:r>
        <w:t xml:space="preserve"> </w:t>
      </w:r>
      <w:hyperlink r:id="rId44">
        <w:r>
          <w:rPr>
            <w:rStyle w:val="Hyperlink"/>
          </w:rPr>
          <w:t xml:space="preserve">[36]</w:t>
        </w:r>
      </w:hyperlink>
      <w:r>
        <w:t xml:space="preserve"> </w:t>
      </w:r>
      <w:hyperlink r:id="rId44">
        <w:r>
          <w:rPr>
            <w:rStyle w:val="Hyperlink"/>
          </w:rPr>
          <w:t xml:space="preserve">[53]</w:t>
        </w:r>
      </w:hyperlink>
      <w:r>
        <w:t xml:space="preserve"> </w:t>
      </w:r>
      <w:r>
        <w:t xml:space="preserve">XGBoost: A Scalable Tree Boosting System</w:t>
      </w:r>
    </w:p>
    <w:p>
      <w:pPr>
        <w:pStyle w:val="BodyText"/>
      </w:pPr>
      <w:hyperlink r:id="rId44">
        <w:r>
          <w:rPr>
            <w:rStyle w:val="Hyperlink"/>
          </w:rPr>
          <w:t xml:space="preserve">https://www.kdd.org/kdd2016/papers/files/rfp0697-chenAemb.pdf?utm_source=chatgpt.com</w:t>
        </w:r>
      </w:hyperlink>
    </w:p>
    <w:p>
      <w:pPr>
        <w:pStyle w:val="BodyText"/>
      </w:pPr>
      <w:hyperlink r:id="rId45">
        <w:r>
          <w:rPr>
            <w:rStyle w:val="Hyperlink"/>
          </w:rPr>
          <w:t xml:space="preserve">[26]</w:t>
        </w:r>
      </w:hyperlink>
      <w:r>
        <w:t xml:space="preserve"> </w:t>
      </w:r>
      <w:hyperlink r:id="rId45">
        <w:r>
          <w:rPr>
            <w:rStyle w:val="Hyperlink"/>
          </w:rPr>
          <w:t xml:space="preserve">[35]</w:t>
        </w:r>
      </w:hyperlink>
      <w:r>
        <w:t xml:space="preserve"> </w:t>
      </w:r>
      <w:hyperlink r:id="rId45">
        <w:r>
          <w:rPr>
            <w:rStyle w:val="Hyperlink"/>
          </w:rPr>
          <w:t xml:space="preserve">[66]</w:t>
        </w:r>
      </w:hyperlink>
      <w:r>
        <w:t xml:space="preserve"> </w:t>
      </w:r>
      <w:r>
        <w:t xml:space="preserve">Time Series Anomaly Detection with Association Discrepancy</w:t>
      </w:r>
    </w:p>
    <w:p>
      <w:pPr>
        <w:pStyle w:val="BodyText"/>
      </w:pPr>
      <w:hyperlink r:id="rId45">
        <w:r>
          <w:rPr>
            <w:rStyle w:val="Hyperlink"/>
          </w:rPr>
          <w:t xml:space="preserve">https://arxiv.org/abs/2110.02642?utm_source=chatgpt.com</w:t>
        </w:r>
      </w:hyperlink>
    </w:p>
    <w:p>
      <w:pPr>
        <w:pStyle w:val="BodyText"/>
      </w:pPr>
      <w:hyperlink r:id="rId60">
        <w:r>
          <w:rPr>
            <w:rStyle w:val="Hyperlink"/>
          </w:rPr>
          <w:t xml:space="preserve">[46]</w:t>
        </w:r>
      </w:hyperlink>
      <w:r>
        <w:t xml:space="preserve"> </w:t>
      </w:r>
      <w:r>
        <w:t xml:space="preserve">https://pmc.ncbi.nlm.nih.gov/articles/PMC2812057/</w:t>
      </w:r>
    </w:p>
    <w:p>
      <w:pPr>
        <w:pStyle w:val="BodyText"/>
      </w:pPr>
      <w:hyperlink r:id="rId60">
        <w:r>
          <w:rPr>
            <w:rStyle w:val="Hyperlink"/>
          </w:rPr>
          <w:t xml:space="preserve">https://pmc.ncbi.nlm.nih.gov/articles/PMC2812057/</w:t>
        </w:r>
      </w:hyperlink>
    </w:p>
    <w:p>
      <w:pPr>
        <w:pStyle w:val="BodyText"/>
      </w:pPr>
      <w:hyperlink r:id="rId63">
        <w:r>
          <w:rPr>
            <w:rStyle w:val="Hyperlink"/>
          </w:rPr>
          <w:t xml:space="preserve">[47]</w:t>
        </w:r>
      </w:hyperlink>
      <w:r>
        <w:t xml:space="preserve"> </w:t>
      </w:r>
      <w:r>
        <w:t xml:space="preserve">https://www.diva-portal.org/smash/record.jsf?pid=diva2%3A1058442</w:t>
      </w:r>
    </w:p>
    <w:p>
      <w:pPr>
        <w:pStyle w:val="BodyText"/>
      </w:pPr>
      <w:hyperlink r:id="rId63">
        <w:r>
          <w:rPr>
            <w:rStyle w:val="Hyperlink"/>
          </w:rPr>
          <w:t xml:space="preserve">https://www.diva-portal.org/smash/record.jsf?pid=diva2%3A1058442</w:t>
        </w:r>
      </w:hyperlink>
    </w:p>
    <w:p>
      <w:pPr>
        <w:pStyle w:val="BodyText"/>
      </w:pPr>
      <w:hyperlink r:id="rId64">
        <w:r>
          <w:rPr>
            <w:rStyle w:val="Hyperlink"/>
          </w:rPr>
          <w:t xml:space="preserve">[48]</w:t>
        </w:r>
      </w:hyperlink>
      <w:r>
        <w:t xml:space="preserve"> </w:t>
      </w:r>
      <w:r>
        <w:t xml:space="preserve">https://www.sciencedirect.com/science/article/pii/S0169207021001874</w:t>
      </w:r>
    </w:p>
    <w:p>
      <w:pPr>
        <w:pStyle w:val="BodyText"/>
      </w:pPr>
      <w:hyperlink r:id="rId64">
        <w:r>
          <w:rPr>
            <w:rStyle w:val="Hyperlink"/>
          </w:rPr>
          <w:t xml:space="preserve">https://www.sciencedirect.com/science/article/pii/S0169207021001874</w:t>
        </w:r>
      </w:hyperlink>
    </w:p>
    <w:p>
      <w:pPr>
        <w:pStyle w:val="BodyText"/>
      </w:pPr>
      <w:hyperlink r:id="rId68">
        <w:r>
          <w:rPr>
            <w:rStyle w:val="Hyperlink"/>
          </w:rPr>
          <w:t xml:space="preserve">[52]</w:t>
        </w:r>
      </w:hyperlink>
      <w:r>
        <w:t xml:space="preserve"> </w:t>
      </w:r>
      <w:r>
        <w:t xml:space="preserve">https://gdpr-info.eu/art-5-gdpr/</w:t>
      </w:r>
    </w:p>
    <w:p>
      <w:pPr>
        <w:pStyle w:val="BodyText"/>
      </w:pPr>
      <w:hyperlink r:id="rId68">
        <w:r>
          <w:rPr>
            <w:rStyle w:val="Hyperlink"/>
          </w:rPr>
          <w:t xml:space="preserve">https://gdpr-info.eu/art-5-gdpr/</w:t>
        </w:r>
      </w:hyperlink>
    </w:p>
    <w:p>
      <w:pPr>
        <w:pStyle w:val="BodyText"/>
      </w:pPr>
      <w:hyperlink r:id="rId69">
        <w:r>
          <w:rPr>
            <w:rStyle w:val="Hyperlink"/>
          </w:rPr>
          <w:t xml:space="preserve">[54]</w:t>
        </w:r>
      </w:hyperlink>
      <w:r>
        <w:t xml:space="preserve"> </w:t>
      </w:r>
      <w:r>
        <w:t xml:space="preserve">https://nvlpubs.nist.gov/nistpubs/ai/nist.ai.100-1.pdf</w:t>
      </w:r>
    </w:p>
    <w:p>
      <w:pPr>
        <w:pStyle w:val="BodyText"/>
      </w:pPr>
      <w:hyperlink r:id="rId69">
        <w:r>
          <w:rPr>
            <w:rStyle w:val="Hyperlink"/>
          </w:rPr>
          <w:t xml:space="preserve">https://nvlpubs.nist.gov/nistpubs/ai/nist.ai.100-1.pdf</w:t>
        </w:r>
      </w:hyperlink>
    </w:p>
    <w:p>
      <w:pPr>
        <w:pStyle w:val="BodyText"/>
      </w:pPr>
      <w:hyperlink r:id="rId73">
        <w:r>
          <w:rPr>
            <w:rStyle w:val="Hyperlink"/>
          </w:rPr>
          <w:t xml:space="preserve">[57]</w:t>
        </w:r>
      </w:hyperlink>
      <w:r>
        <w:t xml:space="preserve"> </w:t>
      </w:r>
      <w:r>
        <w:t xml:space="preserve">https://pubmed.ncbi.nlm.nih.gov/3203132/</w:t>
      </w:r>
    </w:p>
    <w:p>
      <w:pPr>
        <w:pStyle w:val="BodyText"/>
      </w:pPr>
      <w:hyperlink r:id="rId73">
        <w:r>
          <w:rPr>
            <w:rStyle w:val="Hyperlink"/>
          </w:rPr>
          <w:t xml:space="preserve">https://pubmed.ncbi.nlm.nih.gov/3203132/</w:t>
        </w:r>
      </w:hyperlink>
    </w:p>
    <w:p>
      <w:pPr>
        <w:pStyle w:val="BodyText"/>
      </w:pPr>
      <w:hyperlink r:id="rId74">
        <w:r>
          <w:rPr>
            <w:rStyle w:val="Hyperlink"/>
          </w:rPr>
          <w:t xml:space="preserve">[58]</w:t>
        </w:r>
      </w:hyperlink>
      <w:r>
        <w:t xml:space="preserve"> </w:t>
      </w:r>
      <w:r>
        <w:t xml:space="preserve">https://www.cambridge.org/core/journals/psychometrika/article/note-on-the-sampling-error-of-the-difference-between-correlated-proportions-or-percentages/698C2461BE63F5848763502D54E534FD</w:t>
      </w:r>
    </w:p>
    <w:p>
      <w:pPr>
        <w:pStyle w:val="BodyText"/>
      </w:pPr>
      <w:hyperlink r:id="rId74">
        <w:r>
          <w:rPr>
            <w:rStyle w:val="Hyperlink"/>
          </w:rPr>
          <w:t xml:space="preserve">https://www.cambridge.org/core/journals/psychometrika/article/note-on-the-sampling-error-of-the-difference-between-correlated-proportions-or-percentages/698C2461BE63F5848763502D54E534FD</w:t>
        </w:r>
      </w:hyperlink>
    </w:p>
    <w:p>
      <w:pPr>
        <w:pStyle w:val="BodyText"/>
      </w:pPr>
      <w:hyperlink r:id="rId75">
        <w:r>
          <w:rPr>
            <w:rStyle w:val="Hyperlink"/>
          </w:rPr>
          <w:t xml:space="preserve">[59]</w:t>
        </w:r>
      </w:hyperlink>
      <w:r>
        <w:t xml:space="preserve"> </w:t>
      </w:r>
      <w:r>
        <w:t xml:space="preserve">https://sci2s.ugr.es/keel/pdf/algorithm/articulo/wilcoxon1945.pdf</w:t>
      </w:r>
    </w:p>
    <w:p>
      <w:pPr>
        <w:pStyle w:val="BodyText"/>
      </w:pPr>
      <w:hyperlink r:id="rId75">
        <w:r>
          <w:rPr>
            <w:rStyle w:val="Hyperlink"/>
          </w:rPr>
          <w:t xml:space="preserve">https://sci2s.ugr.es/keel/pdf/algorithm/articulo/wilcoxon1945.pdf</w:t>
        </w:r>
      </w:hyperlink>
    </w:p>
    <w:p>
      <w:pPr>
        <w:pStyle w:val="BodyText"/>
      </w:pPr>
      <w:hyperlink r:id="rId76">
        <w:r>
          <w:rPr>
            <w:rStyle w:val="Hyperlink"/>
          </w:rPr>
          <w:t xml:space="preserve">[60]</w:t>
        </w:r>
      </w:hyperlink>
      <w:r>
        <w:t xml:space="preserve"> </w:t>
      </w:r>
      <w:r>
        <w:t xml:space="preserve">https://academic.oup.com/biomet/article-pdf/83/4/835/703326/83-4-835.pdf</w:t>
      </w:r>
    </w:p>
    <w:p>
      <w:pPr>
        <w:pStyle w:val="BodyText"/>
      </w:pPr>
      <w:hyperlink r:id="rId76">
        <w:r>
          <w:rPr>
            <w:rStyle w:val="Hyperlink"/>
          </w:rPr>
          <w:t xml:space="preserve">https://academic.oup.com/biomet/article-pdf/83/4/835/703326/83-4-835.pdf</w:t>
        </w:r>
      </w:hyperlink>
    </w:p>
    <w:p>
      <w:pPr>
        <w:pStyle w:val="BodyText"/>
      </w:pPr>
      <w:hyperlink r:id="rId79">
        <w:r>
          <w:rPr>
            <w:rStyle w:val="Hyperlink"/>
          </w:rPr>
          <w:t xml:space="preserve">[64]</w:t>
        </w:r>
      </w:hyperlink>
      <w:r>
        <w:t xml:space="preserve"> </w:t>
      </w:r>
      <w:r>
        <w:t xml:space="preserve">LightGBM: A Highly Efficient Gradient Boosting Decision Tree</w:t>
      </w:r>
    </w:p>
    <w:p>
      <w:pPr>
        <w:pStyle w:val="BodyText"/>
      </w:pPr>
      <w:hyperlink r:id="rId79">
        <w:r>
          <w:rPr>
            <w:rStyle w:val="Hyperlink"/>
          </w:rPr>
          <w:t xml:space="preserve">https://proceedings.neurips.cc/paper/6907-lightgbm-a-highly-efficient-gradient-boosting-decision-tree.pdf?utm_source=chatgpt.com</w:t>
        </w:r>
      </w:hyperlink>
    </w:p>
    <w:p>
      <w:pPr>
        <w:pStyle w:val="BodyText"/>
      </w:pPr>
      <w:hyperlink r:id="rId82">
        <w:r>
          <w:rPr>
            <w:rStyle w:val="Hyperlink"/>
          </w:rPr>
          <w:t xml:space="preserve">[68]</w:t>
        </w:r>
      </w:hyperlink>
      <w:r>
        <w:t xml:space="preserve"> </w:t>
      </w:r>
      <w:r>
        <w:t xml:space="preserve">https://arxiv.org/pdf/1803.09010</w:t>
      </w:r>
    </w:p>
    <w:p>
      <w:pPr>
        <w:pStyle w:val="BodyText"/>
      </w:pPr>
      <w:hyperlink r:id="rId82">
        <w:r>
          <w:rPr>
            <w:rStyle w:val="Hyperlink"/>
          </w:rPr>
          <w:t xml:space="preserve">https://arxiv.org/pdf/1803.09010</w:t>
        </w:r>
      </w:hyperlink>
    </w:p>
    <w:bookmarkEnd w:id="8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6" Target="https://academic.oup.com/biomet/article-pdf/83/4/835/703326/83-4-835.pdf" TargetMode="External" /><Relationship Type="http://schemas.openxmlformats.org/officeDocument/2006/relationships/hyperlink" Id="rId32" Target="https://arxiv.org/abs/1705.07874?utm_source=chatgpt.com" TargetMode="External" /><Relationship Type="http://schemas.openxmlformats.org/officeDocument/2006/relationships/hyperlink" Id="rId45" Target="https://arxiv.org/abs/2110.02642?utm_source=chatgpt.com" TargetMode="External" /><Relationship Type="http://schemas.openxmlformats.org/officeDocument/2006/relationships/hyperlink" Id="rId82" Target="https://arxiv.org/pdf/1803.09010" TargetMode="External" /><Relationship Type="http://schemas.openxmlformats.org/officeDocument/2006/relationships/hyperlink" Id="rId26" Target="https://arxiv.org/pdf/2007.10903" TargetMode="External" /><Relationship Type="http://schemas.openxmlformats.org/officeDocument/2006/relationships/hyperlink" Id="rId22" Target="https://aws.amazon.com/blogs/industries/revolutionizing-telecom-revenue-assurance-the-aws-ai-driven-framework-for-next-generation-solutions/" TargetMode="External" /><Relationship Type="http://schemas.openxmlformats.org/officeDocument/2006/relationships/hyperlink" Id="rId36" Target="https://ftp.cs.wisc.edu/machine-learning/shavlik-group/davis.icml06.pdf?utm_source=chatgpt.com" TargetMode="External" /><Relationship Type="http://schemas.openxmlformats.org/officeDocument/2006/relationships/hyperlink" Id="rId68" Target="https://gdpr-info.eu/art-5-gdpr/" TargetMode="External" /><Relationship Type="http://schemas.openxmlformats.org/officeDocument/2006/relationships/hyperlink" Id="rId69" Target="https://nvlpubs.nist.gov/nistpubs/ai/nist.ai.100-1.pdf" TargetMode="External" /><Relationship Type="http://schemas.openxmlformats.org/officeDocument/2006/relationships/hyperlink" Id="rId60" Target="https://pmc.ncbi.nlm.nih.gov/articles/PMC2812057/" TargetMode="External" /><Relationship Type="http://schemas.openxmlformats.org/officeDocument/2006/relationships/hyperlink" Id="rId79" Target="https://proceedings.neurips.cc/paper/6907-lightgbm-a-highly-efficient-gradient-boosting-decision-tree.pdf?utm_source=chatgpt.com" TargetMode="External" /><Relationship Type="http://schemas.openxmlformats.org/officeDocument/2006/relationships/hyperlink" Id="rId73" Target="https://pubmed.ncbi.nlm.nih.gov/3203132/" TargetMode="External" /><Relationship Type="http://schemas.openxmlformats.org/officeDocument/2006/relationships/hyperlink" Id="rId75" Target="https://sci2s.ugr.es/keel/pdf/algorithm/articulo/wilcoxon1945.pdf" TargetMode="External" /><Relationship Type="http://schemas.openxmlformats.org/officeDocument/2006/relationships/hyperlink" Id="rId42" Target="https://webdocs.cs.ualberta.ca/~zaiane/pub/check/breunig.pdf" TargetMode="External" /><Relationship Type="http://schemas.openxmlformats.org/officeDocument/2006/relationships/hyperlink" Id="rId74" Target="https://www.cambridge.org/core/journals/psychometrika/article/note-on-the-sampling-error-of-the-difference-between-correlated-proportions-or-percentages/698C2461BE63F5848763502D54E534FD" TargetMode="External" /><Relationship Type="http://schemas.openxmlformats.org/officeDocument/2006/relationships/hyperlink" Id="rId40" Target="https://www.diva-portal.org/smash/get/diva2%3A1538469/FULLTEXT01.pdf" TargetMode="External" /><Relationship Type="http://schemas.openxmlformats.org/officeDocument/2006/relationships/hyperlink" Id="rId63" Target="https://www.diva-portal.org/smash/record.jsf?pid=diva2%3A1058442" TargetMode="External" /><Relationship Type="http://schemas.openxmlformats.org/officeDocument/2006/relationships/hyperlink" Id="rId21" Target="https://www.ibm.com/think/topics/order-to-cash-o2c" TargetMode="External" /><Relationship Type="http://schemas.openxmlformats.org/officeDocument/2006/relationships/hyperlink" Id="rId44" Target="https://www.kdd.org/kdd2016/papers/files/rfp0697-chenAemb.pdf?utm_source=chatgpt.com" TargetMode="External" /><Relationship Type="http://schemas.openxmlformats.org/officeDocument/2006/relationships/hyperlink" Id="rId43" Target="https://www.lamda.nju.edu.cn/publication/icdm08b.pdf?utm_source=chatgpt.com" TargetMode="External" /><Relationship Type="http://schemas.openxmlformats.org/officeDocument/2006/relationships/hyperlink" Id="rId29" Target="https://www.mckinsey.com/capabilities/operations/our-insights/finding-hidden-value-with-order-to-cash-optimization" TargetMode="External" /><Relationship Type="http://schemas.openxmlformats.org/officeDocument/2006/relationships/hyperlink" Id="rId24" Target="https://www.msc-les.org/proceedings/emss/2016/EMSS2016_249.pdf" TargetMode="External" /><Relationship Type="http://schemas.openxmlformats.org/officeDocument/2006/relationships/hyperlink" Id="rId23" Target="https://www.sciencedirect.com/science/article/abs/pii/S1566253517305444" TargetMode="External" /><Relationship Type="http://schemas.openxmlformats.org/officeDocument/2006/relationships/hyperlink" Id="rId64" Target="https://www.sciencedirect.com/science/article/pii/S0169207021001874" TargetMode="External" /><Relationship Type="http://schemas.openxmlformats.org/officeDocument/2006/relationships/hyperlink" Id="rId38" Target="https://www.tmforum.org/catalysts/projects/C25.0.812/aipowered-billing-qa-and-anomaly-detection" TargetMode="External" /><Relationship Type="http://schemas.openxmlformats.org/officeDocument/2006/relationships/hyperlink" Id="rId28" Target="https://www.tmforum.org/resources/best-practice/gb941d-revenue-assurance-revenue-leakage-framework-and-examples-v2-0/" TargetMode="External" /><Relationship Type="http://schemas.openxmlformats.org/officeDocument/2006/relationships/hyperlink" Id="rId37" Target="https://www.tmforum.org/resources/suite/gb941-revenue-assurance-solution-suite-v19-5/" TargetMode="External" /></Relationships>
</file>

<file path=word/_rels/footnotes.xml.rels><?xml version="1.0" encoding="UTF-8"?><Relationships xmlns="http://schemas.openxmlformats.org/package/2006/relationships"><Relationship Type="http://schemas.openxmlformats.org/officeDocument/2006/relationships/hyperlink" Id="rId76" Target="https://academic.oup.com/biomet/article-pdf/83/4/835/703326/83-4-835.pdf" TargetMode="External" /><Relationship Type="http://schemas.openxmlformats.org/officeDocument/2006/relationships/hyperlink" Id="rId32" Target="https://arxiv.org/abs/1705.07874?utm_source=chatgpt.com" TargetMode="External" /><Relationship Type="http://schemas.openxmlformats.org/officeDocument/2006/relationships/hyperlink" Id="rId45" Target="https://arxiv.org/abs/2110.02642?utm_source=chatgpt.com" TargetMode="External" /><Relationship Type="http://schemas.openxmlformats.org/officeDocument/2006/relationships/hyperlink" Id="rId82" Target="https://arxiv.org/pdf/1803.09010" TargetMode="External" /><Relationship Type="http://schemas.openxmlformats.org/officeDocument/2006/relationships/hyperlink" Id="rId26" Target="https://arxiv.org/pdf/2007.10903" TargetMode="External" /><Relationship Type="http://schemas.openxmlformats.org/officeDocument/2006/relationships/hyperlink" Id="rId22" Target="https://aws.amazon.com/blogs/industries/revolutionizing-telecom-revenue-assurance-the-aws-ai-driven-framework-for-next-generation-solutions/" TargetMode="External" /><Relationship Type="http://schemas.openxmlformats.org/officeDocument/2006/relationships/hyperlink" Id="rId36" Target="https://ftp.cs.wisc.edu/machine-learning/shavlik-group/davis.icml06.pdf?utm_source=chatgpt.com" TargetMode="External" /><Relationship Type="http://schemas.openxmlformats.org/officeDocument/2006/relationships/hyperlink" Id="rId68" Target="https://gdpr-info.eu/art-5-gdpr/" TargetMode="External" /><Relationship Type="http://schemas.openxmlformats.org/officeDocument/2006/relationships/hyperlink" Id="rId69" Target="https://nvlpubs.nist.gov/nistpubs/ai/nist.ai.100-1.pdf" TargetMode="External" /><Relationship Type="http://schemas.openxmlformats.org/officeDocument/2006/relationships/hyperlink" Id="rId60" Target="https://pmc.ncbi.nlm.nih.gov/articles/PMC2812057/" TargetMode="External" /><Relationship Type="http://schemas.openxmlformats.org/officeDocument/2006/relationships/hyperlink" Id="rId79" Target="https://proceedings.neurips.cc/paper/6907-lightgbm-a-highly-efficient-gradient-boosting-decision-tree.pdf?utm_source=chatgpt.com" TargetMode="External" /><Relationship Type="http://schemas.openxmlformats.org/officeDocument/2006/relationships/hyperlink" Id="rId73" Target="https://pubmed.ncbi.nlm.nih.gov/3203132/" TargetMode="External" /><Relationship Type="http://schemas.openxmlformats.org/officeDocument/2006/relationships/hyperlink" Id="rId75" Target="https://sci2s.ugr.es/keel/pdf/algorithm/articulo/wilcoxon1945.pdf" TargetMode="External" /><Relationship Type="http://schemas.openxmlformats.org/officeDocument/2006/relationships/hyperlink" Id="rId42" Target="https://webdocs.cs.ualberta.ca/~zaiane/pub/check/breunig.pdf" TargetMode="External" /><Relationship Type="http://schemas.openxmlformats.org/officeDocument/2006/relationships/hyperlink" Id="rId74" Target="https://www.cambridge.org/core/journals/psychometrika/article/note-on-the-sampling-error-of-the-difference-between-correlated-proportions-or-percentages/698C2461BE63F5848763502D54E534FD" TargetMode="External" /><Relationship Type="http://schemas.openxmlformats.org/officeDocument/2006/relationships/hyperlink" Id="rId40" Target="https://www.diva-portal.org/smash/get/diva2%3A1538469/FULLTEXT01.pdf" TargetMode="External" /><Relationship Type="http://schemas.openxmlformats.org/officeDocument/2006/relationships/hyperlink" Id="rId63" Target="https://www.diva-portal.org/smash/record.jsf?pid=diva2%3A1058442" TargetMode="External" /><Relationship Type="http://schemas.openxmlformats.org/officeDocument/2006/relationships/hyperlink" Id="rId21" Target="https://www.ibm.com/think/topics/order-to-cash-o2c" TargetMode="External" /><Relationship Type="http://schemas.openxmlformats.org/officeDocument/2006/relationships/hyperlink" Id="rId44" Target="https://www.kdd.org/kdd2016/papers/files/rfp0697-chenAemb.pdf?utm_source=chatgpt.com" TargetMode="External" /><Relationship Type="http://schemas.openxmlformats.org/officeDocument/2006/relationships/hyperlink" Id="rId43" Target="https://www.lamda.nju.edu.cn/publication/icdm08b.pdf?utm_source=chatgpt.com" TargetMode="External" /><Relationship Type="http://schemas.openxmlformats.org/officeDocument/2006/relationships/hyperlink" Id="rId29" Target="https://www.mckinsey.com/capabilities/operations/our-insights/finding-hidden-value-with-order-to-cash-optimization" TargetMode="External" /><Relationship Type="http://schemas.openxmlformats.org/officeDocument/2006/relationships/hyperlink" Id="rId24" Target="https://www.msc-les.org/proceedings/emss/2016/EMSS2016_249.pdf" TargetMode="External" /><Relationship Type="http://schemas.openxmlformats.org/officeDocument/2006/relationships/hyperlink" Id="rId23" Target="https://www.sciencedirect.com/science/article/abs/pii/S1566253517305444" TargetMode="External" /><Relationship Type="http://schemas.openxmlformats.org/officeDocument/2006/relationships/hyperlink" Id="rId64" Target="https://www.sciencedirect.com/science/article/pii/S0169207021001874" TargetMode="External" /><Relationship Type="http://schemas.openxmlformats.org/officeDocument/2006/relationships/hyperlink" Id="rId38" Target="https://www.tmforum.org/catalysts/projects/C25.0.812/aipowered-billing-qa-and-anomaly-detection" TargetMode="External" /><Relationship Type="http://schemas.openxmlformats.org/officeDocument/2006/relationships/hyperlink" Id="rId28" Target="https://www.tmforum.org/resources/best-practice/gb941d-revenue-assurance-revenue-leakage-framework-and-examples-v2-0/" TargetMode="External" /><Relationship Type="http://schemas.openxmlformats.org/officeDocument/2006/relationships/hyperlink" Id="rId37" Target="https://www.tmforum.org/resources/suite/gb941-revenue-assurance-solution-suite-v19-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2026-02-24T16:48:35Z</dcterms:created>
  <dcterms:modified xsi:type="dcterms:W3CDTF">2026-02-24T16:48:35Z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