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900" w:rsidRPr="009B3900" w:rsidRDefault="009B3900" w:rsidP="009B3900">
      <w:pPr>
        <w:shd w:val="clear" w:color="auto" w:fill="8DB3E2" w:themeFill="text2" w:themeFillTint="66"/>
        <w:jc w:val="center"/>
        <w:rPr>
          <w:rFonts w:ascii="Times New Roman" w:hAnsi="Times New Roman" w:cs="Times New Roman"/>
          <w:b/>
          <w:sz w:val="32"/>
          <w:szCs w:val="32"/>
        </w:rPr>
      </w:pPr>
      <w:r w:rsidRPr="009B3900">
        <w:rPr>
          <w:rFonts w:ascii="Times New Roman" w:hAnsi="Times New Roman" w:cs="Times New Roman"/>
          <w:b/>
          <w:sz w:val="32"/>
          <w:szCs w:val="32"/>
        </w:rPr>
        <w:t>RATIO ANALYSIS</w:t>
      </w:r>
    </w:p>
    <w:p w:rsidR="009B3900" w:rsidRDefault="009B3900" w:rsidP="009B3900">
      <w:pPr>
        <w:jc w:val="both"/>
        <w:rPr>
          <w:rFonts w:ascii="Times New Roman" w:hAnsi="Times New Roman" w:cs="Times New Roman"/>
          <w:sz w:val="24"/>
          <w:szCs w:val="24"/>
        </w:rPr>
      </w:pPr>
      <w:r w:rsidRPr="005E4E21">
        <w:rPr>
          <w:rFonts w:ascii="Times New Roman" w:hAnsi="Times New Roman" w:cs="Times New Roman"/>
          <w:sz w:val="24"/>
          <w:szCs w:val="24"/>
        </w:rPr>
        <w:t xml:space="preserve">Ratio analysis compares line-item data from a company's financial statements to reveal insights regarding profitability, liquidity, operational efficiency, and solvency. Ratio analysis can mark how a company is performing over time, while comparing a company to another within the same industry or sector. Ratio analysis may also be required by external parties that set benchmarks often tied to risk. While ratios offer useful insight into a company, they should be paired with other metrics, to obtain a broader picture of a company's financial health. </w:t>
      </w:r>
    </w:p>
    <w:p w:rsidR="00DA0202" w:rsidRDefault="009B3900">
      <w:r w:rsidRPr="001A6D61">
        <w:rPr>
          <w:noProof/>
        </w:rPr>
        <w:drawing>
          <wp:inline distT="0" distB="0" distL="0" distR="0" wp14:anchorId="69E4F1C5" wp14:editId="0F1C0D61">
            <wp:extent cx="5731510" cy="5396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96865"/>
                    </a:xfrm>
                    <a:prstGeom prst="rect">
                      <a:avLst/>
                    </a:prstGeom>
                    <a:noFill/>
                    <a:ln>
                      <a:noFill/>
                    </a:ln>
                  </pic:spPr>
                </pic:pic>
              </a:graphicData>
            </a:graphic>
          </wp:inline>
        </w:drawing>
      </w:r>
    </w:p>
    <w:p w:rsidR="009B3900" w:rsidRDefault="009B3900"/>
    <w:p w:rsidR="009B3900" w:rsidRDefault="009B3900"/>
    <w:p w:rsidR="009B3900" w:rsidRDefault="009B3900"/>
    <w:p w:rsidR="009B3900" w:rsidRDefault="009B3900" w:rsidP="009B3900"/>
    <w:p w:rsidR="009B3900" w:rsidRPr="009B3900" w:rsidRDefault="009B3900" w:rsidP="009B3900">
      <w:pPr>
        <w:jc w:val="center"/>
        <w:rPr>
          <w:rFonts w:ascii="Times New Roman" w:hAnsi="Times New Roman" w:cs="Times New Roman"/>
          <w:b/>
          <w:sz w:val="28"/>
          <w:szCs w:val="28"/>
        </w:rPr>
      </w:pPr>
      <w:r w:rsidRPr="009B3900">
        <w:rPr>
          <w:rFonts w:ascii="Times New Roman" w:hAnsi="Times New Roman" w:cs="Times New Roman"/>
          <w:b/>
          <w:sz w:val="28"/>
          <w:szCs w:val="28"/>
        </w:rPr>
        <w:lastRenderedPageBreak/>
        <w:t>Liquidity Ratio</w:t>
      </w:r>
    </w:p>
    <w:p w:rsidR="009B3900" w:rsidRDefault="009B3900">
      <w:r>
        <w:rPr>
          <w:noProof/>
        </w:rPr>
        <w:drawing>
          <wp:inline distT="0" distB="0" distL="0" distR="0" wp14:anchorId="267EF432" wp14:editId="6F6AF9FA">
            <wp:extent cx="5539740" cy="2110740"/>
            <wp:effectExtent l="0" t="0" r="2286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B3900" w:rsidRPr="009B3900" w:rsidRDefault="009B3900" w:rsidP="009B3900">
      <w:pPr>
        <w:jc w:val="center"/>
        <w:rPr>
          <w:rFonts w:ascii="Times New Roman" w:hAnsi="Times New Roman" w:cs="Times New Roman"/>
          <w:b/>
          <w:sz w:val="28"/>
          <w:szCs w:val="28"/>
        </w:rPr>
      </w:pPr>
      <w:r w:rsidRPr="009B3900">
        <w:rPr>
          <w:rFonts w:ascii="Times New Roman" w:hAnsi="Times New Roman" w:cs="Times New Roman"/>
          <w:b/>
          <w:sz w:val="28"/>
          <w:szCs w:val="28"/>
        </w:rPr>
        <w:t>Activity Ratio</w:t>
      </w:r>
    </w:p>
    <w:p w:rsidR="009B3900" w:rsidRDefault="009B3900">
      <w:r>
        <w:rPr>
          <w:noProof/>
        </w:rPr>
        <w:drawing>
          <wp:inline distT="0" distB="0" distL="0" distR="0" wp14:anchorId="184F8F80" wp14:editId="3F40F160">
            <wp:extent cx="5576455" cy="2237509"/>
            <wp:effectExtent l="0" t="0" r="24765" b="107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B3900" w:rsidRPr="009B3900" w:rsidRDefault="009B3900" w:rsidP="009B3900">
      <w:pPr>
        <w:jc w:val="center"/>
        <w:rPr>
          <w:rFonts w:ascii="Times New Roman" w:hAnsi="Times New Roman" w:cs="Times New Roman"/>
          <w:b/>
          <w:color w:val="000000" w:themeColor="text1"/>
          <w:sz w:val="28"/>
          <w:szCs w:val="28"/>
        </w:rPr>
      </w:pPr>
      <w:r w:rsidRPr="009B3900">
        <w:rPr>
          <w:rFonts w:ascii="Times New Roman" w:hAnsi="Times New Roman" w:cs="Times New Roman"/>
          <w:b/>
          <w:sz w:val="28"/>
          <w:szCs w:val="28"/>
        </w:rPr>
        <w:t>Debt Ratio</w:t>
      </w:r>
    </w:p>
    <w:p w:rsidR="009B3900" w:rsidRDefault="009B3900">
      <w:r>
        <w:rPr>
          <w:noProof/>
        </w:rPr>
        <w:drawing>
          <wp:inline distT="0" distB="0" distL="0" distR="0" wp14:anchorId="31E07AEE" wp14:editId="0BD8B8B5">
            <wp:extent cx="5541818" cy="2570018"/>
            <wp:effectExtent l="0" t="0" r="20955" b="2095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B3900" w:rsidRDefault="009B3900" w:rsidP="009B3900">
      <w:pPr>
        <w:jc w:val="center"/>
        <w:rPr>
          <w:rFonts w:ascii="Times New Roman" w:hAnsi="Times New Roman" w:cs="Times New Roman"/>
          <w:b/>
          <w:sz w:val="24"/>
          <w:szCs w:val="24"/>
        </w:rPr>
      </w:pPr>
    </w:p>
    <w:p w:rsidR="009B3900" w:rsidRPr="009B3900" w:rsidRDefault="009B3900" w:rsidP="009B3900">
      <w:pPr>
        <w:jc w:val="center"/>
        <w:rPr>
          <w:rFonts w:ascii="Times New Roman" w:hAnsi="Times New Roman" w:cs="Times New Roman"/>
          <w:b/>
          <w:sz w:val="28"/>
          <w:szCs w:val="28"/>
        </w:rPr>
      </w:pPr>
      <w:r w:rsidRPr="009B3900">
        <w:rPr>
          <w:rFonts w:ascii="Times New Roman" w:hAnsi="Times New Roman" w:cs="Times New Roman"/>
          <w:b/>
          <w:sz w:val="28"/>
          <w:szCs w:val="28"/>
        </w:rPr>
        <w:lastRenderedPageBreak/>
        <w:t>Profitability Ratio</w:t>
      </w:r>
    </w:p>
    <w:p w:rsidR="009B3900" w:rsidRDefault="009B3900">
      <w:r>
        <w:rPr>
          <w:noProof/>
        </w:rPr>
        <w:drawing>
          <wp:inline distT="0" distB="0" distL="0" distR="0" wp14:anchorId="3E8D7365" wp14:editId="5390B225">
            <wp:extent cx="5604164" cy="2563091"/>
            <wp:effectExtent l="0" t="0" r="15875" b="2794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B3900" w:rsidRDefault="009B3900"/>
    <w:p w:rsidR="009B3900" w:rsidRPr="007A5406" w:rsidRDefault="009B3900" w:rsidP="009B3900">
      <w:pPr>
        <w:jc w:val="both"/>
        <w:rPr>
          <w:rFonts w:ascii="Times New Roman" w:hAnsi="Times New Roman" w:cs="Times New Roman"/>
          <w:sz w:val="24"/>
          <w:szCs w:val="24"/>
        </w:rPr>
      </w:pPr>
      <w:r w:rsidRPr="00D16CF4">
        <w:rPr>
          <w:rFonts w:ascii="Times New Roman" w:eastAsia="Times New Roman" w:hAnsi="Times New Roman" w:cs="Times New Roman"/>
          <w:bCs/>
          <w:color w:val="000000" w:themeColor="text1"/>
          <w:sz w:val="24"/>
          <w:szCs w:val="24"/>
        </w:rPr>
        <w:t xml:space="preserve">In Liquidity Ratio, the average current ratio of five years are 1.64 which indicate a company is able to pay its current debts as they come due. On the other hand all Quick Ratios are below 1 </w:t>
      </w:r>
      <w:r>
        <w:rPr>
          <w:rFonts w:ascii="Times New Roman" w:eastAsia="Times New Roman" w:hAnsi="Times New Roman" w:cs="Times New Roman"/>
          <w:bCs/>
          <w:color w:val="000000" w:themeColor="text1"/>
          <w:sz w:val="24"/>
          <w:szCs w:val="24"/>
        </w:rPr>
        <w:t>which is not good for the company .In Activity Ratio all inventory turnover r</w:t>
      </w:r>
      <w:bookmarkStart w:id="0" w:name="_GoBack"/>
      <w:bookmarkEnd w:id="0"/>
      <w:r>
        <w:rPr>
          <w:rFonts w:ascii="Times New Roman" w:eastAsia="Times New Roman" w:hAnsi="Times New Roman" w:cs="Times New Roman"/>
          <w:bCs/>
          <w:color w:val="000000" w:themeColor="text1"/>
          <w:sz w:val="24"/>
          <w:szCs w:val="24"/>
        </w:rPr>
        <w:t>atio is below 2 and 4 which is not good for a company. The Total Asset Turnover is below 1. So, it is not good for the company. In Debt Ratio is lower than 1 which means the company has more assets than debt. In 2018, 2019 and 2020 the ROA is not perform well but in 2021 and 2022 the percentage is increase. ROE is below 5% which would be considered low.</w:t>
      </w:r>
    </w:p>
    <w:p w:rsidR="009B3900" w:rsidRDefault="009B3900"/>
    <w:sectPr w:rsidR="009B39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900"/>
    <w:rsid w:val="009B3900"/>
    <w:rsid w:val="00DA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9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9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9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9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610195434894216E-2"/>
          <c:y val="8.9309593372375873E-2"/>
          <c:w val="0.72050410974679358"/>
          <c:h val="0.79947768592153934"/>
        </c:manualLayout>
      </c:layout>
      <c:barChart>
        <c:barDir val="col"/>
        <c:grouping val="stacked"/>
        <c:varyColors val="0"/>
        <c:ser>
          <c:idx val="0"/>
          <c:order val="0"/>
          <c:invertIfNegative val="0"/>
          <c:val>
            <c:numRef>
              <c:f>'Ratio Analysis'!$A$7:$J$7</c:f>
              <c:numCache>
                <c:formatCode>General</c:formatCode>
                <c:ptCount val="10"/>
                <c:pt idx="0">
                  <c:v>0</c:v>
                </c:pt>
              </c:numCache>
            </c:numRef>
          </c:val>
        </c:ser>
        <c:ser>
          <c:idx val="1"/>
          <c:order val="1"/>
          <c:invertIfNegative val="0"/>
          <c:val>
            <c:numRef>
              <c:f>'Ratio Analysis'!$A$8:$J$8</c:f>
              <c:numCache>
                <c:formatCode>General</c:formatCode>
                <c:ptCount val="10"/>
              </c:numCache>
            </c:numRef>
          </c:val>
        </c:ser>
        <c:ser>
          <c:idx val="2"/>
          <c:order val="2"/>
          <c:invertIfNegative val="0"/>
          <c:val>
            <c:numRef>
              <c:f>'Ratio Analysis'!$A$9:$J$9</c:f>
              <c:numCache>
                <c:formatCode>General</c:formatCode>
                <c:ptCount val="10"/>
                <c:pt idx="0">
                  <c:v>0</c:v>
                </c:pt>
                <c:pt idx="4">
                  <c:v>0.92</c:v>
                </c:pt>
                <c:pt idx="5">
                  <c:v>1.44</c:v>
                </c:pt>
                <c:pt idx="6">
                  <c:v>2</c:v>
                </c:pt>
                <c:pt idx="7">
                  <c:v>2</c:v>
                </c:pt>
                <c:pt idx="8">
                  <c:v>1.86</c:v>
                </c:pt>
              </c:numCache>
            </c:numRef>
          </c:val>
        </c:ser>
        <c:ser>
          <c:idx val="3"/>
          <c:order val="3"/>
          <c:invertIfNegative val="0"/>
          <c:val>
            <c:numRef>
              <c:f>'Ratio Analysis'!$A$10:$J$10</c:f>
              <c:numCache>
                <c:formatCode>General</c:formatCode>
                <c:ptCount val="10"/>
                <c:pt idx="0">
                  <c:v>0</c:v>
                </c:pt>
                <c:pt idx="4">
                  <c:v>0.4</c:v>
                </c:pt>
                <c:pt idx="5">
                  <c:v>0.57999999999999996</c:v>
                </c:pt>
                <c:pt idx="6">
                  <c:v>0.64</c:v>
                </c:pt>
                <c:pt idx="7">
                  <c:v>0.71</c:v>
                </c:pt>
                <c:pt idx="8">
                  <c:v>0.56999999999999995</c:v>
                </c:pt>
              </c:numCache>
            </c:numRef>
          </c:val>
        </c:ser>
        <c:ser>
          <c:idx val="4"/>
          <c:order val="4"/>
          <c:invertIfNegative val="0"/>
          <c:val>
            <c:numRef>
              <c:f>'Ratio Analysis'!$A$11:$J$11</c:f>
              <c:numCache>
                <c:formatCode>General</c:formatCode>
                <c:ptCount val="10"/>
              </c:numCache>
            </c:numRef>
          </c:val>
        </c:ser>
        <c:dLbls>
          <c:showLegendKey val="0"/>
          <c:showVal val="0"/>
          <c:showCatName val="0"/>
          <c:showSerName val="0"/>
          <c:showPercent val="0"/>
          <c:showBubbleSize val="0"/>
        </c:dLbls>
        <c:gapWidth val="150"/>
        <c:overlap val="100"/>
        <c:axId val="136379776"/>
        <c:axId val="136483968"/>
      </c:barChart>
      <c:catAx>
        <c:axId val="136379776"/>
        <c:scaling>
          <c:orientation val="minMax"/>
        </c:scaling>
        <c:delete val="0"/>
        <c:axPos val="b"/>
        <c:majorTickMark val="out"/>
        <c:minorTickMark val="none"/>
        <c:tickLblPos val="nextTo"/>
        <c:crossAx val="136483968"/>
        <c:crosses val="autoZero"/>
        <c:auto val="1"/>
        <c:lblAlgn val="ctr"/>
        <c:lblOffset val="100"/>
        <c:noMultiLvlLbl val="0"/>
      </c:catAx>
      <c:valAx>
        <c:axId val="136483968"/>
        <c:scaling>
          <c:orientation val="minMax"/>
        </c:scaling>
        <c:delete val="0"/>
        <c:axPos val="l"/>
        <c:majorGridlines/>
        <c:numFmt formatCode="General" sourceLinked="1"/>
        <c:majorTickMark val="out"/>
        <c:minorTickMark val="none"/>
        <c:tickLblPos val="nextTo"/>
        <c:crossAx val="136379776"/>
        <c:crosses val="autoZero"/>
        <c:crossBetween val="between"/>
      </c:valAx>
    </c:plotArea>
    <c:legend>
      <c:legendPos val="r"/>
      <c:overlay val="0"/>
    </c:legend>
    <c:plotVisOnly val="1"/>
    <c:dispBlanksAs val="gap"/>
    <c:showDLblsOverMax val="0"/>
  </c:chart>
  <c:spPr>
    <a:solidFill>
      <a:schemeClr val="accent2">
        <a:lumMod val="40000"/>
        <a:lumOff val="60000"/>
      </a:schemeClr>
    </a:soli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barChart>
        <c:barDir val="col"/>
        <c:grouping val="stacked"/>
        <c:varyColors val="0"/>
        <c:ser>
          <c:idx val="0"/>
          <c:order val="0"/>
          <c:tx>
            <c:strRef>
              <c:f>'Ratio Analysis'!$A$12</c:f>
              <c:strCache>
                <c:ptCount val="1"/>
                <c:pt idx="0">
                  <c:v>Activity Ratios</c:v>
                </c:pt>
              </c:strCache>
            </c:strRef>
          </c:tx>
          <c:invertIfNegative val="0"/>
          <c:val>
            <c:numRef>
              <c:f>'Ratio Analysis'!$B$12:$J$12</c:f>
              <c:numCache>
                <c:formatCode>General</c:formatCode>
                <c:ptCount val="9"/>
              </c:numCache>
            </c:numRef>
          </c:val>
        </c:ser>
        <c:ser>
          <c:idx val="1"/>
          <c:order val="1"/>
          <c:tx>
            <c:strRef>
              <c:f>'Ratio Analysis'!$A$13</c:f>
              <c:strCache>
                <c:ptCount val="1"/>
              </c:strCache>
            </c:strRef>
          </c:tx>
          <c:invertIfNegative val="0"/>
          <c:val>
            <c:numRef>
              <c:f>'Ratio Analysis'!$B$13:$J$13</c:f>
              <c:numCache>
                <c:formatCode>General</c:formatCode>
                <c:ptCount val="9"/>
              </c:numCache>
            </c:numRef>
          </c:val>
        </c:ser>
        <c:ser>
          <c:idx val="2"/>
          <c:order val="2"/>
          <c:tx>
            <c:strRef>
              <c:f>'Ratio Analysis'!$A$14</c:f>
              <c:strCache>
                <c:ptCount val="1"/>
                <c:pt idx="0">
                  <c:v>Account Receivable Turnover</c:v>
                </c:pt>
              </c:strCache>
            </c:strRef>
          </c:tx>
          <c:invertIfNegative val="0"/>
          <c:val>
            <c:numRef>
              <c:f>'Ratio Analysis'!$B$14:$J$14</c:f>
              <c:numCache>
                <c:formatCode>General</c:formatCode>
                <c:ptCount val="9"/>
                <c:pt idx="3">
                  <c:v>11.2</c:v>
                </c:pt>
                <c:pt idx="4">
                  <c:v>14.26</c:v>
                </c:pt>
                <c:pt idx="5">
                  <c:v>4.34</c:v>
                </c:pt>
                <c:pt idx="6">
                  <c:v>11.13</c:v>
                </c:pt>
                <c:pt idx="7">
                  <c:v>11.02</c:v>
                </c:pt>
              </c:numCache>
            </c:numRef>
          </c:val>
        </c:ser>
        <c:ser>
          <c:idx val="3"/>
          <c:order val="3"/>
          <c:tx>
            <c:strRef>
              <c:f>'Ratio Analysis'!$A$15</c:f>
              <c:strCache>
                <c:ptCount val="1"/>
                <c:pt idx="0">
                  <c:v>Inventory Turnover</c:v>
                </c:pt>
              </c:strCache>
            </c:strRef>
          </c:tx>
          <c:invertIfNegative val="0"/>
          <c:val>
            <c:numRef>
              <c:f>'Ratio Analysis'!$B$15:$J$15</c:f>
              <c:numCache>
                <c:formatCode>General</c:formatCode>
                <c:ptCount val="9"/>
                <c:pt idx="3">
                  <c:v>1.71</c:v>
                </c:pt>
                <c:pt idx="4">
                  <c:v>1.26</c:v>
                </c:pt>
                <c:pt idx="5">
                  <c:v>0.9</c:v>
                </c:pt>
                <c:pt idx="6">
                  <c:v>1.1200000000000001</c:v>
                </c:pt>
                <c:pt idx="7">
                  <c:v>1.45</c:v>
                </c:pt>
              </c:numCache>
            </c:numRef>
          </c:val>
        </c:ser>
        <c:ser>
          <c:idx val="4"/>
          <c:order val="4"/>
          <c:tx>
            <c:strRef>
              <c:f>'Ratio Analysis'!$A$16</c:f>
              <c:strCache>
                <c:ptCount val="1"/>
                <c:pt idx="0">
                  <c:v>Total Asset Turnover</c:v>
                </c:pt>
              </c:strCache>
            </c:strRef>
          </c:tx>
          <c:invertIfNegative val="0"/>
          <c:val>
            <c:numRef>
              <c:f>'Ratio Analysis'!$B$16:$J$16</c:f>
              <c:numCache>
                <c:formatCode>General</c:formatCode>
                <c:ptCount val="9"/>
                <c:pt idx="3">
                  <c:v>0.38</c:v>
                </c:pt>
                <c:pt idx="4">
                  <c:v>0.33</c:v>
                </c:pt>
                <c:pt idx="5">
                  <c:v>0.17</c:v>
                </c:pt>
                <c:pt idx="6">
                  <c:v>0.27</c:v>
                </c:pt>
                <c:pt idx="7">
                  <c:v>0.33</c:v>
                </c:pt>
              </c:numCache>
            </c:numRef>
          </c:val>
        </c:ser>
        <c:dLbls>
          <c:showLegendKey val="0"/>
          <c:showVal val="0"/>
          <c:showCatName val="0"/>
          <c:showSerName val="0"/>
          <c:showPercent val="0"/>
          <c:showBubbleSize val="0"/>
        </c:dLbls>
        <c:gapWidth val="150"/>
        <c:overlap val="100"/>
        <c:axId val="137912320"/>
        <c:axId val="137913856"/>
      </c:barChart>
      <c:catAx>
        <c:axId val="137912320"/>
        <c:scaling>
          <c:orientation val="minMax"/>
        </c:scaling>
        <c:delete val="0"/>
        <c:axPos val="b"/>
        <c:majorTickMark val="out"/>
        <c:minorTickMark val="none"/>
        <c:tickLblPos val="nextTo"/>
        <c:crossAx val="137913856"/>
        <c:crosses val="autoZero"/>
        <c:auto val="1"/>
        <c:lblAlgn val="ctr"/>
        <c:lblOffset val="100"/>
        <c:noMultiLvlLbl val="0"/>
      </c:catAx>
      <c:valAx>
        <c:axId val="137913856"/>
        <c:scaling>
          <c:orientation val="minMax"/>
        </c:scaling>
        <c:delete val="0"/>
        <c:axPos val="l"/>
        <c:majorGridlines/>
        <c:numFmt formatCode="General" sourceLinked="1"/>
        <c:majorTickMark val="out"/>
        <c:minorTickMark val="none"/>
        <c:tickLblPos val="nextTo"/>
        <c:crossAx val="137912320"/>
        <c:crosses val="autoZero"/>
        <c:crossBetween val="between"/>
      </c:valAx>
    </c:plotArea>
    <c:legend>
      <c:legendPos val="r"/>
      <c:overlay val="0"/>
    </c:legend>
    <c:plotVisOnly val="1"/>
    <c:dispBlanksAs val="gap"/>
    <c:showDLblsOverMax val="0"/>
  </c:chart>
  <c:spPr>
    <a:solidFill>
      <a:schemeClr val="accent1">
        <a:lumMod val="40000"/>
        <a:lumOff val="60000"/>
      </a:schemeClr>
    </a:solidFill>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manualLayout>
          <c:layoutTarget val="inner"/>
          <c:xMode val="edge"/>
          <c:yMode val="edge"/>
          <c:x val="0.13733573928258969"/>
          <c:y val="7.4548702245552628E-2"/>
          <c:w val="0.74519291338582672"/>
          <c:h val="0.8326195683872849"/>
        </c:manualLayout>
      </c:layout>
      <c:barChart>
        <c:barDir val="col"/>
        <c:grouping val="stacked"/>
        <c:varyColors val="0"/>
        <c:ser>
          <c:idx val="0"/>
          <c:order val="0"/>
          <c:invertIfNegative val="0"/>
          <c:val>
            <c:numRef>
              <c:f>'Ratio Analysis'!$A$18:$J$18</c:f>
              <c:numCache>
                <c:formatCode>General</c:formatCode>
                <c:ptCount val="10"/>
                <c:pt idx="0">
                  <c:v>0</c:v>
                </c:pt>
              </c:numCache>
            </c:numRef>
          </c:val>
        </c:ser>
        <c:ser>
          <c:idx val="1"/>
          <c:order val="1"/>
          <c:invertIfNegative val="0"/>
          <c:val>
            <c:numRef>
              <c:f>'Ratio Analysis'!$A$19:$J$19</c:f>
              <c:numCache>
                <c:formatCode>General</c:formatCode>
                <c:ptCount val="10"/>
              </c:numCache>
            </c:numRef>
          </c:val>
        </c:ser>
        <c:ser>
          <c:idx val="2"/>
          <c:order val="2"/>
          <c:invertIfNegative val="0"/>
          <c:val>
            <c:numRef>
              <c:f>'Ratio Analysis'!$A$20:$J$20</c:f>
              <c:numCache>
                <c:formatCode>General</c:formatCode>
                <c:ptCount val="10"/>
                <c:pt idx="0">
                  <c:v>0</c:v>
                </c:pt>
                <c:pt idx="4">
                  <c:v>0.67</c:v>
                </c:pt>
                <c:pt idx="5" formatCode="0.00">
                  <c:v>0.69</c:v>
                </c:pt>
                <c:pt idx="6" formatCode="0.00">
                  <c:v>0.68</c:v>
                </c:pt>
                <c:pt idx="7" formatCode="0.00">
                  <c:v>0.68</c:v>
                </c:pt>
                <c:pt idx="8">
                  <c:v>0.69</c:v>
                </c:pt>
              </c:numCache>
            </c:numRef>
          </c:val>
        </c:ser>
        <c:ser>
          <c:idx val="3"/>
          <c:order val="3"/>
          <c:invertIfNegative val="0"/>
          <c:val>
            <c:numRef>
              <c:f>'Ratio Analysis'!$A$21:$J$21</c:f>
              <c:numCache>
                <c:formatCode>General</c:formatCode>
                <c:ptCount val="10"/>
                <c:pt idx="0">
                  <c:v>0</c:v>
                </c:pt>
                <c:pt idx="4">
                  <c:v>0.85</c:v>
                </c:pt>
                <c:pt idx="5">
                  <c:v>1.46</c:v>
                </c:pt>
                <c:pt idx="6">
                  <c:v>1.66</c:v>
                </c:pt>
                <c:pt idx="7">
                  <c:v>1.69</c:v>
                </c:pt>
                <c:pt idx="8">
                  <c:v>1.73</c:v>
                </c:pt>
              </c:numCache>
            </c:numRef>
          </c:val>
        </c:ser>
        <c:ser>
          <c:idx val="4"/>
          <c:order val="4"/>
          <c:invertIfNegative val="0"/>
          <c:val>
            <c:numRef>
              <c:f>'Ratio Analysis'!$A$22:$J$22</c:f>
              <c:numCache>
                <c:formatCode>General</c:formatCode>
                <c:ptCount val="10"/>
              </c:numCache>
            </c:numRef>
          </c:val>
        </c:ser>
        <c:dLbls>
          <c:showLegendKey val="0"/>
          <c:showVal val="0"/>
          <c:showCatName val="0"/>
          <c:showSerName val="0"/>
          <c:showPercent val="0"/>
          <c:showBubbleSize val="0"/>
        </c:dLbls>
        <c:gapWidth val="150"/>
        <c:overlap val="100"/>
        <c:axId val="138404224"/>
        <c:axId val="138405760"/>
      </c:barChart>
      <c:catAx>
        <c:axId val="138404224"/>
        <c:scaling>
          <c:orientation val="minMax"/>
        </c:scaling>
        <c:delete val="0"/>
        <c:axPos val="b"/>
        <c:majorTickMark val="out"/>
        <c:minorTickMark val="none"/>
        <c:tickLblPos val="nextTo"/>
        <c:crossAx val="138405760"/>
        <c:crosses val="autoZero"/>
        <c:auto val="1"/>
        <c:lblAlgn val="ctr"/>
        <c:lblOffset val="100"/>
        <c:noMultiLvlLbl val="0"/>
      </c:catAx>
      <c:valAx>
        <c:axId val="138405760"/>
        <c:scaling>
          <c:orientation val="minMax"/>
        </c:scaling>
        <c:delete val="0"/>
        <c:axPos val="l"/>
        <c:majorGridlines/>
        <c:numFmt formatCode="General" sourceLinked="1"/>
        <c:majorTickMark val="out"/>
        <c:minorTickMark val="none"/>
        <c:tickLblPos val="nextTo"/>
        <c:crossAx val="138404224"/>
        <c:crosses val="autoZero"/>
        <c:crossBetween val="between"/>
      </c:valAx>
    </c:plotArea>
    <c:legend>
      <c:legendPos val="r"/>
      <c:overlay val="0"/>
    </c:legend>
    <c:plotVisOnly val="1"/>
    <c:dispBlanksAs val="gap"/>
    <c:showDLblsOverMax val="0"/>
  </c:chart>
  <c:spPr>
    <a:solidFill>
      <a:schemeClr val="accent3">
        <a:lumMod val="60000"/>
        <a:lumOff val="40000"/>
      </a:schemeClr>
    </a:solidFill>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invertIfNegative val="0"/>
          <c:val>
            <c:numRef>
              <c:f>'Ratio Analysis'!$A$23:$J$23</c:f>
              <c:numCache>
                <c:formatCode>General</c:formatCode>
                <c:ptCount val="10"/>
                <c:pt idx="0">
                  <c:v>0</c:v>
                </c:pt>
              </c:numCache>
            </c:numRef>
          </c:val>
        </c:ser>
        <c:ser>
          <c:idx val="1"/>
          <c:order val="1"/>
          <c:invertIfNegative val="0"/>
          <c:val>
            <c:numRef>
              <c:f>'Ratio Analysis'!$A$24:$J$24</c:f>
              <c:numCache>
                <c:formatCode>General</c:formatCode>
                <c:ptCount val="10"/>
              </c:numCache>
            </c:numRef>
          </c:val>
        </c:ser>
        <c:ser>
          <c:idx val="2"/>
          <c:order val="2"/>
          <c:invertIfNegative val="0"/>
          <c:val>
            <c:numRef>
              <c:f>'Ratio Analysis'!$A$25:$J$25</c:f>
              <c:numCache>
                <c:formatCode>General</c:formatCode>
                <c:ptCount val="10"/>
                <c:pt idx="0">
                  <c:v>0</c:v>
                </c:pt>
                <c:pt idx="4" formatCode="0.00%">
                  <c:v>0.1671</c:v>
                </c:pt>
                <c:pt idx="5" formatCode="0.00%">
                  <c:v>0.23980000000000001</c:v>
                </c:pt>
                <c:pt idx="6" formatCode="0.00%">
                  <c:v>-4.1599999999999998E-2</c:v>
                </c:pt>
                <c:pt idx="7" formatCode="0.00%">
                  <c:v>0.20599999999999999</c:v>
                </c:pt>
                <c:pt idx="8" formatCode="0.00%">
                  <c:v>0.18559999999999999</c:v>
                </c:pt>
              </c:numCache>
            </c:numRef>
          </c:val>
        </c:ser>
        <c:ser>
          <c:idx val="3"/>
          <c:order val="3"/>
          <c:invertIfNegative val="0"/>
          <c:val>
            <c:numRef>
              <c:f>'Ratio Analysis'!$A$26:$J$26</c:f>
              <c:numCache>
                <c:formatCode>General</c:formatCode>
                <c:ptCount val="10"/>
                <c:pt idx="0">
                  <c:v>0</c:v>
                </c:pt>
                <c:pt idx="4" formatCode="0.00%">
                  <c:v>0.1593</c:v>
                </c:pt>
                <c:pt idx="5" formatCode="0.00%">
                  <c:v>0.19339999999999999</c:v>
                </c:pt>
                <c:pt idx="6" formatCode="0.00%">
                  <c:v>-0.10780000000000001</c:v>
                </c:pt>
                <c:pt idx="7" formatCode="0.00%">
                  <c:v>0.23139999999999999</c:v>
                </c:pt>
                <c:pt idx="8" formatCode="0.00%">
                  <c:v>0.16139999999999999</c:v>
                </c:pt>
              </c:numCache>
            </c:numRef>
          </c:val>
        </c:ser>
        <c:ser>
          <c:idx val="4"/>
          <c:order val="4"/>
          <c:invertIfNegative val="0"/>
          <c:val>
            <c:numRef>
              <c:f>'Ratio Analysis'!$A$27:$J$27</c:f>
              <c:numCache>
                <c:formatCode>General</c:formatCode>
                <c:ptCount val="10"/>
                <c:pt idx="0">
                  <c:v>0</c:v>
                </c:pt>
                <c:pt idx="4" formatCode="0.00%">
                  <c:v>2.0799999999999999E-2</c:v>
                </c:pt>
                <c:pt idx="5" formatCode="0.00%">
                  <c:v>-2.6499999999999999E-2</c:v>
                </c:pt>
                <c:pt idx="6" formatCode="0.00%">
                  <c:v>-0.51390000000000002</c:v>
                </c:pt>
                <c:pt idx="7" formatCode="0.00%">
                  <c:v>1.26E-2</c:v>
                </c:pt>
                <c:pt idx="8" formatCode="0.00%">
                  <c:v>1.44E-2</c:v>
                </c:pt>
              </c:numCache>
            </c:numRef>
          </c:val>
        </c:ser>
        <c:ser>
          <c:idx val="5"/>
          <c:order val="5"/>
          <c:invertIfNegative val="0"/>
          <c:val>
            <c:numRef>
              <c:f>'Ratio Analysis'!$A$28:$J$28</c:f>
              <c:numCache>
                <c:formatCode>General</c:formatCode>
                <c:ptCount val="10"/>
                <c:pt idx="0">
                  <c:v>0</c:v>
                </c:pt>
                <c:pt idx="4" formatCode="0.00%">
                  <c:v>2.2000000000000001E-3</c:v>
                </c:pt>
                <c:pt idx="5" formatCode="0.00%">
                  <c:v>-9.1000000000000004E-3</c:v>
                </c:pt>
                <c:pt idx="6" formatCode="0.00%">
                  <c:v>-2.0000000000000001E-4</c:v>
                </c:pt>
                <c:pt idx="7" formatCode="0%">
                  <c:v>0.06</c:v>
                </c:pt>
                <c:pt idx="8" formatCode="0.00%">
                  <c:v>5.3600000000000002E-2</c:v>
                </c:pt>
              </c:numCache>
            </c:numRef>
          </c:val>
        </c:ser>
        <c:ser>
          <c:idx val="6"/>
          <c:order val="6"/>
          <c:invertIfNegative val="0"/>
          <c:val>
            <c:numRef>
              <c:f>'Ratio Analysis'!$A$29:$J$29</c:f>
              <c:numCache>
                <c:formatCode>General</c:formatCode>
                <c:ptCount val="10"/>
                <c:pt idx="0">
                  <c:v>0</c:v>
                </c:pt>
                <c:pt idx="4" formatCode="0.00%">
                  <c:v>2.3E-2</c:v>
                </c:pt>
                <c:pt idx="5" formatCode="0.00%">
                  <c:v>-2.81E-2</c:v>
                </c:pt>
                <c:pt idx="6" formatCode="0.00%">
                  <c:v>-0.26840000000000003</c:v>
                </c:pt>
                <c:pt idx="7" formatCode="0.00%">
                  <c:v>1.06E-2</c:v>
                </c:pt>
                <c:pt idx="8" formatCode="0.00%">
                  <c:v>1.5299999999999999E-2</c:v>
                </c:pt>
              </c:numCache>
            </c:numRef>
          </c:val>
        </c:ser>
        <c:ser>
          <c:idx val="7"/>
          <c:order val="7"/>
          <c:invertIfNegative val="0"/>
          <c:val>
            <c:numRef>
              <c:f>'Ratio Analysis'!$A$30:$J$30</c:f>
              <c:numCache>
                <c:formatCode>General</c:formatCode>
                <c:ptCount val="10"/>
              </c:numCache>
            </c:numRef>
          </c:val>
        </c:ser>
        <c:dLbls>
          <c:showLegendKey val="0"/>
          <c:showVal val="0"/>
          <c:showCatName val="0"/>
          <c:showSerName val="0"/>
          <c:showPercent val="0"/>
          <c:showBubbleSize val="0"/>
        </c:dLbls>
        <c:gapWidth val="150"/>
        <c:overlap val="100"/>
        <c:axId val="139144192"/>
        <c:axId val="139215616"/>
      </c:barChart>
      <c:catAx>
        <c:axId val="139144192"/>
        <c:scaling>
          <c:orientation val="minMax"/>
        </c:scaling>
        <c:delete val="0"/>
        <c:axPos val="b"/>
        <c:majorTickMark val="out"/>
        <c:minorTickMark val="none"/>
        <c:tickLblPos val="nextTo"/>
        <c:crossAx val="139215616"/>
        <c:crosses val="autoZero"/>
        <c:auto val="1"/>
        <c:lblAlgn val="ctr"/>
        <c:lblOffset val="100"/>
        <c:noMultiLvlLbl val="0"/>
      </c:catAx>
      <c:valAx>
        <c:axId val="139215616"/>
        <c:scaling>
          <c:orientation val="minMax"/>
        </c:scaling>
        <c:delete val="0"/>
        <c:axPos val="l"/>
        <c:majorGridlines/>
        <c:numFmt formatCode="General" sourceLinked="1"/>
        <c:majorTickMark val="out"/>
        <c:minorTickMark val="none"/>
        <c:tickLblPos val="nextTo"/>
        <c:crossAx val="139144192"/>
        <c:crosses val="autoZero"/>
        <c:crossBetween val="between"/>
      </c:valAx>
    </c:plotArea>
    <c:legend>
      <c:legendPos val="r"/>
      <c:overlay val="0"/>
    </c:legend>
    <c:plotVisOnly val="1"/>
    <c:dispBlanksAs val="gap"/>
    <c:showDLblsOverMax val="0"/>
  </c:chart>
  <c:spPr>
    <a:solidFill>
      <a:schemeClr val="accent6">
        <a:lumMod val="60000"/>
        <a:lumOff val="40000"/>
      </a:schemeClr>
    </a:solid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Labony</dc:creator>
  <cp:lastModifiedBy>Labony</cp:lastModifiedBy>
  <cp:revision>1</cp:revision>
  <dcterms:created xsi:type="dcterms:W3CDTF">2024-10-04T15:39:00Z</dcterms:created>
  <dcterms:modified xsi:type="dcterms:W3CDTF">2024-10-04T15:51:00Z</dcterms:modified>
</cp:coreProperties>
</file>