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p w:rsidR="00A47C1A" w:rsidRPr="00C43AC3" w:rsidRDefault="00C54E85" w:rsidP="00AB4995">
      <w:pPr>
        <w:pStyle w:val="Title"/>
        <w:spacing w:after="120" w:line="240" w:lineRule="atLeast"/>
        <w:ind w:firstLine="0"/>
        <w:contextualSpacing/>
      </w:pPr>
      <w:r w:rsidRPr="00C43AC3">
        <w:rPr>
          <w:sz w:val="28"/>
          <w:szCs w:val="28"/>
        </w:rPr>
        <w:t xml:space="preserve">Numerical </w:t>
      </w:r>
      <w:r w:rsidR="00C039D3" w:rsidRPr="00C43AC3">
        <w:rPr>
          <w:sz w:val="28"/>
          <w:szCs w:val="28"/>
        </w:rPr>
        <w:t xml:space="preserve">study </w:t>
      </w:r>
      <w:r w:rsidRPr="00C43AC3">
        <w:rPr>
          <w:sz w:val="28"/>
          <w:szCs w:val="28"/>
        </w:rPr>
        <w:t xml:space="preserve">of </w:t>
      </w:r>
      <w:r w:rsidR="00216E65">
        <w:rPr>
          <w:sz w:val="28"/>
          <w:szCs w:val="28"/>
        </w:rPr>
        <w:t xml:space="preserve">two </w:t>
      </w:r>
      <w:r w:rsidRPr="00C43AC3">
        <w:rPr>
          <w:sz w:val="28"/>
          <w:szCs w:val="28"/>
        </w:rPr>
        <w:t xml:space="preserve">phase fluid flow in a </w:t>
      </w:r>
      <w:r w:rsidR="00C039D3" w:rsidRPr="00C43AC3">
        <w:rPr>
          <w:sz w:val="28"/>
          <w:szCs w:val="28"/>
        </w:rPr>
        <w:t xml:space="preserve">T-junction </w:t>
      </w:r>
      <w:r w:rsidR="008866AA" w:rsidRPr="00C43AC3">
        <w:rPr>
          <w:sz w:val="28"/>
          <w:szCs w:val="28"/>
        </w:rPr>
        <w:t>m</w:t>
      </w:r>
      <w:r w:rsidR="00B14A83" w:rsidRPr="00C43AC3">
        <w:rPr>
          <w:sz w:val="28"/>
          <w:szCs w:val="28"/>
        </w:rPr>
        <w:t>icro</w:t>
      </w:r>
      <w:r w:rsidR="00C039D3" w:rsidRPr="00C43AC3">
        <w:rPr>
          <w:sz w:val="28"/>
          <w:szCs w:val="28"/>
        </w:rPr>
        <w:t>channel</w:t>
      </w:r>
    </w:p>
    <w:bookmarkEnd w:id="0"/>
    <w:p w:rsidR="00A47C1A" w:rsidRPr="00AB4995" w:rsidRDefault="00A47C1A" w:rsidP="00E627A7">
      <w:pPr>
        <w:ind w:firstLine="0"/>
        <w:contextualSpacing/>
        <w:jc w:val="center"/>
        <w:rPr>
          <w:szCs w:val="24"/>
        </w:rPr>
      </w:pPr>
    </w:p>
    <w:p w:rsidR="00755C41" w:rsidRPr="00423B13" w:rsidRDefault="00755C41" w:rsidP="00390BBA">
      <w:pPr>
        <w:ind w:left="567" w:firstLine="0"/>
        <w:jc w:val="center"/>
        <w:rPr>
          <w:b/>
          <w:bCs/>
        </w:rPr>
      </w:pPr>
      <w:bookmarkStart w:id="1" w:name="Author_1"/>
      <w:r w:rsidRPr="00423B13">
        <w:rPr>
          <w:b/>
          <w:bCs/>
        </w:rPr>
        <w:t xml:space="preserve">Wasim </w:t>
      </w:r>
      <w:proofErr w:type="spellStart"/>
      <w:r w:rsidRPr="00423B13">
        <w:rPr>
          <w:b/>
          <w:bCs/>
        </w:rPr>
        <w:t>Khan</w:t>
      </w:r>
      <w:r w:rsidRPr="00423B13">
        <w:rPr>
          <w:b/>
          <w:bCs/>
          <w:vertAlign w:val="superscript"/>
        </w:rPr>
        <w:t>a</w:t>
      </w:r>
      <w:proofErr w:type="spellEnd"/>
      <w:r w:rsidR="00423B13">
        <w:rPr>
          <w:b/>
          <w:bCs/>
        </w:rPr>
        <w:t xml:space="preserve">, </w:t>
      </w:r>
      <w:proofErr w:type="spellStart"/>
      <w:r w:rsidR="00216E65">
        <w:rPr>
          <w:b/>
          <w:bCs/>
        </w:rPr>
        <w:t>Bushra</w:t>
      </w:r>
      <w:proofErr w:type="spellEnd"/>
      <w:r w:rsidR="00216E65">
        <w:rPr>
          <w:b/>
          <w:bCs/>
        </w:rPr>
        <w:t xml:space="preserve"> </w:t>
      </w:r>
      <w:proofErr w:type="spellStart"/>
      <w:r w:rsidR="00216E65">
        <w:rPr>
          <w:b/>
          <w:bCs/>
        </w:rPr>
        <w:t>Khatoon</w:t>
      </w:r>
      <w:r w:rsidR="00216E65" w:rsidRPr="00216E65">
        <w:rPr>
          <w:b/>
          <w:bCs/>
          <w:vertAlign w:val="superscript"/>
        </w:rPr>
        <w:t>b</w:t>
      </w:r>
      <w:proofErr w:type="spellEnd"/>
      <w:r w:rsidR="00216E65">
        <w:rPr>
          <w:b/>
          <w:bCs/>
        </w:rPr>
        <w:t>, A.</w:t>
      </w:r>
      <w:r w:rsidR="00423B13">
        <w:rPr>
          <w:b/>
          <w:bCs/>
        </w:rPr>
        <w:t xml:space="preserve"> K. </w:t>
      </w:r>
      <w:proofErr w:type="spellStart"/>
      <w:r w:rsidRPr="00423B13">
        <w:rPr>
          <w:b/>
          <w:bCs/>
        </w:rPr>
        <w:t>Chandra</w:t>
      </w:r>
      <w:r w:rsidR="00216E65">
        <w:rPr>
          <w:b/>
          <w:bCs/>
          <w:vertAlign w:val="superscript"/>
        </w:rPr>
        <w:t>c</w:t>
      </w:r>
      <w:proofErr w:type="spellEnd"/>
      <w:r w:rsidR="00216E65">
        <w:rPr>
          <w:b/>
          <w:bCs/>
        </w:rPr>
        <w:t>, K.</w:t>
      </w:r>
      <w:r w:rsidRPr="00423B13">
        <w:rPr>
          <w:b/>
          <w:bCs/>
        </w:rPr>
        <w:t xml:space="preserve"> </w:t>
      </w:r>
      <w:proofErr w:type="spellStart"/>
      <w:r w:rsidRPr="00423B13">
        <w:rPr>
          <w:b/>
          <w:bCs/>
        </w:rPr>
        <w:t>Kishor</w:t>
      </w:r>
      <w:r w:rsidR="00216E65">
        <w:rPr>
          <w:b/>
          <w:bCs/>
          <w:vertAlign w:val="superscript"/>
        </w:rPr>
        <w:t>d</w:t>
      </w:r>
      <w:proofErr w:type="spellEnd"/>
      <w:r w:rsidR="00852854">
        <w:rPr>
          <w:b/>
          <w:bCs/>
        </w:rPr>
        <w:t>, S.</w:t>
      </w:r>
      <w:r w:rsidRPr="00423B13">
        <w:rPr>
          <w:b/>
          <w:bCs/>
        </w:rPr>
        <w:t xml:space="preserve"> </w:t>
      </w:r>
      <w:proofErr w:type="spellStart"/>
      <w:r w:rsidRPr="00423B13">
        <w:rPr>
          <w:b/>
          <w:bCs/>
        </w:rPr>
        <w:t>Sachan</w:t>
      </w:r>
      <w:r w:rsidR="00216E65">
        <w:rPr>
          <w:b/>
          <w:bCs/>
          <w:vertAlign w:val="superscript"/>
        </w:rPr>
        <w:t>e</w:t>
      </w:r>
      <w:proofErr w:type="spellEnd"/>
      <w:r w:rsidRPr="00423B13">
        <w:rPr>
          <w:b/>
          <w:bCs/>
        </w:rPr>
        <w:t>, M. S</w:t>
      </w:r>
      <w:r w:rsidR="00852854">
        <w:rPr>
          <w:b/>
          <w:bCs/>
        </w:rPr>
        <w:t>.</w:t>
      </w:r>
      <w:r w:rsidRPr="00423B13">
        <w:rPr>
          <w:b/>
          <w:bCs/>
        </w:rPr>
        <w:t xml:space="preserve"> </w:t>
      </w:r>
      <w:proofErr w:type="spellStart"/>
      <w:r w:rsidRPr="00423B13">
        <w:rPr>
          <w:b/>
          <w:bCs/>
        </w:rPr>
        <w:t>Alam</w:t>
      </w:r>
      <w:r w:rsidR="00216E65">
        <w:rPr>
          <w:b/>
          <w:bCs/>
          <w:vertAlign w:val="superscript"/>
        </w:rPr>
        <w:t>f</w:t>
      </w:r>
      <w:proofErr w:type="spellEnd"/>
      <w:r w:rsidRPr="00423B13">
        <w:rPr>
          <w:b/>
          <w:bCs/>
        </w:rPr>
        <w:t>*</w:t>
      </w:r>
    </w:p>
    <w:p w:rsidR="00755C41" w:rsidRPr="00755C41" w:rsidRDefault="00755C41" w:rsidP="00755C41">
      <w:pPr>
        <w:jc w:val="center"/>
        <w:rPr>
          <w:rFonts w:eastAsia="DFKai-SB"/>
          <w:i/>
          <w:sz w:val="20"/>
        </w:rPr>
      </w:pPr>
      <w:r w:rsidRPr="00755C41">
        <w:t xml:space="preserve"> </w:t>
      </w:r>
      <w:bookmarkEnd w:id="1"/>
      <w:proofErr w:type="gramStart"/>
      <w:r w:rsidR="00216E65">
        <w:rPr>
          <w:rFonts w:ascii="Calibri" w:hAnsi="Calibri"/>
          <w:i/>
          <w:iCs/>
          <w:sz w:val="20"/>
          <w:vertAlign w:val="superscript"/>
          <w:lang w:val="en-US"/>
        </w:rPr>
        <w:t>a</w:t>
      </w:r>
      <w:proofErr w:type="gramEnd"/>
      <w:r>
        <w:rPr>
          <w:rFonts w:ascii="Calibri" w:hAnsi="Calibri"/>
          <w:i/>
          <w:iCs/>
          <w:sz w:val="20"/>
          <w:vertAlign w:val="superscript"/>
          <w:lang w:val="en-US"/>
        </w:rPr>
        <w:t>,</w:t>
      </w:r>
      <w:r w:rsidR="00216E65">
        <w:rPr>
          <w:rFonts w:ascii="Calibri" w:hAnsi="Calibri"/>
          <w:i/>
          <w:iCs/>
          <w:sz w:val="20"/>
          <w:vertAlign w:val="superscript"/>
          <w:lang w:val="en-US"/>
        </w:rPr>
        <w:t xml:space="preserve"> b </w:t>
      </w:r>
      <w:r w:rsidRPr="00755C41">
        <w:rPr>
          <w:rFonts w:ascii="Calibri" w:hAnsi="Calibri"/>
          <w:i/>
          <w:iCs/>
          <w:sz w:val="20"/>
          <w:vertAlign w:val="superscript"/>
          <w:lang w:val="en-US"/>
        </w:rPr>
        <w:t>,</w:t>
      </w:r>
      <w:r>
        <w:rPr>
          <w:rFonts w:ascii="Calibri" w:hAnsi="Calibri"/>
          <w:i/>
          <w:iCs/>
          <w:sz w:val="20"/>
          <w:vertAlign w:val="superscript"/>
          <w:lang w:val="en-US"/>
        </w:rPr>
        <w:t>e</w:t>
      </w:r>
      <w:r w:rsidR="00216E65">
        <w:rPr>
          <w:rFonts w:ascii="Calibri" w:hAnsi="Calibri"/>
          <w:i/>
          <w:iCs/>
          <w:sz w:val="20"/>
          <w:vertAlign w:val="superscript"/>
          <w:lang w:val="en-US"/>
        </w:rPr>
        <w:t>, f</w:t>
      </w:r>
      <w:r w:rsidRPr="00755C41">
        <w:rPr>
          <w:szCs w:val="24"/>
          <w:lang w:val="en-IN" w:eastAsia="en-IN"/>
        </w:rPr>
        <w:t xml:space="preserve"> </w:t>
      </w:r>
      <w:r w:rsidRPr="00755C41">
        <w:rPr>
          <w:rFonts w:eastAsia="DFKai-SB"/>
          <w:i/>
          <w:sz w:val="20"/>
        </w:rPr>
        <w:t>Department of Chemical Engineering MNNIT Allahabad</w:t>
      </w:r>
      <w:r>
        <w:rPr>
          <w:rFonts w:eastAsia="DFKai-SB"/>
          <w:i/>
          <w:sz w:val="20"/>
        </w:rPr>
        <w:t>, 211004, UP, India</w:t>
      </w:r>
    </w:p>
    <w:p w:rsidR="00755C41" w:rsidRPr="00755C41" w:rsidRDefault="00216E65" w:rsidP="00755C41">
      <w:pPr>
        <w:ind w:firstLine="0"/>
        <w:jc w:val="center"/>
        <w:rPr>
          <w:rFonts w:eastAsia="DFKai-SB"/>
          <w:i/>
          <w:sz w:val="20"/>
        </w:rPr>
      </w:pPr>
      <w:proofErr w:type="gramStart"/>
      <w:r>
        <w:rPr>
          <w:rFonts w:eastAsia="DFKai-SB"/>
          <w:i/>
          <w:sz w:val="20"/>
          <w:vertAlign w:val="superscript"/>
        </w:rPr>
        <w:t>c</w:t>
      </w:r>
      <w:proofErr w:type="gramEnd"/>
      <w:r w:rsidR="00755C41" w:rsidRPr="00755C41">
        <w:rPr>
          <w:rFonts w:eastAsia="DFKai-SB"/>
          <w:i/>
          <w:sz w:val="20"/>
        </w:rPr>
        <w:t xml:space="preserve"> Department of Chemical Engineering</w:t>
      </w:r>
      <w:r w:rsidR="00B14A83">
        <w:rPr>
          <w:rFonts w:eastAsia="DFKai-SB"/>
          <w:i/>
          <w:sz w:val="20"/>
        </w:rPr>
        <w:t xml:space="preserve"> UIET, CSJM University Kanpur, India</w:t>
      </w:r>
    </w:p>
    <w:p w:rsidR="00755C41" w:rsidRPr="00755C41" w:rsidRDefault="00216E65" w:rsidP="00755C41">
      <w:pPr>
        <w:ind w:firstLine="0"/>
        <w:jc w:val="center"/>
        <w:rPr>
          <w:rFonts w:eastAsia="DFKai-SB"/>
          <w:i/>
          <w:sz w:val="20"/>
        </w:rPr>
      </w:pPr>
      <w:proofErr w:type="gramStart"/>
      <w:r>
        <w:rPr>
          <w:rFonts w:eastAsia="DFKai-SB"/>
          <w:i/>
          <w:sz w:val="20"/>
          <w:vertAlign w:val="superscript"/>
        </w:rPr>
        <w:t>d</w:t>
      </w:r>
      <w:proofErr w:type="gramEnd"/>
      <w:r w:rsidR="00755C41" w:rsidRPr="00755C41">
        <w:rPr>
          <w:rFonts w:eastAsia="DFKai-SB"/>
          <w:i/>
          <w:sz w:val="20"/>
          <w:vertAlign w:val="superscript"/>
        </w:rPr>
        <w:t xml:space="preserve"> </w:t>
      </w:r>
      <w:proofErr w:type="spellStart"/>
      <w:r w:rsidR="00755C41" w:rsidRPr="00755C41">
        <w:rPr>
          <w:rFonts w:eastAsia="DFKai-SB"/>
          <w:i/>
          <w:sz w:val="20"/>
        </w:rPr>
        <w:t>Aranca</w:t>
      </w:r>
      <w:proofErr w:type="spellEnd"/>
      <w:r w:rsidR="00755C41" w:rsidRPr="00755C41">
        <w:rPr>
          <w:rFonts w:eastAsia="DFKai-SB"/>
          <w:i/>
          <w:sz w:val="20"/>
        </w:rPr>
        <w:t xml:space="preserve"> Research Gurgaon, Haryana</w:t>
      </w:r>
      <w:r w:rsidR="00755C41">
        <w:rPr>
          <w:rFonts w:eastAsia="DFKai-SB"/>
          <w:i/>
          <w:sz w:val="20"/>
        </w:rPr>
        <w:t>,</w:t>
      </w:r>
      <w:r w:rsidR="00B14A83">
        <w:rPr>
          <w:rFonts w:eastAsia="DFKai-SB"/>
          <w:i/>
          <w:sz w:val="20"/>
        </w:rPr>
        <w:t xml:space="preserve"> India </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9" w:history="1">
        <w:r w:rsidR="00755C41" w:rsidRPr="00426A63">
          <w:rPr>
            <w:rStyle w:val="Hyperlink"/>
            <w:rFonts w:eastAsia="PMingLiU"/>
            <w:sz w:val="20"/>
          </w:rPr>
          <w:t>msalam@mnnit.ac.in</w:t>
        </w:r>
      </w:hyperlink>
      <w:r w:rsidR="00755C41">
        <w:rPr>
          <w:rFonts w:eastAsia="PMingLiU"/>
          <w:sz w:val="20"/>
        </w:rPr>
        <w:t xml:space="preserve"> </w:t>
      </w:r>
    </w:p>
    <w:p w:rsidR="00295E6C" w:rsidRPr="00295E6C" w:rsidRDefault="00295E6C" w:rsidP="00186CD1">
      <w:pPr>
        <w:ind w:left="567" w:firstLine="0"/>
        <w:jc w:val="center"/>
        <w:rPr>
          <w:rFonts w:eastAsia="PMingLiU"/>
          <w:sz w:val="20"/>
        </w:rPr>
      </w:pPr>
    </w:p>
    <w:p w:rsidR="00AB4995" w:rsidRDefault="00AB4995" w:rsidP="00390BBA">
      <w:pPr>
        <w:ind w:left="567" w:firstLine="0"/>
        <w:jc w:val="center"/>
        <w:rPr>
          <w:rFonts w:eastAsia="DFKai-SB"/>
        </w:rPr>
      </w:pPr>
      <w:r w:rsidRPr="00390BBA">
        <w:rPr>
          <w:rFonts w:eastAsia="DFKai-SB"/>
        </w:rPr>
        <w:t>Received: Date?   Accepted: Date?</w:t>
      </w:r>
    </w:p>
    <w:p w:rsidR="002D27DC" w:rsidRPr="00390BBA" w:rsidRDefault="002D27DC" w:rsidP="00390BBA">
      <w:pPr>
        <w:ind w:left="567" w:firstLine="0"/>
        <w:jc w:val="center"/>
        <w:rPr>
          <w:rFonts w:eastAsia="DFKai-SB"/>
        </w:rPr>
      </w:pPr>
    </w:p>
    <w:p w:rsidR="00423B13" w:rsidRDefault="00423B13" w:rsidP="002E457C">
      <w:pPr>
        <w:ind w:left="567" w:firstLine="0"/>
        <w:contextualSpacing/>
        <w:rPr>
          <w:b/>
          <w:bCs/>
          <w:szCs w:val="24"/>
        </w:rPr>
      </w:pPr>
      <w:r w:rsidRPr="00423B13">
        <w:rPr>
          <w:b/>
          <w:bCs/>
          <w:szCs w:val="24"/>
        </w:rPr>
        <w:t>Abstract</w:t>
      </w:r>
    </w:p>
    <w:p w:rsidR="002D27DC" w:rsidRPr="00423B13" w:rsidRDefault="002D27DC" w:rsidP="002E457C">
      <w:pPr>
        <w:ind w:left="567" w:firstLine="0"/>
        <w:contextualSpacing/>
        <w:rPr>
          <w:b/>
          <w:bCs/>
          <w:szCs w:val="24"/>
        </w:rPr>
      </w:pPr>
    </w:p>
    <w:p w:rsidR="00034368" w:rsidRPr="00034368" w:rsidRDefault="00C43AC3" w:rsidP="00034368">
      <w:pPr>
        <w:ind w:right="391"/>
        <w:rPr>
          <w:sz w:val="22"/>
          <w:szCs w:val="22"/>
        </w:rPr>
      </w:pPr>
      <w:r w:rsidRPr="00034368">
        <w:rPr>
          <w:sz w:val="22"/>
          <w:szCs w:val="22"/>
          <w:lang w:val="en-US"/>
        </w:rPr>
        <w:t>Numerical Investigation of two phase</w:t>
      </w:r>
      <w:r w:rsidR="00252FB6">
        <w:rPr>
          <w:sz w:val="22"/>
          <w:szCs w:val="22"/>
          <w:lang w:val="en-US"/>
        </w:rPr>
        <w:t xml:space="preserve"> (gas-liquid &amp; liquid-liquid)</w:t>
      </w:r>
      <w:r w:rsidRPr="00034368">
        <w:rPr>
          <w:sz w:val="22"/>
          <w:szCs w:val="22"/>
          <w:lang w:val="en-US"/>
        </w:rPr>
        <w:t xml:space="preserve"> fluid flow</w:t>
      </w:r>
      <w:r w:rsidR="00852854">
        <w:rPr>
          <w:sz w:val="22"/>
          <w:szCs w:val="22"/>
          <w:lang w:val="en-US"/>
        </w:rPr>
        <w:t xml:space="preserve"> in a T-</w:t>
      </w:r>
      <w:r w:rsidR="009C62D0" w:rsidRPr="00034368">
        <w:rPr>
          <w:sz w:val="22"/>
          <w:szCs w:val="22"/>
          <w:lang w:val="en-US"/>
        </w:rPr>
        <w:t xml:space="preserve">junction rectangular microchannel was carried </w:t>
      </w:r>
      <w:r w:rsidR="00852854" w:rsidRPr="00034368">
        <w:rPr>
          <w:sz w:val="22"/>
          <w:szCs w:val="22"/>
          <w:lang w:val="en-US"/>
        </w:rPr>
        <w:t>out</w:t>
      </w:r>
      <w:r w:rsidR="00DE4B2C">
        <w:rPr>
          <w:sz w:val="22"/>
          <w:szCs w:val="22"/>
          <w:lang w:val="en-US"/>
        </w:rPr>
        <w:t xml:space="preserve">. </w:t>
      </w:r>
      <w:r w:rsidR="00852854">
        <w:rPr>
          <w:sz w:val="22"/>
          <w:szCs w:val="22"/>
          <w:lang w:val="en-US"/>
        </w:rPr>
        <w:t>The</w:t>
      </w:r>
      <w:r w:rsidR="0027232E">
        <w:rPr>
          <w:sz w:val="22"/>
          <w:szCs w:val="22"/>
          <w:lang w:val="en-US"/>
        </w:rPr>
        <w:t xml:space="preserve"> model was developed in</w:t>
      </w:r>
      <w:r w:rsidR="009C62D0" w:rsidRPr="00034368">
        <w:rPr>
          <w:sz w:val="22"/>
          <w:szCs w:val="22"/>
          <w:lang w:val="en-US"/>
        </w:rPr>
        <w:t xml:space="preserve"> both </w:t>
      </w:r>
      <w:r w:rsidR="0027232E">
        <w:rPr>
          <w:sz w:val="22"/>
          <w:szCs w:val="22"/>
          <w:lang w:val="en-US"/>
        </w:rPr>
        <w:t xml:space="preserve">2D and 3D cases </w:t>
      </w:r>
      <w:r w:rsidR="0014647F" w:rsidRPr="00034368">
        <w:rPr>
          <w:sz w:val="22"/>
          <w:szCs w:val="22"/>
          <w:lang w:val="en-US"/>
        </w:rPr>
        <w:t xml:space="preserve">in ANSYS </w:t>
      </w:r>
      <w:r w:rsidR="00B7094F">
        <w:rPr>
          <w:sz w:val="22"/>
          <w:szCs w:val="22"/>
          <w:lang w:val="en-US"/>
        </w:rPr>
        <w:t xml:space="preserve">Fluent </w:t>
      </w:r>
      <w:r w:rsidR="00B7094F" w:rsidRPr="00B7094F">
        <w:rPr>
          <w:sz w:val="22"/>
          <w:szCs w:val="22"/>
          <w:lang w:val="en-US"/>
        </w:rPr>
        <w:t xml:space="preserve">18.2 </w:t>
      </w:r>
      <w:r w:rsidR="0014647F" w:rsidRPr="00034368">
        <w:rPr>
          <w:sz w:val="22"/>
          <w:szCs w:val="22"/>
          <w:lang w:val="en-US"/>
        </w:rPr>
        <w:t xml:space="preserve">Academic research software using volume of fluid method (VOF). In this work, the effect of </w:t>
      </w:r>
      <w:r w:rsidR="007027A2" w:rsidRPr="00034368">
        <w:rPr>
          <w:sz w:val="22"/>
          <w:szCs w:val="22"/>
          <w:lang w:val="en-US"/>
        </w:rPr>
        <w:t xml:space="preserve">various </w:t>
      </w:r>
      <w:r w:rsidR="007027A2">
        <w:rPr>
          <w:sz w:val="22"/>
          <w:szCs w:val="22"/>
          <w:lang w:val="en-US"/>
        </w:rPr>
        <w:t>parameters</w:t>
      </w:r>
      <w:r w:rsidR="000E7A2F" w:rsidRPr="00034368">
        <w:rPr>
          <w:sz w:val="22"/>
          <w:szCs w:val="22"/>
          <w:lang w:val="en-US"/>
        </w:rPr>
        <w:t xml:space="preserve"> such as: fluid properties, channel properties, slug size, </w:t>
      </w:r>
      <w:r w:rsidR="00E1688B" w:rsidRPr="00034368">
        <w:rPr>
          <w:sz w:val="22"/>
          <w:szCs w:val="22"/>
          <w:lang w:val="en-US"/>
        </w:rPr>
        <w:t>pressure</w:t>
      </w:r>
      <w:r w:rsidR="00852854">
        <w:rPr>
          <w:sz w:val="22"/>
          <w:szCs w:val="22"/>
          <w:lang w:val="en-US"/>
        </w:rPr>
        <w:t xml:space="preserve"> drop </w:t>
      </w:r>
      <w:r w:rsidR="007027A2">
        <w:rPr>
          <w:sz w:val="22"/>
          <w:szCs w:val="22"/>
          <w:lang w:val="en-US"/>
        </w:rPr>
        <w:t xml:space="preserve">on hydrodynamics </w:t>
      </w:r>
      <w:r w:rsidR="00852854">
        <w:rPr>
          <w:sz w:val="22"/>
          <w:szCs w:val="22"/>
          <w:lang w:val="en-US"/>
        </w:rPr>
        <w:t xml:space="preserve">in the </w:t>
      </w:r>
      <w:r w:rsidR="007027A2">
        <w:rPr>
          <w:sz w:val="22"/>
          <w:szCs w:val="22"/>
          <w:lang w:val="en-US"/>
        </w:rPr>
        <w:t>micro</w:t>
      </w:r>
      <w:r w:rsidR="00852854">
        <w:rPr>
          <w:sz w:val="22"/>
          <w:szCs w:val="22"/>
          <w:lang w:val="en-US"/>
        </w:rPr>
        <w:t xml:space="preserve">channel </w:t>
      </w:r>
      <w:r w:rsidR="0027232E">
        <w:rPr>
          <w:sz w:val="22"/>
          <w:szCs w:val="22"/>
          <w:lang w:val="en-US"/>
        </w:rPr>
        <w:t>were studied and discussed</w:t>
      </w:r>
      <w:r w:rsidR="00034368" w:rsidRPr="00034368">
        <w:rPr>
          <w:sz w:val="22"/>
          <w:szCs w:val="22"/>
          <w:lang w:val="en-US"/>
        </w:rPr>
        <w:t xml:space="preserve">. </w:t>
      </w:r>
      <w:r w:rsidR="007027A2">
        <w:rPr>
          <w:sz w:val="22"/>
          <w:szCs w:val="22"/>
          <w:lang w:val="en-US"/>
        </w:rPr>
        <w:t>It was observed</w:t>
      </w:r>
      <w:r w:rsidR="00A72257">
        <w:rPr>
          <w:sz w:val="22"/>
          <w:szCs w:val="22"/>
          <w:lang w:val="en-US"/>
        </w:rPr>
        <w:t xml:space="preserve"> </w:t>
      </w:r>
      <w:r w:rsidR="007027A2">
        <w:rPr>
          <w:sz w:val="22"/>
          <w:szCs w:val="22"/>
          <w:lang w:val="en-US"/>
        </w:rPr>
        <w:t xml:space="preserve">that the </w:t>
      </w:r>
      <w:r w:rsidR="00852854">
        <w:rPr>
          <w:sz w:val="22"/>
          <w:szCs w:val="22"/>
          <w:lang w:val="en-US"/>
        </w:rPr>
        <w:t>P</w:t>
      </w:r>
      <w:r w:rsidR="00034368" w:rsidRPr="00034368">
        <w:rPr>
          <w:sz w:val="22"/>
          <w:szCs w:val="22"/>
          <w:lang w:val="en-US"/>
        </w:rPr>
        <w:t xml:space="preserve">ressure drop predicted by 3D model </w:t>
      </w:r>
      <w:r w:rsidR="007027A2">
        <w:rPr>
          <w:sz w:val="22"/>
          <w:szCs w:val="22"/>
          <w:lang w:val="en-US"/>
        </w:rPr>
        <w:t xml:space="preserve">is </w:t>
      </w:r>
      <w:r w:rsidR="00034368" w:rsidRPr="00034368">
        <w:rPr>
          <w:sz w:val="22"/>
          <w:szCs w:val="22"/>
          <w:lang w:val="en-US"/>
        </w:rPr>
        <w:t xml:space="preserve">higher than the 2D model that may be because of </w:t>
      </w:r>
      <w:r w:rsidR="00B065BA" w:rsidRPr="00B065BA">
        <w:rPr>
          <w:sz w:val="22"/>
          <w:szCs w:val="22"/>
          <w:lang w:val="en-US"/>
        </w:rPr>
        <w:t xml:space="preserve">curvature </w:t>
      </w:r>
      <w:r w:rsidR="00B065BA">
        <w:rPr>
          <w:sz w:val="22"/>
          <w:szCs w:val="22"/>
          <w:lang w:val="en-US"/>
        </w:rPr>
        <w:t xml:space="preserve">and hence the </w:t>
      </w:r>
      <w:r w:rsidR="00034368" w:rsidRPr="00034368">
        <w:rPr>
          <w:sz w:val="22"/>
          <w:szCs w:val="22"/>
          <w:lang w:val="en-US"/>
        </w:rPr>
        <w:t>internal pressure in 3D model</w:t>
      </w:r>
      <w:r w:rsidR="00B065BA">
        <w:rPr>
          <w:sz w:val="22"/>
          <w:szCs w:val="22"/>
          <w:lang w:val="en-US"/>
        </w:rPr>
        <w:t xml:space="preserve"> is approximately double of 2D model</w:t>
      </w:r>
      <w:r w:rsidR="00034368" w:rsidRPr="00034368">
        <w:rPr>
          <w:sz w:val="22"/>
          <w:szCs w:val="22"/>
          <w:lang w:val="en-US"/>
        </w:rPr>
        <w:t>.</w:t>
      </w:r>
      <w:r w:rsidR="006501CE">
        <w:rPr>
          <w:sz w:val="22"/>
          <w:szCs w:val="22"/>
          <w:lang w:val="en-US"/>
        </w:rPr>
        <w:t xml:space="preserve"> In addition, it was also observed </w:t>
      </w:r>
      <w:r w:rsidR="001C4B5F">
        <w:rPr>
          <w:sz w:val="22"/>
          <w:szCs w:val="22"/>
          <w:lang w:val="en-US"/>
        </w:rPr>
        <w:t>that the</w:t>
      </w:r>
      <w:r w:rsidR="006501CE">
        <w:rPr>
          <w:sz w:val="22"/>
          <w:szCs w:val="22"/>
          <w:lang w:val="en-US"/>
        </w:rPr>
        <w:t xml:space="preserve"> slug volume </w:t>
      </w:r>
      <w:r w:rsidR="001C4B5F">
        <w:rPr>
          <w:sz w:val="22"/>
          <w:szCs w:val="22"/>
          <w:lang w:val="en-US"/>
        </w:rPr>
        <w:t>decreases more rapidly with increasing flow ratio. The</w:t>
      </w:r>
      <w:r w:rsidR="007027A2">
        <w:rPr>
          <w:sz w:val="22"/>
          <w:szCs w:val="22"/>
          <w:lang w:val="en-US"/>
        </w:rPr>
        <w:t xml:space="preserve"> flow </w:t>
      </w:r>
      <w:r w:rsidR="00A72257">
        <w:rPr>
          <w:sz w:val="22"/>
          <w:szCs w:val="22"/>
          <w:lang w:val="en-US"/>
        </w:rPr>
        <w:t>velocities were</w:t>
      </w:r>
      <w:r w:rsidR="007027A2">
        <w:rPr>
          <w:sz w:val="22"/>
          <w:szCs w:val="22"/>
          <w:lang w:val="en-US"/>
        </w:rPr>
        <w:t xml:space="preserve"> varied in the range of 0.025 m/s to 0.50 m/s</w:t>
      </w:r>
      <w:r w:rsidR="00BC7498">
        <w:rPr>
          <w:sz w:val="22"/>
          <w:szCs w:val="22"/>
          <w:lang w:val="en-US"/>
        </w:rPr>
        <w:t xml:space="preserve">. </w:t>
      </w:r>
      <w:r w:rsidR="00B065BA" w:rsidRPr="00B065BA">
        <w:rPr>
          <w:sz w:val="22"/>
          <w:szCs w:val="22"/>
          <w:lang w:val="en-US"/>
        </w:rPr>
        <w:t>Results obtained from simulations are compared with available literature and experimental data</w:t>
      </w:r>
      <w:r w:rsidR="00B065BA">
        <w:rPr>
          <w:sz w:val="22"/>
          <w:szCs w:val="22"/>
          <w:lang w:val="en-US"/>
        </w:rPr>
        <w:t xml:space="preserve"> [1] </w:t>
      </w:r>
      <w:r w:rsidR="00B065BA" w:rsidRPr="00B065BA">
        <w:rPr>
          <w:sz w:val="22"/>
          <w:szCs w:val="22"/>
          <w:lang w:val="en-US"/>
        </w:rPr>
        <w:t xml:space="preserve">and found </w:t>
      </w:r>
      <w:r w:rsidR="00034368" w:rsidRPr="00034368">
        <w:rPr>
          <w:sz w:val="22"/>
          <w:szCs w:val="22"/>
          <w:lang w:val="en-US"/>
        </w:rPr>
        <w:t xml:space="preserve">encouraging trends and in-line with that of </w:t>
      </w:r>
      <w:r w:rsidR="007027A2">
        <w:rPr>
          <w:sz w:val="22"/>
          <w:szCs w:val="22"/>
          <w:lang w:val="en-US"/>
        </w:rPr>
        <w:t xml:space="preserve">experimental </w:t>
      </w:r>
      <w:r w:rsidR="00034368" w:rsidRPr="00034368">
        <w:rPr>
          <w:sz w:val="22"/>
          <w:szCs w:val="22"/>
          <w:lang w:val="en-US"/>
        </w:rPr>
        <w:t xml:space="preserve">results already published. </w:t>
      </w:r>
    </w:p>
    <w:p w:rsidR="00C43AC3" w:rsidRDefault="00C43AC3" w:rsidP="000C411C">
      <w:pPr>
        <w:ind w:right="391"/>
        <w:rPr>
          <w:color w:val="FF0000"/>
          <w:sz w:val="22"/>
          <w:szCs w:val="22"/>
          <w:lang w:val="en-US"/>
        </w:rPr>
      </w:pP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B14A83" w:rsidRPr="00C43AC3">
        <w:rPr>
          <w:sz w:val="22"/>
          <w:szCs w:val="22"/>
        </w:rPr>
        <w:t xml:space="preserve">Hydrodynamics; slug flow; CFD; </w:t>
      </w:r>
      <w:r w:rsidR="00C039D3" w:rsidRPr="00C43AC3">
        <w:rPr>
          <w:sz w:val="22"/>
          <w:szCs w:val="22"/>
        </w:rPr>
        <w:t>microchannel</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2E107B" w:rsidRDefault="002E107B" w:rsidP="002E107B">
      <w:pPr>
        <w:ind w:firstLine="397"/>
        <w:contextualSpacing/>
        <w:mirrorIndents/>
        <w:rPr>
          <w:szCs w:val="24"/>
        </w:rPr>
      </w:pPr>
      <w:r w:rsidRPr="002E107B">
        <w:rPr>
          <w:szCs w:val="24"/>
        </w:rPr>
        <w:t xml:space="preserve">A micro-structured device </w:t>
      </w:r>
      <w:r w:rsidR="007520E5" w:rsidRPr="002E107B">
        <w:rPr>
          <w:szCs w:val="24"/>
        </w:rPr>
        <w:t>deals</w:t>
      </w:r>
      <w:r w:rsidRPr="002E107B">
        <w:rPr>
          <w:szCs w:val="24"/>
        </w:rPr>
        <w:t xml:space="preserve"> </w:t>
      </w:r>
      <w:r w:rsidR="007520E5" w:rsidRPr="002E107B">
        <w:rPr>
          <w:szCs w:val="24"/>
        </w:rPr>
        <w:t>various</w:t>
      </w:r>
      <w:r w:rsidRPr="002E107B">
        <w:rPr>
          <w:szCs w:val="24"/>
        </w:rPr>
        <w:t xml:space="preserve"> advantages in various applications such as: heat exchangers, m</w:t>
      </w:r>
      <w:r w:rsidR="008B4128">
        <w:rPr>
          <w:szCs w:val="24"/>
        </w:rPr>
        <w:t xml:space="preserve">icroreactors, microelectronics, </w:t>
      </w:r>
      <w:r w:rsidRPr="002E107B">
        <w:rPr>
          <w:szCs w:val="24"/>
        </w:rPr>
        <w:t xml:space="preserve">micro-electro-mechanical systems (MEMS) etc. </w:t>
      </w:r>
      <w:r w:rsidR="008B4128">
        <w:rPr>
          <w:szCs w:val="24"/>
        </w:rPr>
        <w:t>H</w:t>
      </w:r>
      <w:r w:rsidRPr="002E107B">
        <w:rPr>
          <w:szCs w:val="24"/>
        </w:rPr>
        <w:t xml:space="preserve">eat and mass transfer </w:t>
      </w:r>
      <w:r w:rsidR="008B4128">
        <w:rPr>
          <w:szCs w:val="24"/>
        </w:rPr>
        <w:t>is enhanced</w:t>
      </w:r>
      <w:r w:rsidRPr="002E107B">
        <w:rPr>
          <w:szCs w:val="24"/>
        </w:rPr>
        <w:t xml:space="preserve"> due to high surface to volum</w:t>
      </w:r>
      <w:r w:rsidR="008B4128">
        <w:rPr>
          <w:szCs w:val="24"/>
        </w:rPr>
        <w:t xml:space="preserve">e ratio in microfluidic devices </w:t>
      </w:r>
      <w:r w:rsidRPr="002E107B">
        <w:rPr>
          <w:szCs w:val="24"/>
        </w:rPr>
        <w:t xml:space="preserve">compared </w:t>
      </w:r>
      <w:r w:rsidR="008B4128">
        <w:rPr>
          <w:szCs w:val="24"/>
        </w:rPr>
        <w:t>to</w:t>
      </w:r>
      <w:r w:rsidRPr="002E107B">
        <w:rPr>
          <w:szCs w:val="24"/>
        </w:rPr>
        <w:t xml:space="preserve"> conventional devices</w:t>
      </w:r>
      <w:r w:rsidR="008B4128">
        <w:rPr>
          <w:szCs w:val="24"/>
        </w:rPr>
        <w:t xml:space="preserve"> [2]</w:t>
      </w:r>
      <w:r w:rsidRPr="002E107B">
        <w:rPr>
          <w:szCs w:val="24"/>
        </w:rPr>
        <w:t>. In these devices, small amount of fluid can be processed with enhanced outcome e.g. in biomedical engineering, various medical tests were performed on a single microfluidics chip. Various flow patterns have been reported in microchannel i.e. slug flow, bubbly flow, churn flow, annular flow etc. The arrangement of the different fluid flow pattern is totally depends on the thermo</w:t>
      </w:r>
      <w:r w:rsidR="006C5C88">
        <w:rPr>
          <w:szCs w:val="24"/>
        </w:rPr>
        <w:t xml:space="preserve">-physical property of fluids </w:t>
      </w:r>
      <w:r w:rsidRPr="002E107B">
        <w:rPr>
          <w:szCs w:val="24"/>
        </w:rPr>
        <w:t>and geometry of the object [2, 3]. The f</w:t>
      </w:r>
      <w:r w:rsidR="008866AA">
        <w:rPr>
          <w:szCs w:val="24"/>
        </w:rPr>
        <w:t xml:space="preserve">low pattern analyses [4, 5, 6] </w:t>
      </w:r>
      <w:r w:rsidRPr="002E107B">
        <w:rPr>
          <w:szCs w:val="24"/>
        </w:rPr>
        <w:t xml:space="preserve">depicting development of fluid flow with above thermo-physical properties and characteristics of geometry, shows that slug flow leads over the other flow pattern in terms of enhancement of heat and mass transfer in microfluidic devices. Mass transfer between two fluids generally depends on two factors: firstly the internal circulation within each slug and secondly the concentration gradients between adjacent slugs [7, 8]. In fact, these devices builds the interfacial zone and rate of self-blending because of development of small size air bubble/droplets [9] which improves rate of heat and mass transfer [10, 11]. Further, during slug formation, microfluidic frameworks offer tremendous scope in the process of computerization and revamping of substance and unified mechanical frameworks. A number of numerical analysis has been accounted, for on immiscible liquid-liquid and gas-liquid two phase flow system by VOF model, which is one of the most famous and feasible technique to track the interfacial properties by calculating volume fraction. Various researchers [1, 12, 13, 14, </w:t>
      </w:r>
      <w:proofErr w:type="gramStart"/>
      <w:r w:rsidRPr="002E107B">
        <w:rPr>
          <w:szCs w:val="24"/>
        </w:rPr>
        <w:t>15</w:t>
      </w:r>
      <w:proofErr w:type="gramEnd"/>
      <w:r w:rsidRPr="002E107B">
        <w:rPr>
          <w:szCs w:val="24"/>
        </w:rPr>
        <w:t xml:space="preserve">] had considered this technique for analysis of hydrodynamics of gas-liquid two phase flow, dependency of slug flow on different </w:t>
      </w:r>
      <w:r w:rsidRPr="002E107B">
        <w:rPr>
          <w:szCs w:val="24"/>
        </w:rPr>
        <w:lastRenderedPageBreak/>
        <w:t xml:space="preserve">parameters. </w:t>
      </w:r>
      <w:proofErr w:type="spellStart"/>
      <w:r w:rsidRPr="002E107B">
        <w:rPr>
          <w:szCs w:val="24"/>
        </w:rPr>
        <w:t>Taha</w:t>
      </w:r>
      <w:proofErr w:type="spellEnd"/>
      <w:r w:rsidRPr="002E107B">
        <w:rPr>
          <w:szCs w:val="24"/>
        </w:rPr>
        <w:t xml:space="preserve"> and Cui [16] did detail study on hydrodynamic of slug flow in both 2D and 3D dimension with moving frame and also studied distribution of shear stress, various shapes of bubble and there speed inside the channel with the help of volume of fluid method. </w:t>
      </w:r>
      <w:proofErr w:type="spellStart"/>
      <w:r w:rsidRPr="002E107B">
        <w:rPr>
          <w:szCs w:val="24"/>
        </w:rPr>
        <w:t>Desssimoz</w:t>
      </w:r>
      <w:proofErr w:type="spellEnd"/>
      <w:r w:rsidRPr="002E107B">
        <w:rPr>
          <w:szCs w:val="24"/>
        </w:rPr>
        <w:t xml:space="preserve"> et </w:t>
      </w:r>
      <w:r w:rsidR="000B09DD">
        <w:rPr>
          <w:szCs w:val="24"/>
        </w:rPr>
        <w:t>a</w:t>
      </w:r>
      <w:r w:rsidRPr="002E107B">
        <w:rPr>
          <w:szCs w:val="24"/>
        </w:rPr>
        <w:t>l</w:t>
      </w:r>
      <w:r w:rsidR="000B09DD">
        <w:rPr>
          <w:szCs w:val="24"/>
        </w:rPr>
        <w:t>.</w:t>
      </w:r>
      <w:r w:rsidRPr="002E107B">
        <w:rPr>
          <w:szCs w:val="24"/>
        </w:rPr>
        <w:t xml:space="preserve"> [17] </w:t>
      </w:r>
      <w:r w:rsidR="000B09DD">
        <w:rPr>
          <w:szCs w:val="24"/>
        </w:rPr>
        <w:t>performed</w:t>
      </w:r>
      <w:r w:rsidRPr="002E107B">
        <w:rPr>
          <w:szCs w:val="24"/>
        </w:rPr>
        <w:t xml:space="preserve"> simulation on 2D geometry with T </w:t>
      </w:r>
      <w:r w:rsidR="000B09DD">
        <w:rPr>
          <w:szCs w:val="24"/>
        </w:rPr>
        <w:t>&amp;</w:t>
      </w:r>
      <w:r w:rsidRPr="002E107B">
        <w:rPr>
          <w:szCs w:val="24"/>
        </w:rPr>
        <w:t xml:space="preserve"> Y structured and they found that </w:t>
      </w:r>
      <w:r w:rsidR="000B09DD">
        <w:rPr>
          <w:szCs w:val="24"/>
        </w:rPr>
        <w:t xml:space="preserve">frictional </w:t>
      </w:r>
      <w:r w:rsidRPr="002E107B">
        <w:rPr>
          <w:szCs w:val="24"/>
        </w:rPr>
        <w:t xml:space="preserve">pressure drop is comparatively high in T-junction than the Y-junction. Thin film and wettability are the main characteristics of slug formation were studied using VOF model in T-junction microchannel 2D geometry [2, 12, 18, </w:t>
      </w:r>
      <w:proofErr w:type="gramStart"/>
      <w:r w:rsidRPr="002E107B">
        <w:rPr>
          <w:szCs w:val="24"/>
        </w:rPr>
        <w:t>19</w:t>
      </w:r>
      <w:proofErr w:type="gramEnd"/>
      <w:r w:rsidRPr="002E107B">
        <w:rPr>
          <w:szCs w:val="24"/>
        </w:rPr>
        <w:t>].</w:t>
      </w:r>
    </w:p>
    <w:p w:rsidR="008866AA" w:rsidRPr="002E107B" w:rsidRDefault="008866AA" w:rsidP="002E107B">
      <w:pPr>
        <w:ind w:firstLine="397"/>
        <w:contextualSpacing/>
        <w:mirrorIndents/>
        <w:rPr>
          <w:szCs w:val="24"/>
        </w:rPr>
      </w:pPr>
    </w:p>
    <w:p w:rsidR="00A47C1A" w:rsidRPr="00205179" w:rsidRDefault="002E107B" w:rsidP="002E107B">
      <w:pPr>
        <w:ind w:firstLine="397"/>
        <w:contextualSpacing/>
        <w:mirrorIndents/>
        <w:rPr>
          <w:szCs w:val="24"/>
        </w:rPr>
      </w:pPr>
      <w:r w:rsidRPr="002E107B">
        <w:rPr>
          <w:szCs w:val="24"/>
        </w:rPr>
        <w:t xml:space="preserve">From the above </w:t>
      </w:r>
      <w:r w:rsidR="00983F34" w:rsidRPr="002E107B">
        <w:rPr>
          <w:szCs w:val="24"/>
        </w:rPr>
        <w:t>collected works</w:t>
      </w:r>
      <w:r w:rsidRPr="002E107B">
        <w:rPr>
          <w:szCs w:val="24"/>
        </w:rPr>
        <w:t xml:space="preserve">, it was realised that the majority of the </w:t>
      </w:r>
      <w:r w:rsidR="00983F34">
        <w:rPr>
          <w:szCs w:val="24"/>
        </w:rPr>
        <w:t>researchers</w:t>
      </w:r>
      <w:r w:rsidRPr="002E107B">
        <w:rPr>
          <w:szCs w:val="24"/>
        </w:rPr>
        <w:t xml:space="preserve"> focused on hydrodynamics, heat, and mass transfer in microchannel but still have some issues likewise effects of material of construction of the channel and their geometry, variation in pressure drop in 2D and 3D models, and several other fluids have not been reported. Based on above, a detailed study of hydrodynamics of slug flow with varying fluid properties and operating parameters using VOF technique have been reported in this paper. The channel used in this investigation was a T-junction micro-channel, in which the flow velocity of both the pha</w:t>
      </w:r>
      <w:r w:rsidR="00370FCA">
        <w:rPr>
          <w:szCs w:val="24"/>
        </w:rPr>
        <w:t>ses was kept in the range of 0.</w:t>
      </w:r>
      <w:r w:rsidRPr="002E107B">
        <w:rPr>
          <w:szCs w:val="24"/>
        </w:rPr>
        <w:t>025 to 0.50 m/s.  Furthermore, the simulation results obtained were compared with available results [1] and found similar trend.</w:t>
      </w:r>
      <w:r>
        <w:rPr>
          <w:szCs w:val="24"/>
        </w:rPr>
        <w:t xml:space="preserve">  </w:t>
      </w:r>
    </w:p>
    <w:p w:rsidR="00A47C1A" w:rsidRPr="00205179" w:rsidRDefault="00A47C1A" w:rsidP="00942EA6">
      <w:pPr>
        <w:ind w:firstLine="397"/>
        <w:contextualSpacing/>
        <w:mirrorIndents/>
        <w:rPr>
          <w:szCs w:val="24"/>
        </w:rPr>
      </w:pPr>
    </w:p>
    <w:p w:rsidR="00A47C1A" w:rsidRPr="007C635C" w:rsidRDefault="00B907B4" w:rsidP="007C635C">
      <w:pPr>
        <w:pStyle w:val="ListParagraph"/>
        <w:numPr>
          <w:ilvl w:val="0"/>
          <w:numId w:val="18"/>
        </w:numPr>
        <w:mirrorIndents/>
        <w:rPr>
          <w:rFonts w:ascii="Arial" w:hAnsi="Arial" w:cs="Arial"/>
          <w:b/>
          <w:szCs w:val="24"/>
        </w:rPr>
      </w:pPr>
      <w:r>
        <w:rPr>
          <w:rFonts w:ascii="Arial" w:hAnsi="Arial" w:cs="Arial"/>
          <w:b/>
          <w:szCs w:val="24"/>
        </w:rPr>
        <w:t>Mathematical Model</w:t>
      </w:r>
    </w:p>
    <w:p w:rsidR="007C635C" w:rsidRPr="007C635C" w:rsidRDefault="007C635C" w:rsidP="007C635C">
      <w:pPr>
        <w:ind w:left="360" w:firstLine="0"/>
        <w:mirrorIndents/>
        <w:rPr>
          <w:rFonts w:ascii="Arial" w:hAnsi="Arial" w:cs="Arial"/>
          <w:b/>
          <w:szCs w:val="24"/>
        </w:rPr>
      </w:pPr>
    </w:p>
    <w:p w:rsidR="002E107B" w:rsidRPr="002E107B" w:rsidRDefault="002E107B" w:rsidP="002E107B">
      <w:pPr>
        <w:ind w:firstLine="397"/>
        <w:contextualSpacing/>
        <w:mirrorIndents/>
        <w:rPr>
          <w:szCs w:val="24"/>
        </w:rPr>
      </w:pPr>
      <w:r w:rsidRPr="002E107B">
        <w:rPr>
          <w:szCs w:val="24"/>
        </w:rPr>
        <w:t>In this work, a mathematical model was taken to simulate the hydrodynamics of two phase flow by VOF model in fluent software under slug flow regime. The hydrodynamics of such flows can be pronounced by incompressible Navier-Stokes equations. These equations, continuity, momentum and volume fraction equation for multiphase flow are as follows:</w:t>
      </w:r>
    </w:p>
    <w:p w:rsidR="008866AA" w:rsidRPr="002E107B" w:rsidRDefault="002E107B" w:rsidP="008866AA">
      <w:pPr>
        <w:spacing w:before="120" w:after="120" w:line="360" w:lineRule="auto"/>
        <w:ind w:firstLine="0"/>
        <w:contextualSpacing/>
        <w:mirrorIndents/>
        <w:rPr>
          <w:i/>
          <w:iCs/>
          <w:szCs w:val="24"/>
          <w:lang w:val="en-US"/>
        </w:rPr>
      </w:pPr>
      <w:r w:rsidRPr="002E107B">
        <w:rPr>
          <w:i/>
          <w:iCs/>
          <w:szCs w:val="24"/>
          <w:lang w:val="en-US"/>
        </w:rPr>
        <w:t>Equation of continuity:</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276"/>
      </w:tblGrid>
      <w:tr w:rsidR="002E107B" w:rsidRPr="002E107B" w:rsidTr="002E107B">
        <w:trPr>
          <w:trHeight w:val="530"/>
        </w:trPr>
        <w:tc>
          <w:tcPr>
            <w:tcW w:w="8046" w:type="dxa"/>
            <w:vAlign w:val="center"/>
          </w:tcPr>
          <w:p w:rsidR="002E107B" w:rsidRPr="008866AA" w:rsidRDefault="000E473B" w:rsidP="008866AA">
            <w:pPr>
              <w:spacing w:before="120"/>
              <w:ind w:firstLine="397"/>
              <w:contextualSpacing/>
              <w:mirrorIndents/>
              <w:jc w:val="left"/>
              <w:rPr>
                <w:szCs w:val="24"/>
              </w:rPr>
            </w:pPr>
            <m:oMathPara>
              <m:oMathParaPr>
                <m:jc m:val="left"/>
              </m:oMathParaPr>
              <m:oMath>
                <m:f>
                  <m:fPr>
                    <m:ctrlPr>
                      <w:rPr>
                        <w:rFonts w:ascii="Cambria Math" w:hAnsi="Cambria Math"/>
                        <w:szCs w:val="24"/>
                      </w:rPr>
                    </m:ctrlPr>
                  </m:fPr>
                  <m:num>
                    <m:r>
                      <m:rPr>
                        <m:sty m:val="p"/>
                      </m:rPr>
                      <w:rPr>
                        <w:rFonts w:ascii="Cambria Math" w:hAnsi="Cambria Math"/>
                        <w:szCs w:val="24"/>
                      </w:rPr>
                      <m:t>∂ρ</m:t>
                    </m:r>
                  </m:num>
                  <m:den>
                    <m:r>
                      <m:rPr>
                        <m:sty m:val="p"/>
                      </m:rPr>
                      <w:rPr>
                        <w:rFonts w:ascii="Cambria Math" w:hAnsi="Cambria Math"/>
                        <w:szCs w:val="24"/>
                      </w:rPr>
                      <m:t>∂t</m:t>
                    </m:r>
                  </m:den>
                </m:f>
                <m:r>
                  <m:rPr>
                    <m:sty m:val="p"/>
                  </m:rPr>
                  <w:rPr>
                    <w:rFonts w:ascii="Cambria Math" w:hAnsi="Cambria Math"/>
                    <w:szCs w:val="24"/>
                  </w:rPr>
                  <m:t>+∇.</m:t>
                </m:r>
                <m:d>
                  <m:dPr>
                    <m:ctrlPr>
                      <w:rPr>
                        <w:rFonts w:ascii="Cambria Math" w:hAnsi="Cambria Math"/>
                        <w:szCs w:val="24"/>
                      </w:rPr>
                    </m:ctrlPr>
                  </m:dPr>
                  <m:e>
                    <m:acc>
                      <m:accPr>
                        <m:chr m:val="⃗"/>
                        <m:ctrlPr>
                          <w:rPr>
                            <w:rFonts w:ascii="Cambria Math" w:hAnsi="Cambria Math"/>
                            <w:szCs w:val="24"/>
                          </w:rPr>
                        </m:ctrlPr>
                      </m:accPr>
                      <m:e>
                        <m:r>
                          <m:rPr>
                            <m:sty m:val="p"/>
                          </m:rPr>
                          <w:rPr>
                            <w:rFonts w:ascii="Cambria Math" w:hAnsi="Cambria Math"/>
                            <w:szCs w:val="24"/>
                          </w:rPr>
                          <m:t>v</m:t>
                        </m:r>
                      </m:e>
                    </m:acc>
                  </m:e>
                </m:d>
                <m:r>
                  <m:rPr>
                    <m:sty m:val="p"/>
                  </m:rPr>
                  <w:rPr>
                    <w:rFonts w:ascii="Cambria Math" w:hAnsi="Cambria Math"/>
                    <w:szCs w:val="24"/>
                  </w:rPr>
                  <m:t>=0</m:t>
                </m:r>
              </m:oMath>
            </m:oMathPara>
          </w:p>
        </w:tc>
        <w:tc>
          <w:tcPr>
            <w:tcW w:w="1276" w:type="dxa"/>
            <w:vAlign w:val="center"/>
          </w:tcPr>
          <w:p w:rsidR="002E107B" w:rsidRPr="002E107B" w:rsidRDefault="002E107B" w:rsidP="008866AA">
            <w:pPr>
              <w:spacing w:before="120"/>
              <w:ind w:firstLine="397"/>
              <w:contextualSpacing/>
              <w:mirrorIndents/>
              <w:jc w:val="left"/>
              <w:rPr>
                <w:szCs w:val="24"/>
              </w:rPr>
            </w:pPr>
            <w:r w:rsidRPr="002E107B">
              <w:rPr>
                <w:szCs w:val="24"/>
              </w:rPr>
              <w:t>(1)</w:t>
            </w:r>
          </w:p>
        </w:tc>
      </w:tr>
    </w:tbl>
    <w:p w:rsidR="008866AA" w:rsidRPr="002E107B" w:rsidRDefault="002E107B" w:rsidP="001675D0">
      <w:pPr>
        <w:spacing w:line="360" w:lineRule="auto"/>
        <w:ind w:hanging="142"/>
        <w:contextualSpacing/>
        <w:mirrorIndents/>
        <w:jc w:val="left"/>
        <w:rPr>
          <w:i/>
          <w:iCs/>
          <w:szCs w:val="24"/>
          <w:lang w:val="en-US"/>
        </w:rPr>
      </w:pPr>
      <w:r w:rsidRPr="002E107B">
        <w:rPr>
          <w:i/>
          <w:iCs/>
          <w:szCs w:val="24"/>
          <w:lang w:val="en-US"/>
        </w:rPr>
        <w:t>Equation of 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241"/>
      </w:tblGrid>
      <w:tr w:rsidR="002E107B" w:rsidRPr="002E107B" w:rsidTr="002E107B">
        <w:trPr>
          <w:trHeight w:val="697"/>
        </w:trPr>
        <w:tc>
          <w:tcPr>
            <w:tcW w:w="8046" w:type="dxa"/>
          </w:tcPr>
          <w:p w:rsidR="002E107B" w:rsidRPr="008866AA" w:rsidRDefault="000E473B" w:rsidP="008866AA">
            <w:pPr>
              <w:ind w:firstLine="397"/>
              <w:contextualSpacing/>
              <w:mirrorIndents/>
              <w:jc w:val="left"/>
              <w:rPr>
                <w:szCs w:val="24"/>
              </w:rPr>
            </w:pPr>
            <m:oMathPara>
              <m:oMathParaPr>
                <m:jc m:val="left"/>
              </m:oMathParaPr>
              <m:oMath>
                <m:f>
                  <m:fPr>
                    <m:ctrlPr>
                      <w:rPr>
                        <w:rFonts w:ascii="Cambria Math" w:hAnsi="Cambria Math"/>
                        <w:szCs w:val="24"/>
                      </w:rPr>
                    </m:ctrlPr>
                  </m:fPr>
                  <m:num>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ρ</m:t>
                        </m:r>
                        <m:acc>
                          <m:accPr>
                            <m:chr m:val="⃗"/>
                            <m:ctrlPr>
                              <w:rPr>
                                <w:rFonts w:ascii="Cambria Math" w:hAnsi="Cambria Math"/>
                                <w:szCs w:val="24"/>
                              </w:rPr>
                            </m:ctrlPr>
                          </m:accPr>
                          <m:e>
                            <m:r>
                              <m:rPr>
                                <m:sty m:val="p"/>
                              </m:rPr>
                              <w:rPr>
                                <w:rFonts w:ascii="Cambria Math" w:hAnsi="Cambria Math"/>
                                <w:szCs w:val="24"/>
                              </w:rPr>
                              <m:t>v</m:t>
                            </m:r>
                          </m:e>
                        </m:acc>
                      </m:e>
                    </m:d>
                  </m:num>
                  <m:den>
                    <m:r>
                      <m:rPr>
                        <m:sty m:val="p"/>
                      </m:rPr>
                      <w:rPr>
                        <w:rFonts w:ascii="Cambria Math" w:hAnsi="Cambria Math"/>
                        <w:szCs w:val="24"/>
                      </w:rPr>
                      <m:t>∂t</m:t>
                    </m:r>
                  </m:den>
                </m:f>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ρ</m:t>
                    </m:r>
                    <m:acc>
                      <m:accPr>
                        <m:chr m:val="⃗"/>
                        <m:ctrlPr>
                          <w:rPr>
                            <w:rFonts w:ascii="Cambria Math" w:hAnsi="Cambria Math"/>
                            <w:szCs w:val="24"/>
                          </w:rPr>
                        </m:ctrlPr>
                      </m:accPr>
                      <m:e>
                        <m:r>
                          <m:rPr>
                            <m:sty m:val="p"/>
                          </m:rPr>
                          <w:rPr>
                            <w:rFonts w:ascii="Cambria Math" w:hAnsi="Cambria Math"/>
                            <w:szCs w:val="24"/>
                          </w:rPr>
                          <m:t>v</m:t>
                        </m:r>
                      </m:e>
                    </m:acc>
                    <m:acc>
                      <m:accPr>
                        <m:chr m:val="⃗"/>
                        <m:ctrlPr>
                          <w:rPr>
                            <w:rFonts w:ascii="Cambria Math" w:hAnsi="Cambria Math"/>
                            <w:szCs w:val="24"/>
                          </w:rPr>
                        </m:ctrlPr>
                      </m:accPr>
                      <m:e>
                        <m:r>
                          <m:rPr>
                            <m:sty m:val="p"/>
                          </m:rPr>
                          <w:rPr>
                            <w:rFonts w:ascii="Cambria Math" w:hAnsi="Cambria Math"/>
                            <w:szCs w:val="24"/>
                          </w:rPr>
                          <m:t>v</m:t>
                        </m:r>
                      </m:e>
                    </m:acc>
                  </m:e>
                </m:d>
                <m:r>
                  <m:rPr>
                    <m:sty m:val="p"/>
                  </m:rPr>
                  <w:rPr>
                    <w:rFonts w:ascii="Cambria Math" w:hAnsi="Cambria Math"/>
                    <w:szCs w:val="24"/>
                  </w:rPr>
                  <m:t>=-∇p+∇.</m:t>
                </m:r>
                <m:d>
                  <m:dPr>
                    <m:begChr m:val="["/>
                    <m:endChr m:val="]"/>
                    <m:ctrlPr>
                      <w:rPr>
                        <w:rFonts w:ascii="Cambria Math" w:hAnsi="Cambria Math"/>
                        <w:szCs w:val="24"/>
                      </w:rPr>
                    </m:ctrlPr>
                  </m:dPr>
                  <m:e>
                    <m:r>
                      <m:rPr>
                        <m:sty m:val="p"/>
                      </m:rPr>
                      <w:rPr>
                        <w:rFonts w:ascii="Cambria Math" w:hAnsi="Cambria Math"/>
                        <w:szCs w:val="24"/>
                      </w:rPr>
                      <m:t>μ</m:t>
                    </m:r>
                    <m:d>
                      <m:dPr>
                        <m:ctrlPr>
                          <w:rPr>
                            <w:rFonts w:ascii="Cambria Math" w:hAnsi="Cambria Math"/>
                            <w:szCs w:val="24"/>
                          </w:rPr>
                        </m:ctrlPr>
                      </m:dPr>
                      <m:e>
                        <m:r>
                          <m:rPr>
                            <m:sty m:val="p"/>
                          </m:rPr>
                          <w:rPr>
                            <w:rFonts w:ascii="Cambria Math" w:hAnsi="Cambria Math"/>
                            <w:szCs w:val="24"/>
                          </w:rPr>
                          <m:t>∇</m:t>
                        </m:r>
                        <m:acc>
                          <m:accPr>
                            <m:chr m:val="⃗"/>
                            <m:ctrlPr>
                              <w:rPr>
                                <w:rFonts w:ascii="Cambria Math" w:hAnsi="Cambria Math"/>
                                <w:szCs w:val="24"/>
                              </w:rPr>
                            </m:ctrlPr>
                          </m:accPr>
                          <m:e>
                            <m:r>
                              <m:rPr>
                                <m:sty m:val="p"/>
                              </m:rPr>
                              <w:rPr>
                                <w:rFonts w:ascii="Cambria Math" w:hAnsi="Cambria Math"/>
                                <w:szCs w:val="24"/>
                              </w:rPr>
                              <m:t>v</m:t>
                            </m:r>
                          </m:e>
                        </m:acc>
                        <m:r>
                          <m:rPr>
                            <m:sty m:val="p"/>
                          </m:rPr>
                          <w:rPr>
                            <w:rFonts w:ascii="Cambria Math" w:hAnsi="Cambria Math"/>
                            <w:szCs w:val="24"/>
                          </w:rPr>
                          <m:t>+∇</m:t>
                        </m:r>
                        <m:sSup>
                          <m:sSupPr>
                            <m:ctrlPr>
                              <w:rPr>
                                <w:rFonts w:ascii="Cambria Math" w:hAnsi="Cambria Math"/>
                                <w:szCs w:val="24"/>
                              </w:rPr>
                            </m:ctrlPr>
                          </m:sSupPr>
                          <m:e>
                            <m:acc>
                              <m:accPr>
                                <m:chr m:val="⃗"/>
                                <m:ctrlPr>
                                  <w:rPr>
                                    <w:rFonts w:ascii="Cambria Math" w:hAnsi="Cambria Math"/>
                                    <w:szCs w:val="24"/>
                                  </w:rPr>
                                </m:ctrlPr>
                              </m:accPr>
                              <m:e>
                                <m:r>
                                  <m:rPr>
                                    <m:sty m:val="p"/>
                                  </m:rPr>
                                  <w:rPr>
                                    <w:rFonts w:ascii="Cambria Math" w:hAnsi="Cambria Math"/>
                                    <w:szCs w:val="24"/>
                                  </w:rPr>
                                  <m:t>v</m:t>
                                </m:r>
                              </m:e>
                            </m:acc>
                          </m:e>
                          <m:sup>
                            <m:r>
                              <m:rPr>
                                <m:sty m:val="p"/>
                              </m:rPr>
                              <w:rPr>
                                <w:rFonts w:ascii="Cambria Math" w:hAnsi="Cambria Math"/>
                                <w:szCs w:val="24"/>
                              </w:rPr>
                              <m:t>T</m:t>
                            </m:r>
                          </m:sup>
                        </m:sSup>
                      </m:e>
                    </m:d>
                  </m:e>
                </m:d>
                <m:r>
                  <m:rPr>
                    <m:sty m:val="p"/>
                  </m:rPr>
                  <w:rPr>
                    <w:rFonts w:ascii="Cambria Math" w:hAnsi="Cambria Math"/>
                    <w:szCs w:val="24"/>
                  </w:rPr>
                  <m:t xml:space="preserve">+ </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F</m:t>
                        </m:r>
                      </m:e>
                    </m:acc>
                  </m:e>
                  <m:sub>
                    <m:r>
                      <m:rPr>
                        <m:sty m:val="p"/>
                      </m:rPr>
                      <w:rPr>
                        <w:rFonts w:ascii="Cambria Math" w:hAnsi="Cambria Math"/>
                        <w:szCs w:val="24"/>
                      </w:rPr>
                      <m:t>SF</m:t>
                    </m:r>
                  </m:sub>
                </m:sSub>
              </m:oMath>
            </m:oMathPara>
          </w:p>
        </w:tc>
        <w:tc>
          <w:tcPr>
            <w:tcW w:w="1241" w:type="dxa"/>
            <w:vAlign w:val="center"/>
          </w:tcPr>
          <w:p w:rsidR="002E107B" w:rsidRPr="002E107B" w:rsidRDefault="002E107B" w:rsidP="008866AA">
            <w:pPr>
              <w:ind w:firstLine="397"/>
              <w:contextualSpacing/>
              <w:mirrorIndents/>
              <w:jc w:val="left"/>
              <w:rPr>
                <w:szCs w:val="24"/>
              </w:rPr>
            </w:pPr>
            <w:r w:rsidRPr="002E107B">
              <w:rPr>
                <w:szCs w:val="24"/>
              </w:rPr>
              <w:t>(2)</w:t>
            </w:r>
          </w:p>
        </w:tc>
      </w:tr>
      <w:tr w:rsidR="002E107B" w:rsidRPr="002E107B" w:rsidTr="002E107B">
        <w:trPr>
          <w:trHeight w:val="431"/>
        </w:trPr>
        <w:tc>
          <w:tcPr>
            <w:tcW w:w="8046" w:type="dxa"/>
          </w:tcPr>
          <w:p w:rsidR="002E107B" w:rsidRPr="001675D0" w:rsidRDefault="000E473B" w:rsidP="008866AA">
            <w:pPr>
              <w:ind w:firstLine="397"/>
              <w:contextualSpacing/>
              <w:mirrorIndents/>
              <w:jc w:val="left"/>
              <w:rPr>
                <w:szCs w:val="24"/>
              </w:rPr>
            </w:pPr>
            <m:oMathPara>
              <m:oMathParaPr>
                <m:jc m:val="left"/>
              </m:oMathParaP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F</m:t>
                        </m:r>
                      </m:e>
                    </m:acc>
                  </m:e>
                  <m:sub>
                    <m:r>
                      <m:rPr>
                        <m:sty m:val="p"/>
                      </m:rPr>
                      <w:rPr>
                        <w:rFonts w:ascii="Cambria Math" w:hAnsi="Cambria Math"/>
                        <w:szCs w:val="24"/>
                      </w:rPr>
                      <m:t>SF</m:t>
                    </m:r>
                  </m:sub>
                </m:sSub>
                <m:r>
                  <w:rPr>
                    <w:rFonts w:ascii="Cambria Math" w:hAnsi="Cambria Math"/>
                    <w:szCs w:val="24"/>
                  </w:rPr>
                  <m:t>=ρ</m:t>
                </m:r>
                <m:acc>
                  <m:accPr>
                    <m:chr m:val="⃗"/>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oMath>
            </m:oMathPara>
          </w:p>
        </w:tc>
        <w:tc>
          <w:tcPr>
            <w:tcW w:w="1241" w:type="dxa"/>
            <w:vAlign w:val="center"/>
          </w:tcPr>
          <w:p w:rsidR="002E107B" w:rsidRPr="002E107B" w:rsidRDefault="002E107B" w:rsidP="008866AA">
            <w:pPr>
              <w:ind w:firstLine="397"/>
              <w:contextualSpacing/>
              <w:mirrorIndents/>
              <w:jc w:val="left"/>
              <w:rPr>
                <w:szCs w:val="24"/>
              </w:rPr>
            </w:pPr>
            <w:r w:rsidRPr="002E107B">
              <w:rPr>
                <w:szCs w:val="24"/>
              </w:rPr>
              <w:t>(3)</w:t>
            </w:r>
          </w:p>
        </w:tc>
      </w:tr>
    </w:tbl>
    <w:p w:rsidR="008866AA" w:rsidRPr="002E107B" w:rsidRDefault="002E107B" w:rsidP="001675D0">
      <w:pPr>
        <w:spacing w:line="360" w:lineRule="auto"/>
        <w:ind w:firstLine="0"/>
        <w:contextualSpacing/>
        <w:mirrorIndents/>
        <w:rPr>
          <w:i/>
          <w:iCs/>
          <w:szCs w:val="24"/>
          <w:lang w:val="en-US"/>
        </w:rPr>
      </w:pPr>
      <w:r w:rsidRPr="002E107B">
        <w:rPr>
          <w:i/>
          <w:iCs/>
          <w:szCs w:val="24"/>
          <w:lang w:val="en-US"/>
        </w:rPr>
        <w:t>Volume fraction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241"/>
      </w:tblGrid>
      <w:tr w:rsidR="002E107B" w:rsidRPr="002E107B" w:rsidTr="002E107B">
        <w:tc>
          <w:tcPr>
            <w:tcW w:w="8046" w:type="dxa"/>
          </w:tcPr>
          <w:p w:rsidR="002E107B" w:rsidRPr="008866AA" w:rsidRDefault="000E473B" w:rsidP="008866AA">
            <w:pPr>
              <w:ind w:firstLine="397"/>
              <w:contextualSpacing/>
              <w:mirrorIndents/>
              <w:jc w:val="left"/>
              <w:rPr>
                <w:szCs w:val="24"/>
              </w:rPr>
            </w:pPr>
            <m:oMathPara>
              <m:oMathParaPr>
                <m:jc m:val="left"/>
              </m:oMathParaPr>
              <m:oMath>
                <m:f>
                  <m:fPr>
                    <m:ctrlPr>
                      <w:rPr>
                        <w:rFonts w:ascii="Cambria Math" w:hAnsi="Cambria Math"/>
                        <w:szCs w:val="24"/>
                      </w:rPr>
                    </m:ctrlPr>
                  </m:fPr>
                  <m:num>
                    <m:r>
                      <w:rPr>
                        <w:rFonts w:ascii="Cambria Math" w:hAnsi="Cambria Math"/>
                        <w:szCs w:val="24"/>
                      </w:rPr>
                      <m:t>∂</m:t>
                    </m:r>
                    <m:r>
                      <m:rPr>
                        <m:sty m:val="p"/>
                      </m:rPr>
                      <w:rPr>
                        <w:rFonts w:ascii="Cambria Math" w:hAnsi="Cambria Math"/>
                        <w:szCs w:val="24"/>
                      </w:rPr>
                      <m:t>φ</m:t>
                    </m:r>
                  </m:num>
                  <m:den>
                    <m:r>
                      <w:rPr>
                        <w:rFonts w:ascii="Cambria Math" w:hAnsi="Cambria Math"/>
                        <w:szCs w:val="24"/>
                      </w:rPr>
                      <m:t>∂t</m:t>
                    </m:r>
                  </m:den>
                </m:f>
                <m:r>
                  <m:rPr>
                    <m:sty m:val="p"/>
                  </m:rPr>
                  <w:rPr>
                    <w:rFonts w:ascii="Cambria Math" w:hAnsi="Cambria Math"/>
                    <w:szCs w:val="24"/>
                  </w:rPr>
                  <m:t>+</m:t>
                </m:r>
                <m:acc>
                  <m:accPr>
                    <m:chr m:val="⃗"/>
                    <m:ctrlPr>
                      <w:rPr>
                        <w:rFonts w:ascii="Cambria Math" w:hAnsi="Cambria Math"/>
                        <w:szCs w:val="24"/>
                      </w:rPr>
                    </m:ctrlPr>
                  </m:accPr>
                  <m:e>
                    <m:r>
                      <w:rPr>
                        <w:rFonts w:ascii="Cambria Math" w:hAnsi="Cambria Math"/>
                        <w:szCs w:val="24"/>
                      </w:rPr>
                      <m:t>v</m:t>
                    </m:r>
                  </m:e>
                </m:acc>
                <m:r>
                  <m:rPr>
                    <m:sty m:val="p"/>
                  </m:rPr>
                  <w:rPr>
                    <w:rFonts w:ascii="Cambria Math" w:hAnsi="Cambria Math"/>
                    <w:szCs w:val="24"/>
                  </w:rPr>
                  <m:t>.∇φ=0</m:t>
                </m:r>
              </m:oMath>
            </m:oMathPara>
          </w:p>
        </w:tc>
        <w:tc>
          <w:tcPr>
            <w:tcW w:w="1241" w:type="dxa"/>
            <w:vAlign w:val="center"/>
          </w:tcPr>
          <w:p w:rsidR="002E107B" w:rsidRPr="002E107B" w:rsidRDefault="002E107B" w:rsidP="008866AA">
            <w:pPr>
              <w:ind w:firstLine="397"/>
              <w:contextualSpacing/>
              <w:mirrorIndents/>
              <w:jc w:val="left"/>
              <w:rPr>
                <w:szCs w:val="24"/>
              </w:rPr>
            </w:pPr>
            <w:r w:rsidRPr="002E107B">
              <w:rPr>
                <w:szCs w:val="24"/>
              </w:rPr>
              <w:t>(4)</w:t>
            </w:r>
          </w:p>
        </w:tc>
      </w:tr>
    </w:tbl>
    <w:p w:rsidR="002E107B" w:rsidRPr="002E107B" w:rsidRDefault="002E107B" w:rsidP="002E107B">
      <w:pPr>
        <w:ind w:firstLine="397"/>
        <w:contextualSpacing/>
        <w:mirrorIndents/>
        <w:rPr>
          <w:szCs w:val="24"/>
        </w:rPr>
      </w:pPr>
    </w:p>
    <w:p w:rsidR="002E107B" w:rsidRDefault="002E107B" w:rsidP="002E107B">
      <w:pPr>
        <w:ind w:firstLine="397"/>
        <w:contextualSpacing/>
        <w:mirrorIndents/>
        <w:rPr>
          <w:szCs w:val="24"/>
        </w:rPr>
      </w:pPr>
      <w:proofErr w:type="gramStart"/>
      <w:r w:rsidRPr="002E107B">
        <w:rPr>
          <w:szCs w:val="24"/>
        </w:rPr>
        <w:t>where</w:t>
      </w:r>
      <w:proofErr w:type="gramEnd"/>
      <w:r w:rsidRPr="002E107B">
        <w:rPr>
          <w:szCs w:val="24"/>
        </w:rPr>
        <w:t xml:space="preserve"> ρ denotes the density, μ the dynamic viscosity, v the velocity vector, </w:t>
      </w:r>
      <m:oMath>
        <m:r>
          <m:rPr>
            <m:sty m:val="p"/>
          </m:rPr>
          <w:rPr>
            <w:rFonts w:ascii="Cambria Math" w:hAnsi="Cambria Math"/>
            <w:szCs w:val="24"/>
          </w:rPr>
          <m:t>φ</m:t>
        </m:r>
      </m:oMath>
      <w:r w:rsidRPr="002E107B">
        <w:rPr>
          <w:szCs w:val="24"/>
        </w:rPr>
        <w:t xml:space="preserve">  the volume fraction, p the pressure and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F</m:t>
                </m:r>
              </m:e>
            </m:acc>
          </m:e>
          <m:sub>
            <m:r>
              <m:rPr>
                <m:sty m:val="p"/>
              </m:rPr>
              <w:rPr>
                <w:rFonts w:ascii="Cambria Math" w:hAnsi="Cambria Math"/>
                <w:szCs w:val="24"/>
              </w:rPr>
              <m:t>SF</m:t>
            </m:r>
          </m:sub>
        </m:sSub>
        <m:r>
          <w:rPr>
            <w:rFonts w:ascii="Cambria Math" w:hAnsi="Cambria Math"/>
            <w:szCs w:val="24"/>
          </w:rPr>
          <m:t xml:space="preserve"> </m:t>
        </m:r>
      </m:oMath>
      <w:r w:rsidRPr="002E107B">
        <w:rPr>
          <w:szCs w:val="24"/>
        </w:rPr>
        <w:t>the surface tension force. The continuum surface force (CSF) model [20] was used in equation</w:t>
      </w:r>
      <w:r w:rsidR="00C818DF">
        <w:rPr>
          <w:szCs w:val="24"/>
        </w:rPr>
        <w:t xml:space="preserve"> (2)</w:t>
      </w:r>
      <w:r w:rsidRPr="002E107B">
        <w:rPr>
          <w:szCs w:val="24"/>
        </w:rPr>
        <w:t>, surface forces are sum of two forces; surface tension force and gravitational force but in case of microchannels gravitational force are negligible therefore only the surface tension act as a source term in the equation of motion</w:t>
      </w:r>
      <w:r w:rsidR="00C818DF">
        <w:rPr>
          <w:szCs w:val="24"/>
        </w:rPr>
        <w:t xml:space="preserve"> [2]</w:t>
      </w:r>
      <w:r w:rsidRPr="002E107B">
        <w:rPr>
          <w:szCs w:val="24"/>
        </w:rPr>
        <w:t>. The surface tension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F</m:t>
                </m:r>
              </m:e>
            </m:acc>
          </m:e>
          <m:sub>
            <m:r>
              <m:rPr>
                <m:sty m:val="p"/>
              </m:rPr>
              <w:rPr>
                <w:rFonts w:ascii="Cambria Math" w:hAnsi="Cambria Math"/>
                <w:szCs w:val="24"/>
              </w:rPr>
              <m:t>SF</m:t>
            </m:r>
          </m:sub>
        </m:sSub>
      </m:oMath>
      <w:r w:rsidRPr="002E107B">
        <w:rPr>
          <w:szCs w:val="24"/>
        </w:rPr>
        <w:t>) per unit volume in Eq. 2 can be evaluated as:</w:t>
      </w:r>
    </w:p>
    <w:p w:rsidR="008866AA" w:rsidRPr="002E107B" w:rsidRDefault="008866AA" w:rsidP="002E107B">
      <w:pPr>
        <w:ind w:firstLine="397"/>
        <w:contextualSpacing/>
        <w:mirrorIndents/>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276"/>
      </w:tblGrid>
      <w:tr w:rsidR="002E107B" w:rsidRPr="002E107B" w:rsidTr="002E107B">
        <w:tc>
          <w:tcPr>
            <w:tcW w:w="8046" w:type="dxa"/>
          </w:tcPr>
          <w:p w:rsidR="002E107B" w:rsidRPr="002E107B" w:rsidRDefault="000E473B" w:rsidP="008866AA">
            <w:pPr>
              <w:ind w:firstLine="0"/>
              <w:contextualSpacing/>
              <w:mirrorIndents/>
              <w:rPr>
                <w:szCs w:val="24"/>
              </w:rPr>
            </w:pP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F</m:t>
                      </m:r>
                    </m:e>
                  </m:acc>
                </m:e>
                <m:sub>
                  <m:r>
                    <w:rPr>
                      <w:rFonts w:ascii="Cambria Math" w:hAnsi="Cambria Math"/>
                      <w:szCs w:val="24"/>
                    </w:rPr>
                    <m:t>SF</m:t>
                  </m:r>
                </m:sub>
              </m:sSub>
              <m:r>
                <m:rPr>
                  <m:sty m:val="p"/>
                </m:rPr>
                <w:rPr>
                  <w:rFonts w:ascii="Cambria Math" w:hAnsi="Cambria Math"/>
                  <w:szCs w:val="24"/>
                </w:rPr>
                <m:t>=</m:t>
              </m:r>
            </m:oMath>
            <w:r w:rsidR="002E107B" w:rsidRPr="002E107B">
              <w:rPr>
                <w:szCs w:val="24"/>
              </w:rPr>
              <w:t xml:space="preserve"> </w:t>
            </w:r>
            <m:oMath>
              <m:r>
                <m:rPr>
                  <m:sty m:val="p"/>
                </m:rPr>
                <w:rPr>
                  <w:rFonts w:ascii="Cambria Math" w:hAnsi="Cambria Math"/>
                  <w:szCs w:val="24"/>
                </w:rPr>
                <m:t>σ</m:t>
              </m:r>
              <m:sSub>
                <m:sSubPr>
                  <m:ctrlPr>
                    <w:rPr>
                      <w:rFonts w:ascii="Cambria Math" w:hAnsi="Cambria Math"/>
                      <w:szCs w:val="24"/>
                    </w:rPr>
                  </m:ctrlPr>
                </m:sSubPr>
                <m:e>
                  <m:r>
                    <w:rPr>
                      <w:rFonts w:ascii="Cambria Math" w:hAnsi="Cambria Math"/>
                      <w:szCs w:val="24"/>
                    </w:rPr>
                    <m:t>k</m:t>
                  </m:r>
                </m:e>
                <m:sub>
                  <m:r>
                    <m:rPr>
                      <m:sty m:val="p"/>
                    </m:rPr>
                    <w:rPr>
                      <w:rFonts w:ascii="Cambria Math" w:hAnsi="Cambria Math"/>
                      <w:szCs w:val="24"/>
                    </w:rPr>
                    <m:t>n</m:t>
                  </m:r>
                </m:sub>
              </m:sSub>
              <m:d>
                <m:dPr>
                  <m:begChr m:val="["/>
                  <m:endChr m:val="]"/>
                  <m:ctrlPr>
                    <w:rPr>
                      <w:rFonts w:ascii="Cambria Math" w:hAnsi="Cambria Math"/>
                      <w:szCs w:val="24"/>
                    </w:rPr>
                  </m:ctrlPr>
                </m:dPr>
                <m:e>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ρ</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ρ</m:t>
                          </m:r>
                        </m:e>
                        <m:sub>
                          <m:r>
                            <w:rPr>
                              <w:rFonts w:ascii="Cambria Math" w:hAnsi="Cambria Math"/>
                              <w:szCs w:val="24"/>
                            </w:rPr>
                            <m:t>2</m:t>
                          </m:r>
                        </m:sub>
                      </m:sSub>
                    </m:num>
                    <m:den>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ρ</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ρ</m:t>
                              </m:r>
                            </m:e>
                            <m:sub>
                              <m:r>
                                <w:rPr>
                                  <w:rFonts w:ascii="Cambria Math" w:hAnsi="Cambria Math"/>
                                  <w:szCs w:val="24"/>
                                </w:rPr>
                                <m:t>2</m:t>
                              </m:r>
                            </m:sub>
                          </m:sSub>
                        </m:e>
                      </m:d>
                    </m:den>
                  </m:f>
                </m:e>
              </m:d>
            </m:oMath>
          </w:p>
        </w:tc>
        <w:tc>
          <w:tcPr>
            <w:tcW w:w="1276" w:type="dxa"/>
            <w:vAlign w:val="center"/>
          </w:tcPr>
          <w:p w:rsidR="002E107B" w:rsidRPr="002E107B" w:rsidRDefault="002E107B" w:rsidP="002E107B">
            <w:pPr>
              <w:ind w:firstLine="397"/>
              <w:contextualSpacing/>
              <w:mirrorIndents/>
              <w:rPr>
                <w:szCs w:val="24"/>
              </w:rPr>
            </w:pPr>
            <w:r w:rsidRPr="002E107B">
              <w:rPr>
                <w:szCs w:val="24"/>
              </w:rPr>
              <w:t>(5)</w:t>
            </w:r>
          </w:p>
        </w:tc>
      </w:tr>
      <w:tr w:rsidR="002E107B" w:rsidRPr="002E107B" w:rsidTr="002E107B">
        <w:tc>
          <w:tcPr>
            <w:tcW w:w="8046" w:type="dxa"/>
          </w:tcPr>
          <w:p w:rsidR="002E107B" w:rsidRPr="008866AA" w:rsidRDefault="000E473B" w:rsidP="002E107B">
            <w:pPr>
              <w:ind w:firstLine="397"/>
              <w:contextualSpacing/>
              <w:mirrorIndents/>
              <w:rPr>
                <w:szCs w:val="24"/>
              </w:rPr>
            </w:pPr>
            <m:oMathPara>
              <m:oMathParaPr>
                <m:jc m:val="left"/>
              </m:oMathParaPr>
              <m:oMath>
                <m:sSub>
                  <m:sSubPr>
                    <m:ctrlPr>
                      <w:rPr>
                        <w:rFonts w:ascii="Cambria Math" w:hAnsi="Cambria Math"/>
                        <w:szCs w:val="24"/>
                      </w:rPr>
                    </m:ctrlPr>
                  </m:sSubPr>
                  <m:e>
                    <m:r>
                      <w:rPr>
                        <w:rFonts w:ascii="Cambria Math" w:hAnsi="Cambria Math"/>
                        <w:szCs w:val="24"/>
                      </w:rPr>
                      <m:t>k</m:t>
                    </m:r>
                  </m:e>
                  <m:sub>
                    <m:r>
                      <m:rPr>
                        <m:sty m:val="p"/>
                      </m:rPr>
                      <w:rPr>
                        <w:rFonts w:ascii="Cambria Math" w:hAnsi="Cambria Math"/>
                        <w:szCs w:val="24"/>
                      </w:rPr>
                      <m:t>n</m:t>
                    </m:r>
                  </m:sub>
                </m:sSub>
                <m:r>
                  <m:rPr>
                    <m:sty m:val="p"/>
                  </m:rPr>
                  <w:rPr>
                    <w:rFonts w:ascii="Cambria Math" w:hAnsi="Cambria Math"/>
                    <w:szCs w:val="24"/>
                  </w:rPr>
                  <m:t>=-(∇.</m:t>
                </m:r>
                <m:acc>
                  <m:accPr>
                    <m:ctrlPr>
                      <w:rPr>
                        <w:rFonts w:ascii="Cambria Math" w:hAnsi="Cambria Math"/>
                        <w:szCs w:val="24"/>
                      </w:rPr>
                    </m:ctrlPr>
                  </m:accPr>
                  <m:e>
                    <m:r>
                      <w:rPr>
                        <w:rFonts w:ascii="Cambria Math" w:hAnsi="Cambria Math"/>
                        <w:szCs w:val="24"/>
                      </w:rPr>
                      <m:t>n</m:t>
                    </m:r>
                  </m:e>
                </m:acc>
                <m:r>
                  <m:rPr>
                    <m:sty m:val="p"/>
                  </m:rPr>
                  <w:rPr>
                    <w:rFonts w:ascii="Cambria Math" w:hAnsi="Cambria Math"/>
                    <w:szCs w:val="24"/>
                  </w:rPr>
                  <m:t>)</m:t>
                </m:r>
              </m:oMath>
            </m:oMathPara>
          </w:p>
        </w:tc>
        <w:tc>
          <w:tcPr>
            <w:tcW w:w="1276" w:type="dxa"/>
            <w:vAlign w:val="center"/>
          </w:tcPr>
          <w:p w:rsidR="002E107B" w:rsidRPr="002E107B" w:rsidRDefault="002E107B" w:rsidP="002E107B">
            <w:pPr>
              <w:ind w:firstLine="397"/>
              <w:contextualSpacing/>
              <w:mirrorIndents/>
              <w:rPr>
                <w:szCs w:val="24"/>
              </w:rPr>
            </w:pPr>
            <w:r w:rsidRPr="002E107B">
              <w:rPr>
                <w:szCs w:val="24"/>
              </w:rPr>
              <w:t>(6)</w:t>
            </w:r>
          </w:p>
        </w:tc>
      </w:tr>
    </w:tbl>
    <w:p w:rsidR="008866AA" w:rsidRDefault="008866AA" w:rsidP="002E107B">
      <w:pPr>
        <w:ind w:firstLine="397"/>
        <w:contextualSpacing/>
        <w:mirrorIndents/>
        <w:rPr>
          <w:szCs w:val="24"/>
        </w:rPr>
      </w:pPr>
    </w:p>
    <w:p w:rsidR="002E107B" w:rsidRPr="002E107B" w:rsidRDefault="002E107B" w:rsidP="002E107B">
      <w:pPr>
        <w:ind w:firstLine="397"/>
        <w:contextualSpacing/>
        <w:mirrorIndents/>
        <w:rPr>
          <w:szCs w:val="24"/>
        </w:rPr>
      </w:pPr>
      <w:proofErr w:type="gramStart"/>
      <w:r w:rsidRPr="002E107B">
        <w:rPr>
          <w:szCs w:val="24"/>
        </w:rPr>
        <w:t>where</w:t>
      </w:r>
      <w:proofErr w:type="gramEnd"/>
      <w:r w:rsidRPr="002E107B">
        <w:rPr>
          <w:szCs w:val="24"/>
        </w:rPr>
        <w:t xml:space="preserve"> </w:t>
      </w:r>
      <m:oMath>
        <m:r>
          <m:rPr>
            <m:sty m:val="p"/>
          </m:rPr>
          <w:rPr>
            <w:rFonts w:ascii="Cambria Math" w:hAnsi="Cambria Math"/>
            <w:szCs w:val="24"/>
          </w:rPr>
          <m:t>σ</m:t>
        </m:r>
      </m:oMath>
      <w:r w:rsidRPr="002E107B">
        <w:rPr>
          <w:szCs w:val="24"/>
        </w:rPr>
        <w:t xml:space="preserve"> denotes the surface tension and </w:t>
      </w:r>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n</m:t>
            </m:r>
          </m:sub>
        </m:sSub>
      </m:oMath>
      <w:r w:rsidRPr="002E107B">
        <w:rPr>
          <w:szCs w:val="24"/>
        </w:rPr>
        <w:t xml:space="preserve"> the interface curvature and these are calculated from the divergence of unit normal surface </w:t>
      </w:r>
      <m:oMath>
        <m:acc>
          <m:accPr>
            <m:ctrlPr>
              <w:rPr>
                <w:rFonts w:ascii="Cambria Math" w:hAnsi="Cambria Math"/>
                <w:szCs w:val="24"/>
              </w:rPr>
            </m:ctrlPr>
          </m:accPr>
          <m:e>
            <m:r>
              <w:rPr>
                <w:rFonts w:ascii="Cambria Math" w:hAnsi="Cambria Math"/>
                <w:szCs w:val="24"/>
              </w:rPr>
              <m:t>n</m:t>
            </m:r>
          </m:e>
        </m:acc>
        <m:d>
          <m:dPr>
            <m:ctrlPr>
              <w:rPr>
                <w:rFonts w:ascii="Cambria Math" w:hAnsi="Cambria Math"/>
                <w:szCs w:val="24"/>
              </w:rPr>
            </m:ctrlPr>
          </m:dPr>
          <m:e>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n</m:t>
                </m:r>
              </m:num>
              <m:den>
                <m:d>
                  <m:dPr>
                    <m:begChr m:val="|"/>
                    <m:endChr m:val="|"/>
                    <m:ctrlPr>
                      <w:rPr>
                        <w:rFonts w:ascii="Cambria Math" w:hAnsi="Cambria Math"/>
                        <w:szCs w:val="24"/>
                      </w:rPr>
                    </m:ctrlPr>
                  </m:dPr>
                  <m:e>
                    <m:r>
                      <m:rPr>
                        <m:sty m:val="p"/>
                      </m:rPr>
                      <w:rPr>
                        <w:rFonts w:ascii="Cambria Math" w:hAnsi="Cambria Math"/>
                        <w:szCs w:val="24"/>
                      </w:rPr>
                      <m:t>n</m:t>
                    </m:r>
                  </m:e>
                </m:d>
              </m:den>
            </m:f>
          </m:e>
        </m:d>
        <m:r>
          <m:rPr>
            <m:sty m:val="p"/>
          </m:rPr>
          <w:rPr>
            <w:rFonts w:ascii="Cambria Math" w:hAnsi="Cambria Math"/>
            <w:szCs w:val="24"/>
          </w:rPr>
          <m:t>, where surafce normal, n=∇φ</m:t>
        </m:r>
      </m:oMath>
    </w:p>
    <w:p w:rsidR="008866AA" w:rsidRDefault="002E107B" w:rsidP="002E107B">
      <w:pPr>
        <w:ind w:firstLine="397"/>
        <w:contextualSpacing/>
        <w:mirrorIndents/>
        <w:rPr>
          <w:szCs w:val="24"/>
        </w:rPr>
      </w:pPr>
      <w:r w:rsidRPr="002E107B">
        <w:rPr>
          <w:szCs w:val="24"/>
        </w:rPr>
        <w:lastRenderedPageBreak/>
        <w:t>The volume fraction (</w:t>
      </w:r>
      <m:oMath>
        <m:r>
          <m:rPr>
            <m:sty m:val="p"/>
          </m:rPr>
          <w:rPr>
            <w:rFonts w:ascii="Cambria Math" w:hAnsi="Cambria Math"/>
            <w:szCs w:val="24"/>
          </w:rPr>
          <m:t>φ</m:t>
        </m:r>
      </m:oMath>
      <w:r w:rsidRPr="002E107B">
        <w:rPr>
          <w:szCs w:val="24"/>
        </w:rPr>
        <w:t xml:space="preserve">) in the interface tracking algorithm was calculated by solving Eq. (4) and it becomes zero for continuous phase and one for dispersed phase. The hydrodynamics of the individual phases are defined and all phases obtain a volume fraction in the computational cell in domain as well as at the interface. For </w:t>
      </w:r>
      <w:r w:rsidR="00C818DF">
        <w:rPr>
          <w:szCs w:val="24"/>
        </w:rPr>
        <w:t>multi</w:t>
      </w:r>
      <w:r w:rsidRPr="002E107B">
        <w:rPr>
          <w:szCs w:val="24"/>
        </w:rPr>
        <w:t>phase flow, if the</w:t>
      </w:r>
      <w:r w:rsidR="006C5C88">
        <w:rPr>
          <w:szCs w:val="24"/>
        </w:rPr>
        <w:t xml:space="preserve"> known volume fraction of one phase is</w:t>
      </w:r>
      <m:oMath>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oMath>
      <w:r w:rsidRPr="002E107B">
        <w:rPr>
          <w:szCs w:val="24"/>
        </w:rPr>
        <w:t xml:space="preserve">, the density (ρ), and viscosity (μ) in all cell can be evaluated using Eqs. (8 and 9):  </w:t>
      </w:r>
    </w:p>
    <w:p w:rsidR="002E107B" w:rsidRPr="002E107B" w:rsidRDefault="002E107B" w:rsidP="002E107B">
      <w:pPr>
        <w:ind w:firstLine="397"/>
        <w:contextualSpacing/>
        <w:mirrorIndents/>
        <w:rPr>
          <w:rFonts w:ascii="Cambria Math" w:hAnsi="Cambria Math"/>
          <w:szCs w:val="24"/>
          <w:oMath/>
        </w:rPr>
      </w:pPr>
      <w:r w:rsidRPr="002E107B">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241"/>
      </w:tblGrid>
      <w:tr w:rsidR="002E107B" w:rsidRPr="002E107B" w:rsidTr="002E107B">
        <w:trPr>
          <w:trHeight w:val="450"/>
        </w:trPr>
        <w:tc>
          <w:tcPr>
            <w:tcW w:w="8046" w:type="dxa"/>
          </w:tcPr>
          <w:p w:rsidR="002E107B" w:rsidRPr="008866AA" w:rsidRDefault="002E107B" w:rsidP="002E107B">
            <w:pPr>
              <w:ind w:firstLine="397"/>
              <w:contextualSpacing/>
              <w:mirrorIndents/>
              <w:rPr>
                <w:szCs w:val="24"/>
              </w:rPr>
            </w:pPr>
            <m:oMathPara>
              <m:oMathParaPr>
                <m:jc m:val="left"/>
              </m:oMathParaPr>
              <m:oMath>
                <m:r>
                  <m:rPr>
                    <m:sty m:val="p"/>
                  </m:rPr>
                  <w:rPr>
                    <w:rFonts w:ascii="Cambria Math" w:hAnsi="Cambria Math"/>
                    <w:szCs w:val="24"/>
                  </w:rPr>
                  <m:t>ρ=(1-</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)ρ</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sSub>
                  <m:sSubPr>
                    <m:ctrlPr>
                      <w:rPr>
                        <w:rFonts w:ascii="Cambria Math" w:hAnsi="Cambria Math"/>
                        <w:szCs w:val="24"/>
                      </w:rPr>
                    </m:ctrlPr>
                  </m:sSubPr>
                  <m:e>
                    <m:r>
                      <m:rPr>
                        <m:sty m:val="p"/>
                      </m:rPr>
                      <w:rPr>
                        <w:rFonts w:ascii="Cambria Math" w:hAnsi="Cambria Math"/>
                        <w:szCs w:val="24"/>
                      </w:rPr>
                      <m:t>ρ</m:t>
                    </m:r>
                  </m:e>
                  <m:sub>
                    <m:r>
                      <m:rPr>
                        <m:sty m:val="p"/>
                      </m:rPr>
                      <w:rPr>
                        <w:rFonts w:ascii="Cambria Math" w:hAnsi="Cambria Math"/>
                        <w:szCs w:val="24"/>
                      </w:rPr>
                      <m:t>1</m:t>
                    </m:r>
                  </m:sub>
                </m:sSub>
              </m:oMath>
            </m:oMathPara>
          </w:p>
        </w:tc>
        <w:tc>
          <w:tcPr>
            <w:tcW w:w="1241" w:type="dxa"/>
          </w:tcPr>
          <w:p w:rsidR="002E107B" w:rsidRPr="002E107B" w:rsidRDefault="002E107B" w:rsidP="002E107B">
            <w:pPr>
              <w:ind w:firstLine="397"/>
              <w:contextualSpacing/>
              <w:mirrorIndents/>
              <w:rPr>
                <w:szCs w:val="24"/>
              </w:rPr>
            </w:pPr>
            <w:r w:rsidRPr="002E107B">
              <w:rPr>
                <w:szCs w:val="24"/>
              </w:rPr>
              <w:t>(8)</w:t>
            </w:r>
          </w:p>
        </w:tc>
      </w:tr>
      <w:tr w:rsidR="002E107B" w:rsidRPr="002E107B" w:rsidTr="002E107B">
        <w:tc>
          <w:tcPr>
            <w:tcW w:w="8046" w:type="dxa"/>
          </w:tcPr>
          <w:p w:rsidR="002E107B" w:rsidRPr="008866AA" w:rsidRDefault="002E107B" w:rsidP="002E107B">
            <w:pPr>
              <w:ind w:firstLine="397"/>
              <w:contextualSpacing/>
              <w:mirrorIndents/>
              <w:rPr>
                <w:szCs w:val="24"/>
              </w:rPr>
            </w:pPr>
            <m:oMathPara>
              <m:oMathParaPr>
                <m:jc m:val="left"/>
              </m:oMathParaPr>
              <m:oMath>
                <m:r>
                  <w:rPr>
                    <w:rFonts w:ascii="Cambria Math" w:hAnsi="Cambria Math"/>
                    <w:szCs w:val="24"/>
                  </w:rPr>
                  <m:t>μ</m:t>
                </m:r>
                <m:r>
                  <m:rPr>
                    <m:sty m:val="p"/>
                  </m:rP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μ</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μ</m:t>
                    </m:r>
                  </m:e>
                  <m:sub>
                    <m:r>
                      <m:rPr>
                        <m:sty m:val="p"/>
                      </m:rPr>
                      <w:rPr>
                        <w:rFonts w:ascii="Cambria Math" w:hAnsi="Cambria Math"/>
                        <w:szCs w:val="24"/>
                      </w:rPr>
                      <m:t>1</m:t>
                    </m:r>
                  </m:sub>
                </m:sSub>
              </m:oMath>
            </m:oMathPara>
          </w:p>
        </w:tc>
        <w:tc>
          <w:tcPr>
            <w:tcW w:w="1241" w:type="dxa"/>
          </w:tcPr>
          <w:p w:rsidR="002E107B" w:rsidRPr="002E107B" w:rsidRDefault="002E107B" w:rsidP="002E107B">
            <w:pPr>
              <w:ind w:firstLine="397"/>
              <w:contextualSpacing/>
              <w:mirrorIndents/>
              <w:rPr>
                <w:szCs w:val="24"/>
              </w:rPr>
            </w:pPr>
            <w:r w:rsidRPr="002E107B">
              <w:rPr>
                <w:szCs w:val="24"/>
              </w:rPr>
              <w:t>(9)</w:t>
            </w:r>
          </w:p>
        </w:tc>
      </w:tr>
    </w:tbl>
    <w:p w:rsidR="002E107B" w:rsidRPr="002E107B" w:rsidRDefault="002E107B" w:rsidP="002E107B">
      <w:pPr>
        <w:ind w:firstLine="397"/>
        <w:contextualSpacing/>
        <w:mirrorIndents/>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7"/>
      </w:tblGrid>
      <w:tr w:rsidR="002E107B" w:rsidRPr="002E107B" w:rsidTr="00C53299">
        <w:trPr>
          <w:jc w:val="center"/>
        </w:trPr>
        <w:tc>
          <w:tcPr>
            <w:tcW w:w="7767" w:type="dxa"/>
          </w:tcPr>
          <w:p w:rsidR="002E107B" w:rsidRPr="002E107B" w:rsidRDefault="002E107B" w:rsidP="00B22141">
            <w:pPr>
              <w:ind w:firstLine="397"/>
              <w:contextualSpacing/>
              <w:mirrorIndents/>
              <w:rPr>
                <w:szCs w:val="24"/>
                <w:lang w:val="en-IN"/>
              </w:rPr>
            </w:pPr>
            <w:r w:rsidRPr="002E107B">
              <w:rPr>
                <w:noProof/>
                <w:szCs w:val="24"/>
                <w:lang w:val="en-IN" w:eastAsia="en-IN" w:bidi="hi-IN"/>
              </w:rPr>
              <w:drawing>
                <wp:inline distT="0" distB="0" distL="0" distR="0" wp14:anchorId="63A8E4BF" wp14:editId="615C4DD3">
                  <wp:extent cx="4581525" cy="1352550"/>
                  <wp:effectExtent l="0" t="0" r="9525" b="0"/>
                  <wp:docPr id="6" name="Picture 3" descr="C:\Users\HP\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Pictur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5471" cy="1353715"/>
                          </a:xfrm>
                          <a:prstGeom prst="rect">
                            <a:avLst/>
                          </a:prstGeom>
                          <a:noFill/>
                          <a:ln>
                            <a:noFill/>
                          </a:ln>
                        </pic:spPr>
                      </pic:pic>
                    </a:graphicData>
                  </a:graphic>
                </wp:inline>
              </w:drawing>
            </w:r>
          </w:p>
        </w:tc>
      </w:tr>
      <w:tr w:rsidR="002E107B" w:rsidRPr="002E107B" w:rsidTr="00C53299">
        <w:trPr>
          <w:jc w:val="center"/>
        </w:trPr>
        <w:tc>
          <w:tcPr>
            <w:tcW w:w="7767" w:type="dxa"/>
          </w:tcPr>
          <w:p w:rsidR="002E107B" w:rsidRPr="002E107B" w:rsidRDefault="002E107B" w:rsidP="002E107B">
            <w:pPr>
              <w:ind w:firstLine="397"/>
              <w:contextualSpacing/>
              <w:mirrorIndents/>
              <w:rPr>
                <w:szCs w:val="24"/>
                <w:lang w:val="en-US"/>
              </w:rPr>
            </w:pPr>
            <w:r w:rsidRPr="002E107B">
              <w:rPr>
                <w:szCs w:val="24"/>
                <w:lang w:val="en-US"/>
              </w:rPr>
              <w:t>(a)</w:t>
            </w:r>
          </w:p>
        </w:tc>
      </w:tr>
      <w:tr w:rsidR="002E107B" w:rsidRPr="002E107B" w:rsidTr="00C53299">
        <w:trPr>
          <w:jc w:val="center"/>
        </w:trPr>
        <w:tc>
          <w:tcPr>
            <w:tcW w:w="7767" w:type="dxa"/>
          </w:tcPr>
          <w:p w:rsidR="002E107B" w:rsidRPr="002E107B" w:rsidRDefault="002E107B" w:rsidP="00B22141">
            <w:pPr>
              <w:ind w:firstLine="397"/>
              <w:contextualSpacing/>
              <w:mirrorIndents/>
              <w:jc w:val="center"/>
              <w:rPr>
                <w:szCs w:val="24"/>
                <w:lang w:val="en-US"/>
              </w:rPr>
            </w:pPr>
            <w:r w:rsidRPr="002E107B">
              <w:rPr>
                <w:noProof/>
                <w:szCs w:val="24"/>
                <w:lang w:val="en-IN" w:eastAsia="en-IN" w:bidi="hi-IN"/>
              </w:rPr>
              <w:drawing>
                <wp:inline distT="0" distB="0" distL="0" distR="0" wp14:anchorId="2D227AB6" wp14:editId="1ECA508A">
                  <wp:extent cx="3143250" cy="80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63027" cy="814719"/>
                          </a:xfrm>
                          <a:prstGeom prst="rect">
                            <a:avLst/>
                          </a:prstGeom>
                          <a:noFill/>
                          <a:ln w="9525">
                            <a:noFill/>
                            <a:miter lim="800000"/>
                            <a:headEnd/>
                            <a:tailEnd/>
                          </a:ln>
                        </pic:spPr>
                      </pic:pic>
                    </a:graphicData>
                  </a:graphic>
                </wp:inline>
              </w:drawing>
            </w:r>
          </w:p>
        </w:tc>
      </w:tr>
      <w:tr w:rsidR="002E107B" w:rsidRPr="002E107B" w:rsidTr="00C53299">
        <w:trPr>
          <w:jc w:val="center"/>
        </w:trPr>
        <w:tc>
          <w:tcPr>
            <w:tcW w:w="7767" w:type="dxa"/>
          </w:tcPr>
          <w:p w:rsidR="002E107B" w:rsidRPr="002E107B" w:rsidRDefault="002E107B" w:rsidP="002E107B">
            <w:pPr>
              <w:ind w:firstLine="397"/>
              <w:contextualSpacing/>
              <w:mirrorIndents/>
              <w:rPr>
                <w:szCs w:val="24"/>
                <w:lang w:val="en-US"/>
              </w:rPr>
            </w:pPr>
            <w:r w:rsidRPr="002E107B">
              <w:rPr>
                <w:szCs w:val="24"/>
                <w:lang w:val="en-US"/>
              </w:rPr>
              <w:t>(b)</w:t>
            </w:r>
          </w:p>
        </w:tc>
      </w:tr>
    </w:tbl>
    <w:p w:rsidR="00DF7794" w:rsidRDefault="00DF7794" w:rsidP="00DF7794">
      <w:pPr>
        <w:ind w:left="1418" w:hanging="567"/>
        <w:contextualSpacing/>
        <w:mirrorIndents/>
        <w:jc w:val="center"/>
        <w:rPr>
          <w:szCs w:val="24"/>
          <w:lang w:val="en-IN"/>
        </w:rPr>
      </w:pPr>
    </w:p>
    <w:p w:rsidR="002E107B" w:rsidRPr="002E107B" w:rsidRDefault="002E107B" w:rsidP="00DF7794">
      <w:pPr>
        <w:ind w:left="1418" w:hanging="567"/>
        <w:contextualSpacing/>
        <w:mirrorIndents/>
        <w:jc w:val="center"/>
        <w:rPr>
          <w:szCs w:val="24"/>
          <w:lang w:val="en-IN"/>
        </w:rPr>
      </w:pPr>
      <w:r w:rsidRPr="002E107B">
        <w:rPr>
          <w:szCs w:val="24"/>
          <w:lang w:val="en-IN"/>
        </w:rPr>
        <w:t xml:space="preserve">Fig. 1 (a) </w:t>
      </w:r>
      <w:r w:rsidR="00FE434B">
        <w:rPr>
          <w:szCs w:val="24"/>
          <w:lang w:val="en-IN"/>
        </w:rPr>
        <w:t>G</w:t>
      </w:r>
      <w:r w:rsidRPr="002E107B">
        <w:rPr>
          <w:szCs w:val="24"/>
          <w:lang w:val="en-IN"/>
        </w:rPr>
        <w:t xml:space="preserve">eometry, (b) Meshing </w:t>
      </w:r>
    </w:p>
    <w:p w:rsidR="002E107B" w:rsidRPr="002E107B" w:rsidRDefault="002E107B" w:rsidP="002E107B">
      <w:pPr>
        <w:ind w:firstLine="397"/>
        <w:contextualSpacing/>
        <w:mirrorIndents/>
        <w:rPr>
          <w:b/>
          <w:szCs w:val="24"/>
          <w:lang w:val="en-IN"/>
        </w:rPr>
      </w:pPr>
    </w:p>
    <w:p w:rsidR="00DF7794" w:rsidRDefault="002E107B" w:rsidP="0033118B">
      <w:pPr>
        <w:ind w:firstLine="397"/>
        <w:contextualSpacing/>
        <w:mirrorIndents/>
        <w:jc w:val="center"/>
        <w:rPr>
          <w:szCs w:val="24"/>
          <w:lang w:val="en-IN"/>
        </w:rPr>
      </w:pPr>
      <w:r w:rsidRPr="002E107B">
        <w:rPr>
          <w:b/>
          <w:szCs w:val="24"/>
          <w:lang w:val="en-IN"/>
        </w:rPr>
        <w:t>Table 1:</w:t>
      </w:r>
      <w:r w:rsidR="0033118B">
        <w:rPr>
          <w:szCs w:val="24"/>
          <w:lang w:val="en-IN"/>
        </w:rPr>
        <w:t xml:space="preserve"> Physical properties of fluids for two phase flow system</w:t>
      </w:r>
      <w:r w:rsidRPr="002E107B">
        <w:rPr>
          <w:szCs w:val="24"/>
          <w:lang w:val="en-IN"/>
        </w:rPr>
        <w:t xml:space="preserve"> </w:t>
      </w:r>
    </w:p>
    <w:p w:rsidR="0033118B" w:rsidRPr="002E107B" w:rsidRDefault="0033118B" w:rsidP="0033118B">
      <w:pPr>
        <w:ind w:firstLine="397"/>
        <w:contextualSpacing/>
        <w:mirrorIndents/>
        <w:jc w:val="center"/>
        <w:rPr>
          <w:szCs w:val="24"/>
          <w:lang w:val="en-IN"/>
        </w:rPr>
      </w:pPr>
    </w:p>
    <w:tbl>
      <w:tblPr>
        <w:tblStyle w:val="TableGrid"/>
        <w:tblW w:w="0" w:type="auto"/>
        <w:jc w:val="center"/>
        <w:tblLook w:val="04A0" w:firstRow="1" w:lastRow="0" w:firstColumn="1" w:lastColumn="0" w:noHBand="0" w:noVBand="1"/>
      </w:tblPr>
      <w:tblGrid>
        <w:gridCol w:w="1469"/>
        <w:gridCol w:w="1690"/>
        <w:gridCol w:w="2409"/>
        <w:gridCol w:w="3264"/>
      </w:tblGrid>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Fluid</w:t>
            </w:r>
          </w:p>
        </w:tc>
        <w:tc>
          <w:tcPr>
            <w:tcW w:w="1690" w:type="dxa"/>
            <w:vAlign w:val="center"/>
          </w:tcPr>
          <w:p w:rsidR="002E107B" w:rsidRPr="002E107B" w:rsidRDefault="00B22141" w:rsidP="00B22141">
            <w:pPr>
              <w:ind w:firstLine="0"/>
              <w:contextualSpacing/>
              <w:mirrorIndents/>
              <w:jc w:val="left"/>
              <w:rPr>
                <w:szCs w:val="24"/>
                <w:lang w:val="en-IN"/>
              </w:rPr>
            </w:pPr>
            <w:r>
              <w:rPr>
                <w:szCs w:val="24"/>
                <w:lang w:val="en-IN"/>
              </w:rPr>
              <w:t xml:space="preserve">Density </w:t>
            </w:r>
            <w:r w:rsidR="002E107B" w:rsidRPr="002E107B">
              <w:rPr>
                <w:szCs w:val="24"/>
                <w:lang w:val="en-IN"/>
              </w:rPr>
              <w:t>(ρ) (kg/m</w:t>
            </w:r>
            <w:r w:rsidR="002E107B" w:rsidRPr="002E107B">
              <w:rPr>
                <w:szCs w:val="24"/>
                <w:vertAlign w:val="superscript"/>
                <w:lang w:val="en-IN"/>
              </w:rPr>
              <w:t>3</w:t>
            </w:r>
            <w:r w:rsidR="002E107B" w:rsidRPr="002E107B">
              <w:rPr>
                <w:szCs w:val="24"/>
                <w:lang w:val="en-IN"/>
              </w:rPr>
              <w:t>)</w:t>
            </w:r>
          </w:p>
        </w:tc>
        <w:tc>
          <w:tcPr>
            <w:tcW w:w="2409" w:type="dxa"/>
            <w:vAlign w:val="center"/>
          </w:tcPr>
          <w:p w:rsidR="002E107B" w:rsidRPr="002E107B" w:rsidRDefault="00B22141" w:rsidP="00B22141">
            <w:pPr>
              <w:ind w:firstLine="0"/>
              <w:contextualSpacing/>
              <w:mirrorIndents/>
              <w:jc w:val="center"/>
              <w:rPr>
                <w:szCs w:val="24"/>
                <w:lang w:val="en-IN"/>
              </w:rPr>
            </w:pPr>
            <w:r>
              <w:rPr>
                <w:szCs w:val="24"/>
                <w:lang w:val="en-IN"/>
              </w:rPr>
              <w:t xml:space="preserve">Dynamic </w:t>
            </w:r>
            <w:r w:rsidR="002E107B" w:rsidRPr="002E107B">
              <w:rPr>
                <w:szCs w:val="24"/>
                <w:lang w:val="en-IN"/>
              </w:rPr>
              <w:t>viscosity (μ) (kg/</w:t>
            </w:r>
            <w:proofErr w:type="spellStart"/>
            <w:r w:rsidR="002E107B" w:rsidRPr="002E107B">
              <w:rPr>
                <w:szCs w:val="24"/>
                <w:lang w:val="en-IN"/>
              </w:rPr>
              <w:t>m.s</w:t>
            </w:r>
            <w:proofErr w:type="spellEnd"/>
            <w:r w:rsidR="002E107B" w:rsidRPr="002E107B">
              <w:rPr>
                <w:szCs w:val="24"/>
                <w:lang w:val="en-IN"/>
              </w:rPr>
              <w:t>)</w:t>
            </w:r>
          </w:p>
        </w:tc>
        <w:tc>
          <w:tcPr>
            <w:tcW w:w="3264" w:type="dxa"/>
            <w:vAlign w:val="center"/>
          </w:tcPr>
          <w:p w:rsidR="002E107B" w:rsidRPr="002E107B" w:rsidRDefault="00B22141" w:rsidP="00B22141">
            <w:pPr>
              <w:ind w:firstLine="0"/>
              <w:contextualSpacing/>
              <w:mirrorIndents/>
              <w:jc w:val="center"/>
              <w:rPr>
                <w:szCs w:val="24"/>
                <w:lang w:val="en-IN"/>
              </w:rPr>
            </w:pPr>
            <w:r>
              <w:rPr>
                <w:szCs w:val="24"/>
                <w:lang w:val="en-IN"/>
              </w:rPr>
              <w:t xml:space="preserve">Interfacial </w:t>
            </w:r>
            <w:r w:rsidR="002E107B" w:rsidRPr="002E107B">
              <w:rPr>
                <w:szCs w:val="24"/>
                <w:lang w:val="en-IN"/>
              </w:rPr>
              <w:t>surface tension (σ)</w:t>
            </w:r>
            <w:r>
              <w:rPr>
                <w:szCs w:val="24"/>
                <w:lang w:val="en-IN"/>
              </w:rPr>
              <w:t xml:space="preserve"> </w:t>
            </w:r>
            <w:r w:rsidR="002E107B" w:rsidRPr="002E107B">
              <w:rPr>
                <w:szCs w:val="24"/>
                <w:lang w:val="en-IN"/>
              </w:rPr>
              <w:t>(N/m)</w:t>
            </w: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Water</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998.2</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0.001003</w:t>
            </w:r>
          </w:p>
        </w:tc>
        <w:tc>
          <w:tcPr>
            <w:tcW w:w="3264" w:type="dxa"/>
            <w:vMerge w:val="restart"/>
            <w:vAlign w:val="center"/>
          </w:tcPr>
          <w:p w:rsidR="002E107B" w:rsidRPr="002E107B" w:rsidRDefault="002E107B" w:rsidP="00B22141">
            <w:pPr>
              <w:ind w:firstLine="397"/>
              <w:contextualSpacing/>
              <w:mirrorIndents/>
              <w:jc w:val="center"/>
              <w:rPr>
                <w:szCs w:val="24"/>
                <w:lang w:val="en-IN"/>
              </w:rPr>
            </w:pPr>
            <w:r w:rsidRPr="002E107B">
              <w:rPr>
                <w:szCs w:val="24"/>
                <w:lang w:val="en-IN"/>
              </w:rPr>
              <w:t>0.072</w:t>
            </w: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Air</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1.225</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1.7894×10</w:t>
            </w:r>
            <w:r w:rsidRPr="002E107B">
              <w:rPr>
                <w:szCs w:val="24"/>
                <w:vertAlign w:val="superscript"/>
                <w:lang w:val="en-IN"/>
              </w:rPr>
              <w:t>-5</w:t>
            </w:r>
          </w:p>
        </w:tc>
        <w:tc>
          <w:tcPr>
            <w:tcW w:w="3264" w:type="dxa"/>
            <w:vMerge/>
            <w:vAlign w:val="center"/>
          </w:tcPr>
          <w:p w:rsidR="002E107B" w:rsidRPr="002E107B" w:rsidRDefault="002E107B" w:rsidP="00B22141">
            <w:pPr>
              <w:ind w:firstLine="397"/>
              <w:contextualSpacing/>
              <w:mirrorIndents/>
              <w:jc w:val="center"/>
              <w:rPr>
                <w:szCs w:val="24"/>
                <w:lang w:val="en-IN"/>
              </w:rPr>
            </w:pP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Cyclohexane</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780</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0.000982</w:t>
            </w:r>
          </w:p>
        </w:tc>
        <w:tc>
          <w:tcPr>
            <w:tcW w:w="3264" w:type="dxa"/>
            <w:vMerge w:val="restart"/>
            <w:vAlign w:val="center"/>
          </w:tcPr>
          <w:p w:rsidR="002E107B" w:rsidRPr="002E107B" w:rsidRDefault="002E107B" w:rsidP="00B22141">
            <w:pPr>
              <w:ind w:firstLine="397"/>
              <w:contextualSpacing/>
              <w:mirrorIndents/>
              <w:jc w:val="center"/>
              <w:rPr>
                <w:szCs w:val="24"/>
                <w:lang w:val="en-IN"/>
              </w:rPr>
            </w:pPr>
            <w:r w:rsidRPr="002E107B">
              <w:rPr>
                <w:szCs w:val="24"/>
                <w:lang w:val="en-IN"/>
              </w:rPr>
              <w:t>0.05</w:t>
            </w: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Water</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998.2</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0.001003</w:t>
            </w:r>
          </w:p>
        </w:tc>
        <w:tc>
          <w:tcPr>
            <w:tcW w:w="3264" w:type="dxa"/>
            <w:vMerge/>
            <w:vAlign w:val="center"/>
          </w:tcPr>
          <w:p w:rsidR="002E107B" w:rsidRPr="002E107B" w:rsidRDefault="002E107B" w:rsidP="00B22141">
            <w:pPr>
              <w:ind w:firstLine="397"/>
              <w:contextualSpacing/>
              <w:mirrorIndents/>
              <w:jc w:val="center"/>
              <w:rPr>
                <w:szCs w:val="24"/>
                <w:lang w:val="en-IN"/>
              </w:rPr>
            </w:pP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Furfural</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1160</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0.00149</w:t>
            </w:r>
          </w:p>
        </w:tc>
        <w:tc>
          <w:tcPr>
            <w:tcW w:w="3264" w:type="dxa"/>
            <w:vMerge w:val="restart"/>
            <w:vAlign w:val="center"/>
          </w:tcPr>
          <w:p w:rsidR="002E107B" w:rsidRPr="002E107B" w:rsidRDefault="002E107B" w:rsidP="00B22141">
            <w:pPr>
              <w:ind w:firstLine="397"/>
              <w:contextualSpacing/>
              <w:mirrorIndents/>
              <w:jc w:val="center"/>
              <w:rPr>
                <w:szCs w:val="24"/>
                <w:lang w:val="en-IN"/>
              </w:rPr>
            </w:pPr>
            <w:r w:rsidRPr="002E107B">
              <w:rPr>
                <w:szCs w:val="24"/>
                <w:lang w:val="en-IN"/>
              </w:rPr>
              <w:t>0.03</w:t>
            </w:r>
          </w:p>
        </w:tc>
      </w:tr>
      <w:tr w:rsidR="002E107B" w:rsidRPr="002E107B" w:rsidTr="00B22141">
        <w:trPr>
          <w:jc w:val="center"/>
        </w:trPr>
        <w:tc>
          <w:tcPr>
            <w:tcW w:w="1469" w:type="dxa"/>
            <w:vAlign w:val="center"/>
          </w:tcPr>
          <w:p w:rsidR="002E107B" w:rsidRPr="002E107B" w:rsidRDefault="002E107B" w:rsidP="00B22141">
            <w:pPr>
              <w:ind w:firstLine="0"/>
              <w:contextualSpacing/>
              <w:mirrorIndents/>
              <w:jc w:val="left"/>
              <w:rPr>
                <w:szCs w:val="24"/>
                <w:lang w:val="en-IN"/>
              </w:rPr>
            </w:pPr>
            <w:r w:rsidRPr="002E107B">
              <w:rPr>
                <w:szCs w:val="24"/>
                <w:lang w:val="en-IN"/>
              </w:rPr>
              <w:t>Iso-octane</w:t>
            </w:r>
          </w:p>
        </w:tc>
        <w:tc>
          <w:tcPr>
            <w:tcW w:w="1690" w:type="dxa"/>
            <w:vAlign w:val="center"/>
          </w:tcPr>
          <w:p w:rsidR="002E107B" w:rsidRPr="002E107B" w:rsidRDefault="002E107B" w:rsidP="002E107B">
            <w:pPr>
              <w:ind w:firstLine="397"/>
              <w:contextualSpacing/>
              <w:mirrorIndents/>
              <w:rPr>
                <w:szCs w:val="24"/>
                <w:lang w:val="en-IN"/>
              </w:rPr>
            </w:pPr>
            <w:r w:rsidRPr="002E107B">
              <w:rPr>
                <w:szCs w:val="24"/>
                <w:lang w:val="en-IN"/>
              </w:rPr>
              <w:t>692</w:t>
            </w:r>
          </w:p>
        </w:tc>
        <w:tc>
          <w:tcPr>
            <w:tcW w:w="2409" w:type="dxa"/>
            <w:vAlign w:val="center"/>
          </w:tcPr>
          <w:p w:rsidR="002E107B" w:rsidRPr="002E107B" w:rsidRDefault="002E107B" w:rsidP="002E107B">
            <w:pPr>
              <w:ind w:firstLine="397"/>
              <w:contextualSpacing/>
              <w:mirrorIndents/>
              <w:rPr>
                <w:szCs w:val="24"/>
                <w:lang w:val="en-IN"/>
              </w:rPr>
            </w:pPr>
            <w:r w:rsidRPr="002E107B">
              <w:rPr>
                <w:szCs w:val="24"/>
                <w:lang w:val="en-IN"/>
              </w:rPr>
              <w:t>0.0005</w:t>
            </w:r>
          </w:p>
        </w:tc>
        <w:tc>
          <w:tcPr>
            <w:tcW w:w="3264" w:type="dxa"/>
            <w:vMerge/>
            <w:vAlign w:val="center"/>
          </w:tcPr>
          <w:p w:rsidR="002E107B" w:rsidRPr="002E107B" w:rsidRDefault="002E107B" w:rsidP="002E107B">
            <w:pPr>
              <w:ind w:firstLine="397"/>
              <w:contextualSpacing/>
              <w:mirrorIndents/>
              <w:rPr>
                <w:szCs w:val="24"/>
                <w:lang w:val="en-IN"/>
              </w:rPr>
            </w:pPr>
          </w:p>
        </w:tc>
      </w:tr>
    </w:tbl>
    <w:p w:rsidR="00B907B4" w:rsidRDefault="00B907B4" w:rsidP="00B907B4">
      <w:pPr>
        <w:pStyle w:val="ListParagraph"/>
        <w:ind w:firstLine="0"/>
        <w:mirrorIndents/>
        <w:rPr>
          <w:rFonts w:ascii="Arial" w:hAnsi="Arial" w:cs="Arial"/>
          <w:b/>
          <w:szCs w:val="24"/>
        </w:rPr>
      </w:pPr>
    </w:p>
    <w:p w:rsidR="00B907B4" w:rsidRDefault="00B907B4" w:rsidP="00B907B4">
      <w:pPr>
        <w:pStyle w:val="ListParagraph"/>
        <w:numPr>
          <w:ilvl w:val="0"/>
          <w:numId w:val="18"/>
        </w:numPr>
        <w:mirrorIndents/>
        <w:rPr>
          <w:rFonts w:ascii="Arial" w:hAnsi="Arial" w:cs="Arial"/>
          <w:b/>
          <w:szCs w:val="24"/>
        </w:rPr>
      </w:pPr>
      <w:r>
        <w:rPr>
          <w:rFonts w:ascii="Arial" w:hAnsi="Arial" w:cs="Arial"/>
          <w:b/>
          <w:szCs w:val="24"/>
        </w:rPr>
        <w:t>Numerical Scheme</w:t>
      </w:r>
    </w:p>
    <w:p w:rsidR="00B907B4" w:rsidRDefault="00B907B4" w:rsidP="00942EA6">
      <w:pPr>
        <w:ind w:firstLine="397"/>
        <w:contextualSpacing/>
        <w:mirrorIndents/>
        <w:rPr>
          <w:szCs w:val="24"/>
        </w:rPr>
      </w:pPr>
    </w:p>
    <w:p w:rsidR="00C0795D" w:rsidRDefault="00B907B4" w:rsidP="00942EA6">
      <w:pPr>
        <w:ind w:firstLine="397"/>
        <w:contextualSpacing/>
        <w:mirrorIndents/>
        <w:rPr>
          <w:szCs w:val="24"/>
        </w:rPr>
      </w:pPr>
      <w:r w:rsidRPr="00B907B4">
        <w:rPr>
          <w:szCs w:val="24"/>
        </w:rPr>
        <w:t xml:space="preserve">The hydrodynamics of two phase flow has been investigated numerically using VOF method in a two dimensional (2D) geometry to save computational time and energies. Fig. 1 </w:t>
      </w:r>
      <w:r w:rsidR="0033118B">
        <w:rPr>
          <w:szCs w:val="24"/>
        </w:rPr>
        <w:t xml:space="preserve">represents </w:t>
      </w:r>
      <w:r w:rsidRPr="00B907B4">
        <w:rPr>
          <w:szCs w:val="24"/>
        </w:rPr>
        <w:t xml:space="preserve">the channel geometry, boundary conditions and mesh was created by </w:t>
      </w:r>
      <w:proofErr w:type="spellStart"/>
      <w:r w:rsidRPr="00B907B4">
        <w:rPr>
          <w:szCs w:val="24"/>
        </w:rPr>
        <w:t>Ansys</w:t>
      </w:r>
      <w:proofErr w:type="spellEnd"/>
      <w:r w:rsidRPr="00B907B4">
        <w:rPr>
          <w:szCs w:val="24"/>
        </w:rPr>
        <w:t xml:space="preserve"> pre-processor solver. T-junction geometry has two inlets; one fluid was introduced horizontally called continuous phase and other vertically called dispersed phase. At the outlet boundary condition, a constant atmospheric pressure was applied. The simulations were carried out for different fluids in CFD software ‘ANSYS FLUENT 18.2’ with double-precision solver. Mesh size was taken to be 2.0 µm to ensure solution independent from mesh and found reproducible simulation results. The present mesh contains 132500 hexahedral cells. The simulation are carried out using unsteady state transient time, pressure based solver and Courant no (Cr) were fixed at 0.25. The time step size 10</w:t>
      </w:r>
      <w:r w:rsidRPr="00BC7498">
        <w:rPr>
          <w:szCs w:val="24"/>
          <w:vertAlign w:val="superscript"/>
        </w:rPr>
        <w:t>-6</w:t>
      </w:r>
      <w:r w:rsidRPr="00B907B4">
        <w:rPr>
          <w:szCs w:val="24"/>
        </w:rPr>
        <w:t xml:space="preserve"> sec was used in this simulation. The stationary wall no slip shear condition and wall adhesion is </w:t>
      </w:r>
      <w:r w:rsidRPr="00B907B4">
        <w:rPr>
          <w:szCs w:val="24"/>
        </w:rPr>
        <w:lastRenderedPageBreak/>
        <w:t xml:space="preserve">turned on and default contact angle was set at 90°. The value of surface tension was set according to systems, which is given in Table 1. Pressure-implicit with staggering option (PISO) scheme was used for pressure-velocity coupling with constant neighbour correction factor value equal to one. For the discretization, gradient of scalars i.e. pressure, velocity and volume fraction were calculated using Green-Gauss cell-based method. Pressure staggering option (PRESTO!) scheme for pressure gradient, second order upwind scheme for velocity gradient and Geo-reconstruct scheme were taken </w:t>
      </w:r>
      <w:r w:rsidR="00D10341" w:rsidRPr="00B907B4">
        <w:rPr>
          <w:szCs w:val="24"/>
        </w:rPr>
        <w:t>for volume fraction as</w:t>
      </w:r>
      <w:r w:rsidR="00D10341">
        <w:rPr>
          <w:szCs w:val="24"/>
        </w:rPr>
        <w:t xml:space="preserve"> </w:t>
      </w:r>
      <w:r w:rsidRPr="00B907B4">
        <w:rPr>
          <w:szCs w:val="24"/>
        </w:rPr>
        <w:t>solution parameters. Non-iterative time advancement first order implicit transient formulation was also taken into account. The convergence condition for continuity and velocities were fixed as 10</w:t>
      </w:r>
      <w:r w:rsidRPr="00BC7498">
        <w:rPr>
          <w:szCs w:val="24"/>
          <w:vertAlign w:val="superscript"/>
        </w:rPr>
        <w:t>-3</w:t>
      </w:r>
      <w:r w:rsidRPr="00B907B4">
        <w:rPr>
          <w:szCs w:val="24"/>
        </w:rPr>
        <w:t>. The simulations we</w:t>
      </w:r>
      <w:r w:rsidR="00E33258">
        <w:rPr>
          <w:szCs w:val="24"/>
        </w:rPr>
        <w:t>re carried out on a workstation</w:t>
      </w:r>
      <w:bookmarkStart w:id="3" w:name="_GoBack"/>
      <w:bookmarkEnd w:id="3"/>
      <w:r w:rsidR="00E33258">
        <w:rPr>
          <w:szCs w:val="24"/>
        </w:rPr>
        <w:t>.</w:t>
      </w:r>
      <w:r>
        <w:rPr>
          <w:szCs w:val="24"/>
        </w:rPr>
        <w:t xml:space="preserve"> </w:t>
      </w:r>
    </w:p>
    <w:p w:rsidR="00257DC3" w:rsidRDefault="00257DC3" w:rsidP="00942EA6">
      <w:pPr>
        <w:ind w:firstLine="397"/>
        <w:contextualSpacing/>
        <w:mirrorIndents/>
        <w:rPr>
          <w:szCs w:val="24"/>
        </w:rPr>
      </w:pPr>
    </w:p>
    <w:p w:rsidR="00175432" w:rsidRPr="00D02AAB" w:rsidRDefault="00257DC3" w:rsidP="00D02AAB">
      <w:pPr>
        <w:pStyle w:val="ListParagraph"/>
        <w:numPr>
          <w:ilvl w:val="0"/>
          <w:numId w:val="18"/>
        </w:numPr>
        <w:mirrorIndents/>
        <w:rPr>
          <w:rFonts w:ascii="Arial" w:hAnsi="Arial" w:cs="Arial"/>
          <w:b/>
          <w:szCs w:val="24"/>
        </w:rPr>
      </w:pPr>
      <w:r w:rsidRPr="00257DC3">
        <w:rPr>
          <w:rFonts w:ascii="Arial" w:hAnsi="Arial" w:cs="Arial"/>
          <w:b/>
          <w:szCs w:val="24"/>
        </w:rPr>
        <w:t xml:space="preserve">Results and Discussion </w:t>
      </w:r>
    </w:p>
    <w:p w:rsidR="00D02AAB" w:rsidRDefault="00D02AAB" w:rsidP="00175432">
      <w:pPr>
        <w:ind w:firstLine="397"/>
        <w:contextualSpacing/>
        <w:mirrorIndents/>
        <w:rPr>
          <w:szCs w:val="24"/>
        </w:rPr>
      </w:pPr>
    </w:p>
    <w:p w:rsidR="00257DC3" w:rsidRDefault="00257DC3" w:rsidP="00175432">
      <w:pPr>
        <w:ind w:firstLine="397"/>
        <w:contextualSpacing/>
        <w:mirrorIndents/>
        <w:rPr>
          <w:szCs w:val="24"/>
        </w:rPr>
      </w:pPr>
      <w:r w:rsidRPr="00257DC3">
        <w:rPr>
          <w:szCs w:val="24"/>
        </w:rPr>
        <w:t>A rectangular channel of hydraulic diameter 1 mm and 50 mm length with 3 mm side entry length was used in this investigation. The slug velocities of fluids were taken from 0.0025 to 0.50 m/s. The properties of working fluids used in this study have already been shown in Table1.</w:t>
      </w:r>
    </w:p>
    <w:p w:rsidR="00257DC3" w:rsidRDefault="00257DC3" w:rsidP="00942EA6">
      <w:pPr>
        <w:ind w:firstLine="397"/>
        <w:contextualSpacing/>
        <w:mirrorIndents/>
        <w:rPr>
          <w:szCs w:val="24"/>
        </w:rPr>
      </w:pPr>
    </w:p>
    <w:p w:rsidR="00175432" w:rsidRPr="00D02AAB" w:rsidRDefault="00257DC3" w:rsidP="00D02AAB">
      <w:pPr>
        <w:pStyle w:val="ListParagraph"/>
        <w:numPr>
          <w:ilvl w:val="0"/>
          <w:numId w:val="23"/>
        </w:numPr>
        <w:mirrorIndents/>
        <w:rPr>
          <w:rFonts w:ascii="Arial" w:hAnsi="Arial" w:cs="Arial"/>
          <w:b/>
          <w:szCs w:val="24"/>
        </w:rPr>
      </w:pPr>
      <w:r>
        <w:rPr>
          <w:rFonts w:ascii="Arial" w:hAnsi="Arial" w:cs="Arial"/>
          <w:b/>
          <w:szCs w:val="24"/>
        </w:rPr>
        <w:t xml:space="preserve"> </w:t>
      </w:r>
      <w:r w:rsidRPr="00257DC3">
        <w:rPr>
          <w:rFonts w:ascii="Arial" w:hAnsi="Arial" w:cs="Arial"/>
          <w:b/>
          <w:szCs w:val="24"/>
        </w:rPr>
        <w:t xml:space="preserve">Effect of flow rate on slug formations: </w:t>
      </w:r>
    </w:p>
    <w:p w:rsidR="00D02AAB" w:rsidRDefault="00D02AAB" w:rsidP="00175432">
      <w:pPr>
        <w:ind w:firstLine="397"/>
        <w:contextualSpacing/>
        <w:mirrorIndents/>
        <w:rPr>
          <w:szCs w:val="24"/>
        </w:rPr>
      </w:pPr>
    </w:p>
    <w:p w:rsidR="00A427C8" w:rsidRPr="00A427C8" w:rsidRDefault="00A427C8" w:rsidP="00175432">
      <w:pPr>
        <w:ind w:firstLine="397"/>
        <w:contextualSpacing/>
        <w:mirrorIndents/>
        <w:rPr>
          <w:szCs w:val="24"/>
        </w:rPr>
      </w:pPr>
      <w:r w:rsidRPr="00A427C8">
        <w:rPr>
          <w:szCs w:val="24"/>
        </w:rPr>
        <w:t>The slug volume is</w:t>
      </w:r>
      <w:r w:rsidR="00666120">
        <w:rPr>
          <w:szCs w:val="24"/>
        </w:rPr>
        <w:t xml:space="preserve"> the important </w:t>
      </w:r>
      <w:r w:rsidRPr="00A427C8">
        <w:rPr>
          <w:szCs w:val="24"/>
        </w:rPr>
        <w:t>parameters in two phase flow for determination of mass transfer between the slugs in microchannels</w:t>
      </w:r>
      <w:r w:rsidR="00637FAD">
        <w:rPr>
          <w:szCs w:val="24"/>
        </w:rPr>
        <w:t xml:space="preserve"> [2]</w:t>
      </w:r>
      <w:r w:rsidRPr="00A427C8">
        <w:rPr>
          <w:szCs w:val="24"/>
        </w:rPr>
        <w:t xml:space="preserve">. As evident from literature, </w:t>
      </w:r>
      <w:r w:rsidR="00252FB6">
        <w:rPr>
          <w:szCs w:val="24"/>
        </w:rPr>
        <w:t>some</w:t>
      </w:r>
      <w:r w:rsidRPr="00A427C8">
        <w:rPr>
          <w:szCs w:val="24"/>
        </w:rPr>
        <w:t xml:space="preserve"> </w:t>
      </w:r>
      <w:r w:rsidR="00252FB6">
        <w:rPr>
          <w:szCs w:val="24"/>
        </w:rPr>
        <w:t>researcher</w:t>
      </w:r>
      <w:r w:rsidRPr="00A427C8">
        <w:rPr>
          <w:szCs w:val="24"/>
        </w:rPr>
        <w:t xml:space="preserve">s have developed correlations for estimation of slug size, which are in terms of flow ratio of fluids, diameter of channel, volume fraction and physical properties of fluids. In this study, the </w:t>
      </w:r>
      <w:r w:rsidR="00666120">
        <w:rPr>
          <w:szCs w:val="24"/>
        </w:rPr>
        <w:t>effect of gas flow rate on slugs was</w:t>
      </w:r>
      <w:r w:rsidRPr="00A427C8">
        <w:rPr>
          <w:szCs w:val="24"/>
        </w:rPr>
        <w:t xml:space="preserve"> investigated, which is </w:t>
      </w:r>
      <w:r w:rsidR="00252FB6" w:rsidRPr="00A427C8">
        <w:rPr>
          <w:szCs w:val="24"/>
        </w:rPr>
        <w:t>presented</w:t>
      </w:r>
      <w:r w:rsidRPr="00A427C8">
        <w:rPr>
          <w:szCs w:val="24"/>
        </w:rPr>
        <w:t xml:space="preserve"> in Fig. 2. The result obtained from simulation are plotted and correlated with [21, 22]. It was observed that the slug length decreases linearly with gas velocity at constant liquid velocity. The results obtained were compared with the available data in literature and it was observed that the trends found in this study are in line with that predicted by [22]. </w:t>
      </w:r>
    </w:p>
    <w:p w:rsidR="00A427C8" w:rsidRPr="00ED443A" w:rsidRDefault="001C4B5F" w:rsidP="00A427C8">
      <w:pPr>
        <w:pStyle w:val="section"/>
        <w:numPr>
          <w:ilvl w:val="0"/>
          <w:numId w:val="0"/>
        </w:numPr>
        <w:jc w:val="center"/>
        <w:rPr>
          <w:rFonts w:ascii="Times New Roman" w:hAnsi="Times New Roman"/>
          <w:color w:val="FF0000"/>
        </w:rPr>
      </w:pPr>
      <w:r>
        <w:object w:dxaOrig="6547" w:dyaOrig="5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pt;height:178.75pt" o:ole="">
            <v:imagedata r:id="rId12" o:title=""/>
          </v:shape>
          <o:OLEObject Type="Embed" ProgID="SigmaPlotGraphicObject.9" ShapeID="_x0000_i1025" DrawAspect="Content" ObjectID="_1607417872" r:id="rId13"/>
        </w:object>
      </w:r>
    </w:p>
    <w:p w:rsidR="00DF7794" w:rsidRPr="00DF7794" w:rsidRDefault="00A427C8" w:rsidP="00DF7794">
      <w:pPr>
        <w:spacing w:line="360" w:lineRule="auto"/>
        <w:jc w:val="center"/>
      </w:pPr>
      <w:r>
        <w:t>Fig. 2</w:t>
      </w:r>
      <w:r w:rsidRPr="00023435">
        <w:t xml:space="preserve">: </w:t>
      </w:r>
      <w:r w:rsidR="006501CE">
        <w:t>E</w:t>
      </w:r>
      <w:r>
        <w:t>ffect of</w:t>
      </w:r>
      <w:r w:rsidRPr="00023435">
        <w:t xml:space="preserve"> gas velocity</w:t>
      </w:r>
      <w:r>
        <w:t xml:space="preserve"> on slug length</w:t>
      </w:r>
      <w:r w:rsidRPr="00023435">
        <w:t xml:space="preserve"> at </w:t>
      </w:r>
      <w:r>
        <w:t>constant</w:t>
      </w:r>
      <w:r w:rsidRPr="00023435">
        <w:t xml:space="preserve"> liquid velocity, U</w:t>
      </w:r>
      <w:r w:rsidRPr="00023435">
        <w:rPr>
          <w:vertAlign w:val="subscript"/>
        </w:rPr>
        <w:t>L</w:t>
      </w:r>
      <w:r w:rsidRPr="00023435">
        <w:t>= 0.0</w:t>
      </w:r>
      <w:r>
        <w:t>2</w:t>
      </w:r>
      <w:r w:rsidRPr="00023435">
        <w:t>5 m</w:t>
      </w:r>
      <w:r>
        <w:t>/</w:t>
      </w:r>
      <w:r w:rsidRPr="00023435">
        <w:t>s</w:t>
      </w:r>
    </w:p>
    <w:p w:rsidR="00A427C8" w:rsidRDefault="00A427C8" w:rsidP="00A427C8">
      <w:pPr>
        <w:rPr>
          <w:szCs w:val="24"/>
        </w:rPr>
      </w:pPr>
      <w:r w:rsidRPr="005749F2">
        <w:rPr>
          <w:szCs w:val="24"/>
        </w:rPr>
        <w:t xml:space="preserve">Further, the effect of flow ratio on slug volume for furfural and </w:t>
      </w:r>
      <w:proofErr w:type="spellStart"/>
      <w:r w:rsidRPr="005749F2">
        <w:rPr>
          <w:szCs w:val="24"/>
        </w:rPr>
        <w:t>iso</w:t>
      </w:r>
      <w:proofErr w:type="spellEnd"/>
      <w:r w:rsidRPr="005749F2">
        <w:rPr>
          <w:szCs w:val="24"/>
        </w:rPr>
        <w:t xml:space="preserve">-octane </w:t>
      </w:r>
      <w:r>
        <w:rPr>
          <w:szCs w:val="24"/>
        </w:rPr>
        <w:t xml:space="preserve">were </w:t>
      </w:r>
      <w:r w:rsidRPr="005749F2">
        <w:rPr>
          <w:szCs w:val="24"/>
        </w:rPr>
        <w:t>studied and</w:t>
      </w:r>
      <w:r>
        <w:rPr>
          <w:szCs w:val="24"/>
        </w:rPr>
        <w:t xml:space="preserve"> results obtained were </w:t>
      </w:r>
      <w:r w:rsidRPr="005749F2">
        <w:rPr>
          <w:szCs w:val="24"/>
        </w:rPr>
        <w:t>compared with</w:t>
      </w:r>
      <w:r>
        <w:rPr>
          <w:szCs w:val="24"/>
        </w:rPr>
        <w:t xml:space="preserve"> data due to</w:t>
      </w:r>
      <w:r w:rsidRPr="005749F2">
        <w:rPr>
          <w:szCs w:val="24"/>
        </w:rPr>
        <w:t xml:space="preserve"> </w:t>
      </w:r>
      <w:proofErr w:type="spellStart"/>
      <w:r w:rsidRPr="00D83E4C">
        <w:rPr>
          <w:szCs w:val="24"/>
        </w:rPr>
        <w:t>Kashid</w:t>
      </w:r>
      <w:proofErr w:type="spellEnd"/>
      <w:r>
        <w:rPr>
          <w:szCs w:val="24"/>
        </w:rPr>
        <w:t xml:space="preserve"> and Agar </w:t>
      </w:r>
      <w:r w:rsidRPr="00D83E4C">
        <w:rPr>
          <w:szCs w:val="24"/>
        </w:rPr>
        <w:t>[1]</w:t>
      </w:r>
      <w:r>
        <w:rPr>
          <w:szCs w:val="24"/>
        </w:rPr>
        <w:t xml:space="preserve">, </w:t>
      </w:r>
      <w:r w:rsidR="00666120">
        <w:rPr>
          <w:szCs w:val="24"/>
        </w:rPr>
        <w:t>presented</w:t>
      </w:r>
      <w:r>
        <w:rPr>
          <w:szCs w:val="24"/>
        </w:rPr>
        <w:t xml:space="preserve"> in Fig. 3</w:t>
      </w:r>
      <w:r w:rsidRPr="005749F2">
        <w:rPr>
          <w:szCs w:val="24"/>
        </w:rPr>
        <w:t>(a)</w:t>
      </w:r>
      <w:r>
        <w:rPr>
          <w:szCs w:val="24"/>
        </w:rPr>
        <w:t xml:space="preserve">. It is clearly depicted from the figure that the trend is similar with </w:t>
      </w:r>
      <w:r w:rsidRPr="005749F2">
        <w:rPr>
          <w:szCs w:val="24"/>
        </w:rPr>
        <w:t xml:space="preserve">almost equal decrement of slug volume but the value of slug volume </w:t>
      </w:r>
      <w:r>
        <w:rPr>
          <w:szCs w:val="24"/>
        </w:rPr>
        <w:t xml:space="preserve">is </w:t>
      </w:r>
      <w:r w:rsidRPr="005749F2">
        <w:rPr>
          <w:szCs w:val="24"/>
        </w:rPr>
        <w:t xml:space="preserve">little more than </w:t>
      </w:r>
      <w:r>
        <w:rPr>
          <w:szCs w:val="24"/>
        </w:rPr>
        <w:t xml:space="preserve">that of [1]. This variation might be due the change in fluid </w:t>
      </w:r>
      <w:r w:rsidRPr="005749F2">
        <w:rPr>
          <w:szCs w:val="24"/>
        </w:rPr>
        <w:t>(cyclohexane-water system)</w:t>
      </w:r>
      <w:r>
        <w:rPr>
          <w:szCs w:val="24"/>
        </w:rPr>
        <w:t xml:space="preserve">. </w:t>
      </w:r>
      <w:r w:rsidRPr="005749F2">
        <w:rPr>
          <w:szCs w:val="24"/>
        </w:rPr>
        <w:t xml:space="preserve"> </w:t>
      </w:r>
      <w:r>
        <w:rPr>
          <w:szCs w:val="24"/>
        </w:rPr>
        <w:t>Further, t</w:t>
      </w:r>
      <w:r w:rsidRPr="005749F2">
        <w:rPr>
          <w:szCs w:val="24"/>
        </w:rPr>
        <w:t xml:space="preserve">he </w:t>
      </w:r>
      <w:r>
        <w:rPr>
          <w:szCs w:val="24"/>
        </w:rPr>
        <w:t>f</w:t>
      </w:r>
      <w:r w:rsidRPr="005749F2">
        <w:rPr>
          <w:szCs w:val="24"/>
        </w:rPr>
        <w:t>igure</w:t>
      </w:r>
      <w:r>
        <w:rPr>
          <w:szCs w:val="24"/>
        </w:rPr>
        <w:t xml:space="preserve"> also</w:t>
      </w:r>
      <w:r w:rsidRPr="005749F2">
        <w:rPr>
          <w:szCs w:val="24"/>
        </w:rPr>
        <w:t xml:space="preserve"> depict that the slug volume decreases with the increment of slug velocity because </w:t>
      </w:r>
      <w:r>
        <w:rPr>
          <w:szCs w:val="24"/>
        </w:rPr>
        <w:t xml:space="preserve">of </w:t>
      </w:r>
      <w:r w:rsidRPr="005749F2">
        <w:rPr>
          <w:szCs w:val="24"/>
        </w:rPr>
        <w:t>rapid penetration of one phase into others</w:t>
      </w:r>
      <w:r>
        <w:rPr>
          <w:szCs w:val="24"/>
        </w:rPr>
        <w:t xml:space="preserve">, which leads to </w:t>
      </w:r>
      <w:r w:rsidRPr="005749F2">
        <w:rPr>
          <w:szCs w:val="24"/>
        </w:rPr>
        <w:t xml:space="preserve">high interfacial area </w:t>
      </w:r>
      <w:r>
        <w:rPr>
          <w:szCs w:val="24"/>
        </w:rPr>
        <w:t>and thus resulted enhancement in</w:t>
      </w:r>
      <w:r w:rsidRPr="005749F2">
        <w:rPr>
          <w:szCs w:val="24"/>
        </w:rPr>
        <w:t xml:space="preserve"> rate of mass transfer between </w:t>
      </w:r>
      <w:r w:rsidRPr="005749F2">
        <w:rPr>
          <w:szCs w:val="24"/>
        </w:rPr>
        <w:lastRenderedPageBreak/>
        <w:t xml:space="preserve">slugs </w:t>
      </w:r>
      <w:r>
        <w:rPr>
          <w:szCs w:val="24"/>
        </w:rPr>
        <w:t xml:space="preserve">at </w:t>
      </w:r>
      <w:r w:rsidRPr="005749F2">
        <w:rPr>
          <w:szCs w:val="24"/>
        </w:rPr>
        <w:t xml:space="preserve">given flow rate. </w:t>
      </w:r>
      <w:r>
        <w:rPr>
          <w:szCs w:val="24"/>
        </w:rPr>
        <w:t xml:space="preserve">In addition, the effect of flow ratios on slug volume was also studied. </w:t>
      </w:r>
      <w:r w:rsidRPr="005749F2">
        <w:rPr>
          <w:szCs w:val="24"/>
        </w:rPr>
        <w:t>Three different flow ratios were taken i.e. 1</w:t>
      </w:r>
      <w:r>
        <w:rPr>
          <w:szCs w:val="24"/>
        </w:rPr>
        <w:t>, 2 and 3, as shown in Fig. 3</w:t>
      </w:r>
      <w:r w:rsidRPr="005749F2">
        <w:rPr>
          <w:szCs w:val="24"/>
        </w:rPr>
        <w:t>(b)</w:t>
      </w:r>
      <w:r>
        <w:rPr>
          <w:szCs w:val="24"/>
        </w:rPr>
        <w:t xml:space="preserve">. It was </w:t>
      </w:r>
      <w:r w:rsidRPr="005749F2">
        <w:rPr>
          <w:szCs w:val="24"/>
        </w:rPr>
        <w:t>observed that the slu</w:t>
      </w:r>
      <w:r>
        <w:rPr>
          <w:szCs w:val="24"/>
        </w:rPr>
        <w:t xml:space="preserve">g volume decreases more rapidly </w:t>
      </w:r>
      <w:r w:rsidRPr="005749F2">
        <w:rPr>
          <w:szCs w:val="24"/>
        </w:rPr>
        <w:t>with increasing flow ratio and thus high mass transfer rates between adjacent slugs were achieved.</w:t>
      </w:r>
    </w:p>
    <w:p w:rsidR="00BC7498" w:rsidRPr="005749F2" w:rsidRDefault="00BC7498" w:rsidP="00A427C8">
      <w:pPr>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666"/>
      </w:tblGrid>
      <w:tr w:rsidR="00A427C8" w:rsidTr="001C4B5F">
        <w:trPr>
          <w:trHeight w:val="2977"/>
          <w:jc w:val="center"/>
        </w:trPr>
        <w:tc>
          <w:tcPr>
            <w:tcW w:w="4785" w:type="dxa"/>
          </w:tcPr>
          <w:p w:rsidR="00A427C8" w:rsidRPr="00023435" w:rsidRDefault="00A427C8" w:rsidP="00C53299">
            <w:pPr>
              <w:spacing w:line="360" w:lineRule="auto"/>
              <w:jc w:val="center"/>
            </w:pPr>
            <w:r w:rsidRPr="00023435">
              <w:object w:dxaOrig="6667" w:dyaOrig="5116">
                <v:shape id="_x0000_i1026" type="#_x0000_t75" style="width:206.05pt;height:179.6pt" o:ole="">
                  <v:imagedata r:id="rId14" o:title=""/>
                </v:shape>
                <o:OLEObject Type="Embed" ProgID="SigmaPlotGraphicObject.9" ShapeID="_x0000_i1026" DrawAspect="Content" ObjectID="_1607417873" r:id="rId15"/>
              </w:object>
            </w:r>
            <w:r w:rsidRPr="00023435">
              <w:t>(a)</w:t>
            </w:r>
          </w:p>
        </w:tc>
        <w:tc>
          <w:tcPr>
            <w:tcW w:w="4666" w:type="dxa"/>
          </w:tcPr>
          <w:p w:rsidR="00A427C8" w:rsidRPr="00023435" w:rsidRDefault="001C4B5F" w:rsidP="00C53299">
            <w:pPr>
              <w:spacing w:line="360" w:lineRule="auto"/>
              <w:jc w:val="center"/>
            </w:pPr>
            <w:r w:rsidRPr="00023435">
              <w:object w:dxaOrig="6526" w:dyaOrig="5086">
                <v:shape id="_x0000_i1027" type="#_x0000_t75" style="width:203.6pt;height:175.45pt" o:ole="">
                  <v:imagedata r:id="rId16" o:title=""/>
                </v:shape>
                <o:OLEObject Type="Embed" ProgID="SigmaPlotGraphicObject.9" ShapeID="_x0000_i1027" DrawAspect="Content" ObjectID="_1607417874" r:id="rId17"/>
              </w:object>
            </w:r>
            <w:r w:rsidR="00A427C8" w:rsidRPr="00023435">
              <w:t>(b)</w:t>
            </w:r>
          </w:p>
        </w:tc>
      </w:tr>
    </w:tbl>
    <w:p w:rsidR="00DF7794" w:rsidRDefault="00DF7794" w:rsidP="00A427C8">
      <w:pPr>
        <w:pStyle w:val="ListParagraph"/>
        <w:ind w:left="851" w:firstLine="0"/>
        <w:mirrorIndents/>
        <w:jc w:val="left"/>
        <w:rPr>
          <w:bCs/>
        </w:rPr>
      </w:pPr>
    </w:p>
    <w:p w:rsidR="00A427C8" w:rsidRDefault="00A427C8" w:rsidP="00A427C8">
      <w:pPr>
        <w:pStyle w:val="ListParagraph"/>
        <w:ind w:left="851" w:firstLine="0"/>
        <w:mirrorIndents/>
        <w:jc w:val="left"/>
        <w:rPr>
          <w:bCs/>
        </w:rPr>
      </w:pPr>
      <w:r>
        <w:rPr>
          <w:bCs/>
        </w:rPr>
        <w:t>Fig. 3</w:t>
      </w:r>
      <w:r w:rsidRPr="00AF06CF">
        <w:rPr>
          <w:bCs/>
        </w:rPr>
        <w:t xml:space="preserve">: </w:t>
      </w:r>
      <w:r w:rsidR="006501CE">
        <w:rPr>
          <w:bCs/>
        </w:rPr>
        <w:t>E</w:t>
      </w:r>
      <w:r>
        <w:rPr>
          <w:bCs/>
        </w:rPr>
        <w:t>ffect of flow rate on slug volume</w:t>
      </w:r>
      <w:r w:rsidRPr="00AF06CF">
        <w:rPr>
          <w:bCs/>
        </w:rPr>
        <w:t xml:space="preserve"> (a) identical flow rate (b) different flow ratio</w:t>
      </w:r>
    </w:p>
    <w:p w:rsidR="00A427C8" w:rsidRDefault="00A427C8" w:rsidP="00A427C8">
      <w:pPr>
        <w:pStyle w:val="ListParagraph"/>
        <w:ind w:left="851" w:firstLine="0"/>
        <w:mirrorIndents/>
        <w:jc w:val="left"/>
        <w:rPr>
          <w:rFonts w:ascii="Arial" w:hAnsi="Arial" w:cs="Arial"/>
          <w:bCs/>
          <w:szCs w:val="24"/>
        </w:rPr>
      </w:pPr>
    </w:p>
    <w:p w:rsidR="00175432" w:rsidRPr="00175432" w:rsidRDefault="00A427C8" w:rsidP="00175432">
      <w:pPr>
        <w:pStyle w:val="ListParagraph"/>
        <w:numPr>
          <w:ilvl w:val="0"/>
          <w:numId w:val="23"/>
        </w:numPr>
        <w:ind w:left="426"/>
        <w:mirrorIndents/>
        <w:rPr>
          <w:rFonts w:ascii="Arial" w:hAnsi="Arial" w:cs="Arial"/>
          <w:b/>
          <w:szCs w:val="24"/>
        </w:rPr>
      </w:pPr>
      <w:r>
        <w:rPr>
          <w:rFonts w:ascii="Arial" w:hAnsi="Arial" w:cs="Arial"/>
          <w:b/>
          <w:szCs w:val="24"/>
        </w:rPr>
        <w:t xml:space="preserve"> </w:t>
      </w:r>
      <w:r w:rsidRPr="00A427C8">
        <w:rPr>
          <w:rFonts w:ascii="Arial" w:hAnsi="Arial" w:cs="Arial"/>
          <w:b/>
          <w:szCs w:val="24"/>
        </w:rPr>
        <w:t>Comparison of 3D and 2D model:</w:t>
      </w:r>
    </w:p>
    <w:p w:rsidR="00175432" w:rsidRDefault="00175432" w:rsidP="00175432">
      <w:pPr>
        <w:ind w:firstLine="397"/>
        <w:contextualSpacing/>
        <w:mirrorIndents/>
        <w:rPr>
          <w:bCs/>
          <w:szCs w:val="24"/>
        </w:rPr>
      </w:pPr>
    </w:p>
    <w:p w:rsidR="00014FDD" w:rsidRDefault="00014FDD" w:rsidP="00175432">
      <w:pPr>
        <w:ind w:firstLine="397"/>
        <w:contextualSpacing/>
        <w:mirrorIndents/>
        <w:rPr>
          <w:bCs/>
          <w:szCs w:val="24"/>
        </w:rPr>
      </w:pPr>
      <w:r w:rsidRPr="00014FDD">
        <w:rPr>
          <w:bCs/>
          <w:szCs w:val="24"/>
        </w:rPr>
        <w:t xml:space="preserve">The total pressure drop in the two phase slug flow has mainly due to two forces: (a) pressure drop due to viscous force and (b) pressure drop due to interfacial tension (Laplace pressure). The total pressure drop in 2D model was less than the 3D model because in 2D only one radius of curvature captured, therefore </w:t>
      </w:r>
      <w:r w:rsidRPr="00014FDD">
        <w:rPr>
          <w:bCs/>
          <w:szCs w:val="24"/>
          <w:lang w:val="en-IN"/>
        </w:rPr>
        <w:t>interfacial tension is just half o</w:t>
      </w:r>
      <w:r w:rsidRPr="00014FDD">
        <w:rPr>
          <w:bCs/>
          <w:szCs w:val="24"/>
        </w:rPr>
        <w:t>f 3D model as shown in Fig. 4.</w:t>
      </w:r>
    </w:p>
    <w:p w:rsidR="00DF7794" w:rsidRPr="00014FDD" w:rsidRDefault="00DF7794" w:rsidP="00175432">
      <w:pPr>
        <w:ind w:firstLine="397"/>
        <w:contextualSpacing/>
        <w:mirrorIndents/>
        <w:rPr>
          <w:bCs/>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4672"/>
      </w:tblGrid>
      <w:tr w:rsidR="00014FDD" w:rsidRPr="00014FDD" w:rsidTr="00014FDD">
        <w:trPr>
          <w:jc w:val="center"/>
        </w:trPr>
        <w:tc>
          <w:tcPr>
            <w:tcW w:w="4615"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1E3790EF" wp14:editId="54BFE888">
                  <wp:extent cx="2638425" cy="1943100"/>
                  <wp:effectExtent l="0" t="0" r="9525" b="0"/>
                  <wp:docPr id="7" name="Picture 1" descr="C:\Users\HP\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icture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1663" cy="1945485"/>
                          </a:xfrm>
                          <a:prstGeom prst="rect">
                            <a:avLst/>
                          </a:prstGeom>
                          <a:noFill/>
                          <a:ln>
                            <a:noFill/>
                          </a:ln>
                        </pic:spPr>
                      </pic:pic>
                    </a:graphicData>
                  </a:graphic>
                </wp:inline>
              </w:drawing>
            </w:r>
          </w:p>
        </w:tc>
        <w:tc>
          <w:tcPr>
            <w:tcW w:w="4672"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61487CBA" wp14:editId="34E5C4D0">
                  <wp:extent cx="2686050" cy="194124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91221" cy="1944985"/>
                          </a:xfrm>
                          <a:prstGeom prst="rect">
                            <a:avLst/>
                          </a:prstGeom>
                          <a:noFill/>
                          <a:ln w="9525">
                            <a:noFill/>
                            <a:miter lim="800000"/>
                            <a:headEnd/>
                            <a:tailEnd/>
                          </a:ln>
                        </pic:spPr>
                      </pic:pic>
                    </a:graphicData>
                  </a:graphic>
                </wp:inline>
              </w:drawing>
            </w:r>
          </w:p>
        </w:tc>
      </w:tr>
    </w:tbl>
    <w:p w:rsidR="00DF7794" w:rsidRDefault="00DF7794" w:rsidP="00014FDD">
      <w:pPr>
        <w:ind w:firstLine="397"/>
        <w:contextualSpacing/>
        <w:mirrorIndents/>
        <w:rPr>
          <w:szCs w:val="24"/>
          <w:lang w:val="en-IN"/>
        </w:rPr>
      </w:pPr>
    </w:p>
    <w:p w:rsidR="00014FDD" w:rsidRPr="00014FDD" w:rsidRDefault="00014FDD" w:rsidP="00DF7794">
      <w:pPr>
        <w:ind w:left="1134" w:hanging="737"/>
        <w:contextualSpacing/>
        <w:mirrorIndents/>
        <w:rPr>
          <w:szCs w:val="24"/>
          <w:lang w:val="en-IN"/>
        </w:rPr>
      </w:pPr>
      <w:r w:rsidRPr="00014FDD">
        <w:rPr>
          <w:szCs w:val="24"/>
          <w:lang w:val="en-IN"/>
        </w:rPr>
        <w:t>Fig. 4: Static pressure variation in the microchannel for (a) 3D (b) 2D T-junction microchannel (U</w:t>
      </w:r>
      <w:r w:rsidRPr="00014FDD">
        <w:rPr>
          <w:szCs w:val="24"/>
          <w:vertAlign w:val="subscript"/>
          <w:lang w:val="en-IN"/>
        </w:rPr>
        <w:t xml:space="preserve">G </w:t>
      </w:r>
      <w:r w:rsidRPr="00014FDD">
        <w:rPr>
          <w:szCs w:val="24"/>
          <w:lang w:val="en-IN"/>
        </w:rPr>
        <w:t>= U</w:t>
      </w:r>
      <w:r w:rsidRPr="00014FDD">
        <w:rPr>
          <w:szCs w:val="24"/>
          <w:vertAlign w:val="subscript"/>
          <w:lang w:val="en-IN"/>
        </w:rPr>
        <w:t>L</w:t>
      </w:r>
      <w:r w:rsidRPr="00014FDD">
        <w:rPr>
          <w:szCs w:val="24"/>
          <w:lang w:val="en-IN"/>
        </w:rPr>
        <w:t xml:space="preserve">= 0.025 m/s, </w:t>
      </w:r>
      <w:r w:rsidR="00252FB6" w:rsidRPr="00252FB6">
        <w:rPr>
          <w:szCs w:val="24"/>
          <w:lang w:val="en-IN"/>
        </w:rPr>
        <w:t xml:space="preserve">interfacial tension </w:t>
      </w:r>
      <w:r w:rsidR="00252FB6">
        <w:rPr>
          <w:szCs w:val="24"/>
          <w:lang w:val="en-IN"/>
        </w:rPr>
        <w:t>(</w:t>
      </w:r>
      <w:r w:rsidR="00252FB6" w:rsidRPr="00252FB6">
        <w:rPr>
          <w:szCs w:val="24"/>
          <w:lang w:val="en-IN"/>
        </w:rPr>
        <w:t>σ</w:t>
      </w:r>
      <w:r w:rsidR="00252FB6">
        <w:rPr>
          <w:szCs w:val="24"/>
          <w:lang w:val="en-IN"/>
        </w:rPr>
        <w:t>)</w:t>
      </w:r>
      <w:r w:rsidRPr="00014FDD">
        <w:rPr>
          <w:szCs w:val="24"/>
          <w:lang w:val="en-IN"/>
        </w:rPr>
        <w:t xml:space="preserve"> = 0.072 N/m and θ = 90°)</w:t>
      </w:r>
    </w:p>
    <w:p w:rsidR="00A47C1A" w:rsidRDefault="00A47C1A" w:rsidP="00942EA6">
      <w:pPr>
        <w:ind w:firstLine="397"/>
        <w:contextualSpacing/>
        <w:mirrorIndents/>
        <w:rPr>
          <w:szCs w:val="24"/>
        </w:rPr>
      </w:pPr>
    </w:p>
    <w:p w:rsidR="001675D0" w:rsidRPr="00205179" w:rsidRDefault="001675D0" w:rsidP="00942EA6">
      <w:pPr>
        <w:ind w:firstLine="397"/>
        <w:contextualSpacing/>
        <w:mirrorIndents/>
        <w:rPr>
          <w:szCs w:val="24"/>
        </w:rPr>
      </w:pPr>
    </w:p>
    <w:p w:rsidR="00175432" w:rsidRPr="00175432" w:rsidRDefault="00014FDD" w:rsidP="00175432">
      <w:pPr>
        <w:pStyle w:val="ListParagraph"/>
        <w:numPr>
          <w:ilvl w:val="0"/>
          <w:numId w:val="23"/>
        </w:numPr>
        <w:ind w:left="426"/>
        <w:mirrorIndents/>
        <w:rPr>
          <w:rFonts w:ascii="Arial" w:hAnsi="Arial" w:cs="Arial"/>
          <w:b/>
          <w:szCs w:val="24"/>
        </w:rPr>
      </w:pPr>
      <w:r>
        <w:rPr>
          <w:rFonts w:ascii="Arial" w:hAnsi="Arial" w:cs="Arial"/>
          <w:b/>
          <w:szCs w:val="24"/>
        </w:rPr>
        <w:t xml:space="preserve"> </w:t>
      </w:r>
      <w:r w:rsidRPr="00014FDD">
        <w:rPr>
          <w:rFonts w:ascii="Arial" w:hAnsi="Arial" w:cs="Arial"/>
          <w:b/>
          <w:szCs w:val="24"/>
        </w:rPr>
        <w:t>Effect of fluids on slug flow:</w:t>
      </w:r>
    </w:p>
    <w:p w:rsidR="00175432" w:rsidRDefault="00175432" w:rsidP="00014FDD">
      <w:pPr>
        <w:ind w:firstLine="397"/>
        <w:contextualSpacing/>
        <w:mirrorIndents/>
        <w:rPr>
          <w:bCs/>
          <w:szCs w:val="24"/>
        </w:rPr>
      </w:pPr>
    </w:p>
    <w:p w:rsidR="00014FDD" w:rsidRDefault="00014FDD" w:rsidP="00014FDD">
      <w:pPr>
        <w:ind w:firstLine="397"/>
        <w:contextualSpacing/>
        <w:mirrorIndents/>
        <w:rPr>
          <w:bCs/>
          <w:szCs w:val="24"/>
        </w:rPr>
      </w:pPr>
      <w:r w:rsidRPr="00014FDD">
        <w:rPr>
          <w:bCs/>
          <w:szCs w:val="24"/>
        </w:rPr>
        <w:t xml:space="preserve">A simulation of varying fluids was carried out on hydrodynamics of </w:t>
      </w:r>
      <w:r w:rsidR="004E62ED">
        <w:rPr>
          <w:bCs/>
          <w:szCs w:val="24"/>
        </w:rPr>
        <w:t xml:space="preserve">two phase </w:t>
      </w:r>
      <w:r w:rsidRPr="00014FDD">
        <w:rPr>
          <w:bCs/>
          <w:szCs w:val="24"/>
        </w:rPr>
        <w:t>flow</w:t>
      </w:r>
      <w:r w:rsidR="004E62ED">
        <w:rPr>
          <w:bCs/>
          <w:szCs w:val="24"/>
        </w:rPr>
        <w:t xml:space="preserve"> mainly slug flow</w:t>
      </w:r>
      <w:r w:rsidRPr="00014FDD">
        <w:rPr>
          <w:bCs/>
          <w:szCs w:val="24"/>
        </w:rPr>
        <w:t xml:space="preserve"> in a T-junction rectangu</w:t>
      </w:r>
      <w:r w:rsidR="001E531E">
        <w:rPr>
          <w:bCs/>
          <w:szCs w:val="24"/>
        </w:rPr>
        <w:t>lar microchannel. The increase in fluid viscosity and decrease</w:t>
      </w:r>
      <w:r w:rsidRPr="00014FDD">
        <w:rPr>
          <w:bCs/>
          <w:szCs w:val="24"/>
        </w:rPr>
        <w:t xml:space="preserve"> </w:t>
      </w:r>
      <w:r w:rsidR="001E531E">
        <w:rPr>
          <w:bCs/>
          <w:szCs w:val="24"/>
        </w:rPr>
        <w:t xml:space="preserve">in </w:t>
      </w:r>
      <w:r w:rsidRPr="00014FDD">
        <w:rPr>
          <w:bCs/>
          <w:szCs w:val="24"/>
        </w:rPr>
        <w:t xml:space="preserve">surface </w:t>
      </w:r>
      <w:r w:rsidR="00D10341" w:rsidRPr="00014FDD">
        <w:rPr>
          <w:bCs/>
          <w:szCs w:val="24"/>
        </w:rPr>
        <w:t xml:space="preserve">tension </w:t>
      </w:r>
      <w:r w:rsidR="00D10341">
        <w:rPr>
          <w:bCs/>
          <w:szCs w:val="24"/>
        </w:rPr>
        <w:t>are</w:t>
      </w:r>
      <w:r w:rsidR="001E531E">
        <w:rPr>
          <w:bCs/>
          <w:szCs w:val="24"/>
        </w:rPr>
        <w:t xml:space="preserve"> key parameters </w:t>
      </w:r>
      <w:r w:rsidR="00D10341">
        <w:rPr>
          <w:bCs/>
          <w:szCs w:val="24"/>
        </w:rPr>
        <w:t>to increase</w:t>
      </w:r>
      <w:r w:rsidRPr="00014FDD">
        <w:rPr>
          <w:bCs/>
          <w:szCs w:val="24"/>
        </w:rPr>
        <w:t xml:space="preserve"> Capillary number and hence the formations of slugs by shearing flow regime presented in Fig. 5 (c). At high surface tension the formation of slugs by </w:t>
      </w:r>
      <w:r w:rsidRPr="00014FDD">
        <w:rPr>
          <w:bCs/>
          <w:szCs w:val="24"/>
        </w:rPr>
        <w:lastRenderedPageBreak/>
        <w:t>squeezing flow regime presented in Fig. 5 (a). The slugs formed followed by shearing flow regime more uniformly at surface tension 0.05 N/m as shown in Fig. 5(b). Further, we observed that the mixing in Shearing flow regime has lower than squeezing regime; therefore the mixing is diminished in which fluids have high viscous and low surface tension.</w:t>
      </w:r>
    </w:p>
    <w:p w:rsidR="00DF7794" w:rsidRPr="00014FDD" w:rsidRDefault="00DF7794" w:rsidP="00014FDD">
      <w:pPr>
        <w:ind w:firstLine="397"/>
        <w:contextualSpacing/>
        <w:mirrorIndents/>
        <w:rPr>
          <w:bCs/>
          <w:szCs w:val="24"/>
        </w:rPr>
      </w:pPr>
    </w:p>
    <w:tbl>
      <w:tblPr>
        <w:tblStyle w:val="TableGrid"/>
        <w:tblW w:w="0" w:type="auto"/>
        <w:jc w:val="center"/>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9"/>
        <w:gridCol w:w="8276"/>
      </w:tblGrid>
      <w:tr w:rsidR="00014FDD" w:rsidRPr="00014FDD" w:rsidTr="00014FDD">
        <w:trPr>
          <w:jc w:val="center"/>
        </w:trPr>
        <w:tc>
          <w:tcPr>
            <w:tcW w:w="939" w:type="dxa"/>
            <w:vAlign w:val="center"/>
          </w:tcPr>
          <w:p w:rsidR="00014FDD" w:rsidRPr="00014FDD" w:rsidRDefault="00014FDD" w:rsidP="00014FDD">
            <w:pPr>
              <w:ind w:firstLine="397"/>
              <w:contextualSpacing/>
              <w:mirrorIndents/>
              <w:rPr>
                <w:b/>
                <w:szCs w:val="24"/>
                <w:lang w:val="en-IN"/>
              </w:rPr>
            </w:pPr>
            <w:r w:rsidRPr="00014FDD">
              <w:rPr>
                <w:szCs w:val="24"/>
                <w:lang w:val="en-IN"/>
              </w:rPr>
              <w:t>(a)</w:t>
            </w:r>
          </w:p>
        </w:tc>
        <w:tc>
          <w:tcPr>
            <w:tcW w:w="8276"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33FD174E" wp14:editId="0F73DC09">
                  <wp:extent cx="4964406" cy="45720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964406" cy="457200"/>
                          </a:xfrm>
                          <a:prstGeom prst="rect">
                            <a:avLst/>
                          </a:prstGeom>
                          <a:noFill/>
                          <a:ln w="9525">
                            <a:noFill/>
                            <a:miter lim="800000"/>
                            <a:headEnd/>
                            <a:tailEnd/>
                          </a:ln>
                        </pic:spPr>
                      </pic:pic>
                    </a:graphicData>
                  </a:graphic>
                </wp:inline>
              </w:drawing>
            </w:r>
          </w:p>
        </w:tc>
      </w:tr>
      <w:tr w:rsidR="00014FDD" w:rsidRPr="00014FDD" w:rsidTr="00014FDD">
        <w:trPr>
          <w:jc w:val="center"/>
        </w:trPr>
        <w:tc>
          <w:tcPr>
            <w:tcW w:w="939" w:type="dxa"/>
            <w:vAlign w:val="center"/>
          </w:tcPr>
          <w:p w:rsidR="00014FDD" w:rsidRPr="00014FDD" w:rsidRDefault="00014FDD" w:rsidP="00014FDD">
            <w:pPr>
              <w:ind w:firstLine="397"/>
              <w:contextualSpacing/>
              <w:mirrorIndents/>
              <w:rPr>
                <w:b/>
                <w:szCs w:val="24"/>
                <w:lang w:val="en-IN"/>
              </w:rPr>
            </w:pPr>
            <w:r w:rsidRPr="00014FDD">
              <w:rPr>
                <w:szCs w:val="24"/>
                <w:lang w:val="en-IN"/>
              </w:rPr>
              <w:t>(c)</w:t>
            </w:r>
          </w:p>
        </w:tc>
        <w:tc>
          <w:tcPr>
            <w:tcW w:w="8276"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2AA3C04A" wp14:editId="6714B2F8">
                  <wp:extent cx="4966406" cy="4572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4966406" cy="457200"/>
                          </a:xfrm>
                          <a:prstGeom prst="rect">
                            <a:avLst/>
                          </a:prstGeom>
                          <a:noFill/>
                          <a:ln w="9525">
                            <a:noFill/>
                            <a:miter lim="800000"/>
                            <a:headEnd/>
                            <a:tailEnd/>
                          </a:ln>
                        </pic:spPr>
                      </pic:pic>
                    </a:graphicData>
                  </a:graphic>
                </wp:inline>
              </w:drawing>
            </w:r>
          </w:p>
        </w:tc>
      </w:tr>
      <w:tr w:rsidR="00014FDD" w:rsidRPr="00014FDD" w:rsidTr="00014FDD">
        <w:trPr>
          <w:trHeight w:val="1074"/>
          <w:jc w:val="center"/>
        </w:trPr>
        <w:tc>
          <w:tcPr>
            <w:tcW w:w="939" w:type="dxa"/>
            <w:vAlign w:val="center"/>
          </w:tcPr>
          <w:p w:rsidR="00014FDD" w:rsidRPr="00014FDD" w:rsidRDefault="00014FDD" w:rsidP="00014FDD">
            <w:pPr>
              <w:ind w:firstLine="397"/>
              <w:contextualSpacing/>
              <w:mirrorIndents/>
              <w:rPr>
                <w:b/>
                <w:szCs w:val="24"/>
                <w:lang w:val="en-IN"/>
              </w:rPr>
            </w:pPr>
            <w:r w:rsidRPr="00014FDD">
              <w:rPr>
                <w:szCs w:val="24"/>
                <w:lang w:val="en-IN"/>
              </w:rPr>
              <w:t>(d)</w:t>
            </w:r>
          </w:p>
        </w:tc>
        <w:tc>
          <w:tcPr>
            <w:tcW w:w="8276"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2DCC41F4" wp14:editId="100B0336">
                  <wp:extent cx="4966406" cy="4572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966406" cy="457200"/>
                          </a:xfrm>
                          <a:prstGeom prst="rect">
                            <a:avLst/>
                          </a:prstGeom>
                          <a:noFill/>
                          <a:ln w="9525">
                            <a:noFill/>
                            <a:miter lim="800000"/>
                            <a:headEnd/>
                            <a:tailEnd/>
                          </a:ln>
                        </pic:spPr>
                      </pic:pic>
                    </a:graphicData>
                  </a:graphic>
                </wp:inline>
              </w:drawing>
            </w:r>
          </w:p>
        </w:tc>
      </w:tr>
    </w:tbl>
    <w:p w:rsidR="00DF7794" w:rsidRDefault="00DF7794" w:rsidP="00014FDD">
      <w:pPr>
        <w:ind w:firstLine="397"/>
        <w:contextualSpacing/>
        <w:mirrorIndents/>
        <w:rPr>
          <w:szCs w:val="24"/>
          <w:lang w:val="en-IN"/>
        </w:rPr>
      </w:pPr>
    </w:p>
    <w:p w:rsidR="00014FDD" w:rsidRPr="00014FDD" w:rsidRDefault="00014FDD" w:rsidP="00DF7794">
      <w:pPr>
        <w:ind w:left="993" w:hanging="596"/>
        <w:contextualSpacing/>
        <w:mirrorIndents/>
        <w:rPr>
          <w:szCs w:val="24"/>
          <w:lang w:val="en-IN"/>
        </w:rPr>
      </w:pPr>
      <w:r w:rsidRPr="00014FDD">
        <w:rPr>
          <w:szCs w:val="24"/>
          <w:lang w:val="en-IN"/>
        </w:rPr>
        <w:t xml:space="preserve">Fig. 5 (a) air-water, (b) cyclohexane-water and (c) furfural-isooctane system at equal flow velocity 0.025 m/s </w:t>
      </w:r>
    </w:p>
    <w:p w:rsidR="00A47C1A" w:rsidRPr="00205179" w:rsidRDefault="00A47C1A" w:rsidP="00942EA6">
      <w:pPr>
        <w:ind w:firstLine="397"/>
        <w:contextualSpacing/>
        <w:mirrorIndents/>
        <w:rPr>
          <w:szCs w:val="24"/>
        </w:rPr>
      </w:pPr>
    </w:p>
    <w:p w:rsidR="007C635C" w:rsidRPr="00175432" w:rsidRDefault="00014FDD" w:rsidP="00175432">
      <w:pPr>
        <w:pStyle w:val="ListParagraph"/>
        <w:numPr>
          <w:ilvl w:val="0"/>
          <w:numId w:val="23"/>
        </w:numPr>
        <w:ind w:left="426"/>
        <w:mirrorIndents/>
        <w:rPr>
          <w:rFonts w:ascii="Arial" w:hAnsi="Arial" w:cs="Arial"/>
          <w:b/>
          <w:szCs w:val="24"/>
        </w:rPr>
      </w:pPr>
      <w:r>
        <w:rPr>
          <w:rFonts w:ascii="Arial" w:hAnsi="Arial" w:cs="Arial"/>
          <w:b/>
          <w:szCs w:val="24"/>
        </w:rPr>
        <w:t xml:space="preserve"> </w:t>
      </w:r>
      <w:r w:rsidRPr="00014FDD">
        <w:rPr>
          <w:rFonts w:ascii="Arial" w:hAnsi="Arial" w:cs="Arial"/>
          <w:b/>
          <w:szCs w:val="24"/>
        </w:rPr>
        <w:t>Effect of materials on slug flow:</w:t>
      </w:r>
    </w:p>
    <w:p w:rsidR="00175432" w:rsidRDefault="00175432" w:rsidP="00014FDD">
      <w:pPr>
        <w:ind w:firstLine="397"/>
        <w:contextualSpacing/>
        <w:mirrorIndents/>
        <w:rPr>
          <w:bCs/>
          <w:szCs w:val="24"/>
        </w:rPr>
      </w:pPr>
    </w:p>
    <w:p w:rsidR="00014FDD" w:rsidRDefault="00014FDD" w:rsidP="00014FDD">
      <w:pPr>
        <w:ind w:firstLine="397"/>
        <w:contextualSpacing/>
        <w:mirrorIndents/>
        <w:rPr>
          <w:bCs/>
          <w:szCs w:val="24"/>
        </w:rPr>
      </w:pPr>
      <w:r w:rsidRPr="00014FDD">
        <w:rPr>
          <w:bCs/>
          <w:szCs w:val="24"/>
        </w:rPr>
        <w:t>A channel of 1 mm diameter and length 50 mm was constructed with varying materials simulations were performed on hydrodynamics of slu</w:t>
      </w:r>
      <w:r w:rsidR="004E62ED">
        <w:rPr>
          <w:bCs/>
          <w:szCs w:val="24"/>
        </w:rPr>
        <w:t xml:space="preserve">g flow in microchannel presented </w:t>
      </w:r>
      <w:r w:rsidRPr="00014FDD">
        <w:rPr>
          <w:bCs/>
          <w:szCs w:val="24"/>
        </w:rPr>
        <w:t xml:space="preserve">in Fig. 6. The Figure </w:t>
      </w:r>
      <w:r w:rsidR="001E531E">
        <w:rPr>
          <w:bCs/>
          <w:szCs w:val="24"/>
        </w:rPr>
        <w:t>demonstrat</w:t>
      </w:r>
      <w:r w:rsidR="001E531E" w:rsidRPr="00014FDD">
        <w:rPr>
          <w:bCs/>
          <w:szCs w:val="24"/>
        </w:rPr>
        <w:t>es</w:t>
      </w:r>
      <w:r w:rsidRPr="00014FDD">
        <w:rPr>
          <w:bCs/>
          <w:szCs w:val="24"/>
        </w:rPr>
        <w:t xml:space="preserve"> that the formation of slugs via squeezing regime and uniformly throughout the channel in the case of high density material i.e. copper. </w:t>
      </w:r>
    </w:p>
    <w:p w:rsidR="00DF7794" w:rsidRPr="00014FDD" w:rsidRDefault="00DF7794" w:rsidP="00014FDD">
      <w:pPr>
        <w:ind w:firstLine="397"/>
        <w:contextualSpacing/>
        <w:mirrorIndents/>
        <w:rPr>
          <w:bCs/>
          <w:szCs w:val="24"/>
        </w:rPr>
      </w:pPr>
    </w:p>
    <w:tbl>
      <w:tblPr>
        <w:tblStyle w:val="TableGrid"/>
        <w:tblW w:w="0" w:type="auto"/>
        <w:jc w:val="center"/>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2"/>
        <w:gridCol w:w="8258"/>
      </w:tblGrid>
      <w:tr w:rsidR="00014FDD" w:rsidRPr="00014FDD" w:rsidTr="00014FDD">
        <w:trPr>
          <w:jc w:val="center"/>
        </w:trPr>
        <w:tc>
          <w:tcPr>
            <w:tcW w:w="922" w:type="dxa"/>
            <w:vAlign w:val="center"/>
          </w:tcPr>
          <w:p w:rsidR="00014FDD" w:rsidRPr="00014FDD" w:rsidRDefault="00014FDD" w:rsidP="00014FDD">
            <w:pPr>
              <w:ind w:firstLine="397"/>
              <w:contextualSpacing/>
              <w:mirrorIndents/>
              <w:rPr>
                <w:b/>
                <w:szCs w:val="24"/>
                <w:lang w:val="en-IN"/>
              </w:rPr>
            </w:pPr>
            <w:r w:rsidRPr="00014FDD">
              <w:rPr>
                <w:szCs w:val="24"/>
                <w:lang w:val="en-IN"/>
              </w:rPr>
              <w:t>(a)</w:t>
            </w:r>
          </w:p>
        </w:tc>
        <w:tc>
          <w:tcPr>
            <w:tcW w:w="8258"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58C7A16F" wp14:editId="7D88F4AA">
                  <wp:extent cx="496640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966406" cy="457200"/>
                          </a:xfrm>
                          <a:prstGeom prst="rect">
                            <a:avLst/>
                          </a:prstGeom>
                          <a:noFill/>
                          <a:ln w="9525">
                            <a:noFill/>
                            <a:miter lim="800000"/>
                            <a:headEnd/>
                            <a:tailEnd/>
                          </a:ln>
                        </pic:spPr>
                      </pic:pic>
                    </a:graphicData>
                  </a:graphic>
                </wp:inline>
              </w:drawing>
            </w:r>
          </w:p>
        </w:tc>
      </w:tr>
      <w:tr w:rsidR="00014FDD" w:rsidRPr="00014FDD" w:rsidTr="00014FDD">
        <w:trPr>
          <w:jc w:val="center"/>
        </w:trPr>
        <w:tc>
          <w:tcPr>
            <w:tcW w:w="922" w:type="dxa"/>
            <w:vAlign w:val="center"/>
          </w:tcPr>
          <w:p w:rsidR="00014FDD" w:rsidRPr="00014FDD" w:rsidRDefault="00014FDD" w:rsidP="00014FDD">
            <w:pPr>
              <w:ind w:firstLine="397"/>
              <w:contextualSpacing/>
              <w:mirrorIndents/>
              <w:rPr>
                <w:b/>
                <w:szCs w:val="24"/>
                <w:lang w:val="en-IN"/>
              </w:rPr>
            </w:pPr>
            <w:r w:rsidRPr="00014FDD">
              <w:rPr>
                <w:szCs w:val="24"/>
                <w:lang w:val="en-IN"/>
              </w:rPr>
              <w:t>(b)</w:t>
            </w:r>
          </w:p>
        </w:tc>
        <w:tc>
          <w:tcPr>
            <w:tcW w:w="8258"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3281F9A1" wp14:editId="3F526AE8">
                  <wp:extent cx="4982400" cy="45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021943" cy="457200"/>
                          </a:xfrm>
                          <a:prstGeom prst="rect">
                            <a:avLst/>
                          </a:prstGeom>
                          <a:noFill/>
                          <a:ln w="9525">
                            <a:noFill/>
                            <a:miter lim="800000"/>
                            <a:headEnd/>
                            <a:tailEnd/>
                          </a:ln>
                        </pic:spPr>
                      </pic:pic>
                    </a:graphicData>
                  </a:graphic>
                </wp:inline>
              </w:drawing>
            </w:r>
          </w:p>
        </w:tc>
      </w:tr>
      <w:tr w:rsidR="00014FDD" w:rsidRPr="00014FDD" w:rsidTr="00014FDD">
        <w:trPr>
          <w:jc w:val="center"/>
        </w:trPr>
        <w:tc>
          <w:tcPr>
            <w:tcW w:w="922" w:type="dxa"/>
            <w:vAlign w:val="center"/>
          </w:tcPr>
          <w:p w:rsidR="00014FDD" w:rsidRPr="00014FDD" w:rsidRDefault="00014FDD" w:rsidP="00014FDD">
            <w:pPr>
              <w:ind w:firstLine="397"/>
              <w:contextualSpacing/>
              <w:mirrorIndents/>
              <w:rPr>
                <w:b/>
                <w:szCs w:val="24"/>
                <w:lang w:val="en-IN"/>
              </w:rPr>
            </w:pPr>
            <w:r w:rsidRPr="00014FDD">
              <w:rPr>
                <w:szCs w:val="24"/>
                <w:lang w:val="en-IN"/>
              </w:rPr>
              <w:t>(c)</w:t>
            </w:r>
          </w:p>
        </w:tc>
        <w:tc>
          <w:tcPr>
            <w:tcW w:w="8258" w:type="dxa"/>
          </w:tcPr>
          <w:p w:rsidR="00014FDD" w:rsidRPr="00014FDD" w:rsidRDefault="00014FDD" w:rsidP="00014FDD">
            <w:pPr>
              <w:ind w:firstLine="397"/>
              <w:contextualSpacing/>
              <w:mirrorIndents/>
              <w:rPr>
                <w:b/>
                <w:szCs w:val="24"/>
              </w:rPr>
            </w:pPr>
            <w:r w:rsidRPr="00014FDD">
              <w:rPr>
                <w:b/>
                <w:noProof/>
                <w:szCs w:val="24"/>
                <w:lang w:val="en-IN" w:eastAsia="en-IN" w:bidi="hi-IN"/>
              </w:rPr>
              <w:drawing>
                <wp:inline distT="0" distB="0" distL="0" distR="0" wp14:anchorId="6ADA5B81" wp14:editId="55F54A4A">
                  <wp:extent cx="4964406"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964406" cy="457200"/>
                          </a:xfrm>
                          <a:prstGeom prst="rect">
                            <a:avLst/>
                          </a:prstGeom>
                          <a:noFill/>
                          <a:ln w="9525">
                            <a:noFill/>
                            <a:miter lim="800000"/>
                            <a:headEnd/>
                            <a:tailEnd/>
                          </a:ln>
                        </pic:spPr>
                      </pic:pic>
                    </a:graphicData>
                  </a:graphic>
                </wp:inline>
              </w:drawing>
            </w:r>
          </w:p>
        </w:tc>
      </w:tr>
    </w:tbl>
    <w:p w:rsidR="00DF7794" w:rsidRDefault="00DF7794" w:rsidP="00014FDD">
      <w:pPr>
        <w:ind w:firstLine="397"/>
        <w:contextualSpacing/>
        <w:mirrorIndents/>
        <w:rPr>
          <w:szCs w:val="24"/>
          <w:lang w:val="en-IN"/>
        </w:rPr>
      </w:pPr>
    </w:p>
    <w:p w:rsidR="00014FDD" w:rsidRPr="00014FDD" w:rsidRDefault="00014FDD" w:rsidP="00014FDD">
      <w:pPr>
        <w:ind w:firstLine="397"/>
        <w:contextualSpacing/>
        <w:mirrorIndents/>
        <w:rPr>
          <w:szCs w:val="24"/>
          <w:lang w:val="en-IN"/>
        </w:rPr>
      </w:pPr>
      <w:r w:rsidRPr="00014FDD">
        <w:rPr>
          <w:szCs w:val="24"/>
          <w:lang w:val="en-IN"/>
        </w:rPr>
        <w:t xml:space="preserve">Fig. 6 (a) copper, (b) steel and (c) aluminium at equal flow velocity 0.025 m/s </w:t>
      </w:r>
    </w:p>
    <w:p w:rsidR="002F788F" w:rsidRPr="00205179" w:rsidRDefault="002F788F" w:rsidP="00D52F58">
      <w:pPr>
        <w:ind w:firstLine="397"/>
        <w:contextualSpacing/>
        <w:mirrorIndents/>
        <w:rPr>
          <w:szCs w:val="24"/>
        </w:rPr>
      </w:pPr>
    </w:p>
    <w:p w:rsidR="00175432" w:rsidRDefault="002C5633" w:rsidP="001C4B5F">
      <w:pPr>
        <w:pStyle w:val="ListParagraph"/>
        <w:numPr>
          <w:ilvl w:val="0"/>
          <w:numId w:val="18"/>
        </w:numPr>
        <w:mirrorIndents/>
        <w:rPr>
          <w:rFonts w:ascii="Arial" w:hAnsi="Arial" w:cs="Arial"/>
          <w:b/>
          <w:szCs w:val="24"/>
        </w:rPr>
      </w:pPr>
      <w:r w:rsidRPr="007C635C">
        <w:rPr>
          <w:rFonts w:ascii="Arial" w:hAnsi="Arial" w:cs="Arial"/>
          <w:b/>
          <w:szCs w:val="24"/>
        </w:rPr>
        <w:t>Conclusion</w:t>
      </w:r>
    </w:p>
    <w:p w:rsidR="00175432" w:rsidRPr="00175432" w:rsidRDefault="00175432" w:rsidP="00175432">
      <w:pPr>
        <w:pStyle w:val="ListParagraph"/>
        <w:ind w:left="1440" w:firstLine="0"/>
        <w:mirrorIndents/>
        <w:rPr>
          <w:rFonts w:ascii="Arial" w:hAnsi="Arial" w:cs="Arial"/>
          <w:b/>
          <w:szCs w:val="24"/>
        </w:rPr>
      </w:pPr>
    </w:p>
    <w:p w:rsidR="00DF7794" w:rsidRDefault="00B22141" w:rsidP="001675D0">
      <w:pPr>
        <w:ind w:firstLine="397"/>
        <w:contextualSpacing/>
        <w:mirrorIndents/>
        <w:rPr>
          <w:szCs w:val="24"/>
          <w:lang w:val="en-IN"/>
        </w:rPr>
      </w:pPr>
      <w:r w:rsidRPr="00B22141">
        <w:rPr>
          <w:szCs w:val="24"/>
          <w:lang w:val="en-IN"/>
        </w:rPr>
        <w:t>In this work, the hydrodynamics of slug flow using two phase flow (air-water, cyclohexane-water and furfural-</w:t>
      </w:r>
      <w:proofErr w:type="spellStart"/>
      <w:r w:rsidRPr="00B22141">
        <w:rPr>
          <w:szCs w:val="24"/>
          <w:lang w:val="en-IN"/>
        </w:rPr>
        <w:t>iso</w:t>
      </w:r>
      <w:proofErr w:type="spellEnd"/>
      <w:r w:rsidRPr="00B22141">
        <w:rPr>
          <w:szCs w:val="24"/>
          <w:lang w:val="en-IN"/>
        </w:rPr>
        <w:t>-octane) in a T-junction microchannel was studied by VOF model. The simulation results are validated with [1] and observed similar trend. Squeezing flow regime was found at high surface tension and thus high mixing between adjacent slugs were observed. Slug volume decreases with increasing slug velocity due to one phase penetrates into others quickly achieves high interfacial area and thus enhanced the rate of mass transfer between slugs in the channel. The pressure drop in 2D model was lower than the 3D model because in 2D case only one radius of curvature captured, therefore interfacial tension is just half of 3D model. Further, it was observed that the hydrodynamics of slug flow depends upon materials of construction, fluid properties, flow ratios, and surface wettability.</w:t>
      </w:r>
    </w:p>
    <w:p w:rsidR="00DF7794" w:rsidRDefault="00DF7794" w:rsidP="00175432">
      <w:pPr>
        <w:spacing w:before="240" w:after="240"/>
        <w:ind w:firstLine="0"/>
        <w:contextualSpacing/>
        <w:mirrorIndents/>
        <w:rPr>
          <w:szCs w:val="24"/>
          <w:lang w:val="en-IN"/>
        </w:rPr>
      </w:pPr>
    </w:p>
    <w:p w:rsidR="007C635C" w:rsidRDefault="00F80AE9" w:rsidP="00175432">
      <w:pPr>
        <w:spacing w:before="240" w:after="240"/>
        <w:ind w:firstLine="0"/>
        <w:contextualSpacing/>
        <w:mirrorIndents/>
        <w:rPr>
          <w:rFonts w:ascii="Arial" w:hAnsi="Arial" w:cs="Arial"/>
          <w:b/>
          <w:szCs w:val="24"/>
        </w:rPr>
      </w:pPr>
      <w:r w:rsidRPr="00205179">
        <w:rPr>
          <w:rFonts w:ascii="Arial" w:hAnsi="Arial" w:cs="Arial"/>
          <w:b/>
          <w:szCs w:val="24"/>
        </w:rPr>
        <w:t>Acknowledgements</w:t>
      </w:r>
    </w:p>
    <w:p w:rsidR="00175432" w:rsidRPr="00175432" w:rsidRDefault="00175432" w:rsidP="00175432">
      <w:pPr>
        <w:spacing w:before="240" w:after="240"/>
        <w:ind w:firstLine="0"/>
        <w:contextualSpacing/>
        <w:mirrorIndents/>
        <w:rPr>
          <w:rFonts w:ascii="Arial" w:hAnsi="Arial" w:cs="Arial"/>
          <w:b/>
          <w:szCs w:val="24"/>
        </w:rPr>
      </w:pPr>
    </w:p>
    <w:p w:rsidR="00D65061" w:rsidRDefault="00B22141" w:rsidP="00DF7794">
      <w:pPr>
        <w:ind w:firstLine="397"/>
        <w:contextualSpacing/>
        <w:mirrorIndents/>
        <w:rPr>
          <w:szCs w:val="24"/>
          <w:lang w:val="en-IN"/>
        </w:rPr>
      </w:pPr>
      <w:r w:rsidRPr="00B22141">
        <w:rPr>
          <w:szCs w:val="24"/>
          <w:lang w:val="en-IN"/>
        </w:rPr>
        <w:lastRenderedPageBreak/>
        <w:t xml:space="preserve">The authors are grateful to </w:t>
      </w:r>
      <w:r w:rsidR="00BD6318">
        <w:rPr>
          <w:szCs w:val="24"/>
          <w:lang w:val="en-IN"/>
        </w:rPr>
        <w:t>TEQUIP-III</w:t>
      </w:r>
      <w:r w:rsidRPr="00B22141">
        <w:rPr>
          <w:szCs w:val="24"/>
          <w:lang w:val="en-IN"/>
        </w:rPr>
        <w:t xml:space="preserve"> and </w:t>
      </w:r>
      <w:proofErr w:type="spellStart"/>
      <w:r w:rsidRPr="00B22141">
        <w:rPr>
          <w:szCs w:val="24"/>
          <w:lang w:val="en-IN"/>
        </w:rPr>
        <w:t>M</w:t>
      </w:r>
      <w:r w:rsidR="00BD6318">
        <w:rPr>
          <w:szCs w:val="24"/>
          <w:lang w:val="en-IN"/>
        </w:rPr>
        <w:t>otilal</w:t>
      </w:r>
      <w:proofErr w:type="spellEnd"/>
      <w:r w:rsidR="00BD6318">
        <w:rPr>
          <w:szCs w:val="24"/>
          <w:lang w:val="en-IN"/>
        </w:rPr>
        <w:t xml:space="preserve"> Nehru National Institute of Technology, Allahabad </w:t>
      </w:r>
      <w:r w:rsidRPr="00B22141">
        <w:rPr>
          <w:szCs w:val="24"/>
          <w:lang w:val="en-IN"/>
        </w:rPr>
        <w:t>for providing</w:t>
      </w:r>
      <w:r w:rsidR="00BD6318">
        <w:rPr>
          <w:szCs w:val="24"/>
          <w:lang w:val="en-IN"/>
        </w:rPr>
        <w:t xml:space="preserve"> lab</w:t>
      </w:r>
      <w:r w:rsidRPr="00B22141">
        <w:rPr>
          <w:szCs w:val="24"/>
          <w:lang w:val="en-IN"/>
        </w:rPr>
        <w:t xml:space="preserve"> facilities to </w:t>
      </w:r>
      <w:r w:rsidR="00BD6318" w:rsidRPr="00B22141">
        <w:rPr>
          <w:szCs w:val="24"/>
          <w:lang w:val="en-IN"/>
        </w:rPr>
        <w:t>carry out</w:t>
      </w:r>
      <w:r w:rsidRPr="00B22141">
        <w:rPr>
          <w:szCs w:val="24"/>
          <w:lang w:val="en-IN"/>
        </w:rPr>
        <w:t xml:space="preserve"> this experiment successfully.</w:t>
      </w:r>
    </w:p>
    <w:p w:rsidR="00DF7794" w:rsidRPr="00DF7794" w:rsidRDefault="00DF7794" w:rsidP="00DF7794">
      <w:pPr>
        <w:ind w:firstLine="397"/>
        <w:contextualSpacing/>
        <w:mirrorIndents/>
        <w:rPr>
          <w:szCs w:val="24"/>
          <w:lang w:val="en-IN"/>
        </w:rPr>
      </w:pPr>
    </w:p>
    <w:p w:rsidR="00D65061" w:rsidRDefault="00D65061" w:rsidP="005F5165">
      <w:pPr>
        <w:ind w:firstLine="0"/>
        <w:contextualSpacing/>
        <w:mirrorIndents/>
        <w:rPr>
          <w:rFonts w:ascii="Arial" w:hAnsi="Arial" w:cs="Arial"/>
          <w:b/>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205179" w:rsidRPr="00C0795D" w:rsidRDefault="00205179" w:rsidP="00205179">
      <w:pPr>
        <w:ind w:firstLine="0"/>
        <w:contextualSpacing/>
        <w:mirrorIndents/>
        <w:rPr>
          <w:sz w:val="14"/>
          <w:szCs w:val="24"/>
        </w:rPr>
      </w:pPr>
    </w:p>
    <w:p w:rsidR="00D65061" w:rsidRPr="004353A6" w:rsidRDefault="00D65061" w:rsidP="00D65061">
      <w:pPr>
        <w:pStyle w:val="Reference"/>
        <w:widowControl w:val="0"/>
        <w:numPr>
          <w:ilvl w:val="0"/>
          <w:numId w:val="26"/>
        </w:numPr>
        <w:tabs>
          <w:tab w:val="left" w:pos="567"/>
        </w:tabs>
        <w:spacing w:after="0"/>
        <w:ind w:left="426" w:hanging="426"/>
        <w:jc w:val="both"/>
        <w:rPr>
          <w:rStyle w:val="Hyperlink"/>
          <w:iCs/>
          <w:noProof/>
          <w:color w:val="000000"/>
          <w:lang w:val="en-US"/>
        </w:rPr>
      </w:pPr>
      <w:proofErr w:type="spellStart"/>
      <w:r w:rsidRPr="00D65061">
        <w:rPr>
          <w:szCs w:val="24"/>
        </w:rPr>
        <w:t>Kas</w:t>
      </w:r>
      <w:r w:rsidR="000F3A43">
        <w:rPr>
          <w:szCs w:val="24"/>
        </w:rPr>
        <w:t>hid</w:t>
      </w:r>
      <w:proofErr w:type="spellEnd"/>
      <w:r w:rsidR="000F3A43">
        <w:rPr>
          <w:szCs w:val="24"/>
        </w:rPr>
        <w:t xml:space="preserve">, M.N. and Agar, D.W., </w:t>
      </w:r>
      <w:r w:rsidRPr="00D65061">
        <w:rPr>
          <w:szCs w:val="24"/>
        </w:rPr>
        <w:t>Hydrodynamics of liquid–liquid slug flow capillary microreactor: flow regimes, slug size and pressure drop. Chemical Engineering Journal, 131</w:t>
      </w:r>
      <w:r w:rsidR="000F3A43">
        <w:rPr>
          <w:szCs w:val="24"/>
        </w:rPr>
        <w:t>(1-3), (2007)</w:t>
      </w:r>
      <w:r w:rsidRPr="00D65061">
        <w:rPr>
          <w:szCs w:val="24"/>
        </w:rPr>
        <w:t>1-13.</w:t>
      </w:r>
      <w:r>
        <w:rPr>
          <w:iCs/>
          <w:noProof/>
          <w:lang w:val="en-IN"/>
        </w:rPr>
        <w:t xml:space="preserve"> </w:t>
      </w:r>
      <w:hyperlink r:id="rId25" w:tgtFrame="_blank" w:tooltip="Persistent link using digital object identifier" w:history="1">
        <w:r w:rsidRPr="00BC787E">
          <w:rPr>
            <w:rStyle w:val="Hyperlink"/>
          </w:rPr>
          <w:t>https://doi.org/10.1016/j.cej.2006.11.020</w:t>
        </w:r>
      </w:hyperlink>
    </w:p>
    <w:p w:rsidR="00D65061" w:rsidRPr="004353A6" w:rsidRDefault="00D65061" w:rsidP="00D65061">
      <w:pPr>
        <w:pStyle w:val="Reference"/>
        <w:widowControl w:val="0"/>
        <w:numPr>
          <w:ilvl w:val="0"/>
          <w:numId w:val="26"/>
        </w:numPr>
        <w:tabs>
          <w:tab w:val="left" w:pos="567"/>
        </w:tabs>
        <w:spacing w:after="0"/>
        <w:ind w:left="426" w:hanging="426"/>
        <w:jc w:val="both"/>
        <w:rPr>
          <w:rStyle w:val="Hyperlink"/>
          <w:iCs/>
          <w:noProof/>
          <w:color w:val="000000"/>
          <w:lang w:val="en-US"/>
        </w:rPr>
      </w:pPr>
      <w:r w:rsidRPr="00D65061">
        <w:rPr>
          <w:szCs w:val="24"/>
        </w:rPr>
        <w:t xml:space="preserve">Khan, W., Chandra, A.K., </w:t>
      </w:r>
      <w:proofErr w:type="spellStart"/>
      <w:r w:rsidRPr="00D65061">
        <w:rPr>
          <w:szCs w:val="24"/>
        </w:rPr>
        <w:t>Kishor</w:t>
      </w:r>
      <w:proofErr w:type="spellEnd"/>
      <w:r w:rsidRPr="00D65061">
        <w:rPr>
          <w:szCs w:val="24"/>
        </w:rPr>
        <w:t>,</w:t>
      </w:r>
      <w:r w:rsidR="000F3A43">
        <w:rPr>
          <w:szCs w:val="24"/>
        </w:rPr>
        <w:t xml:space="preserve"> K., </w:t>
      </w:r>
      <w:proofErr w:type="spellStart"/>
      <w:r w:rsidR="000F3A43">
        <w:rPr>
          <w:szCs w:val="24"/>
        </w:rPr>
        <w:t>Sachan</w:t>
      </w:r>
      <w:proofErr w:type="spellEnd"/>
      <w:r w:rsidR="000F3A43">
        <w:rPr>
          <w:szCs w:val="24"/>
        </w:rPr>
        <w:t xml:space="preserve">, S. and </w:t>
      </w:r>
      <w:proofErr w:type="spellStart"/>
      <w:r w:rsidR="000F3A43">
        <w:rPr>
          <w:szCs w:val="24"/>
        </w:rPr>
        <w:t>Alam</w:t>
      </w:r>
      <w:proofErr w:type="spellEnd"/>
      <w:r w:rsidR="000F3A43">
        <w:rPr>
          <w:szCs w:val="24"/>
        </w:rPr>
        <w:t xml:space="preserve">, M.S., </w:t>
      </w:r>
      <w:r w:rsidRPr="00D65061">
        <w:rPr>
          <w:szCs w:val="24"/>
        </w:rPr>
        <w:t>Slug formation mechanism for air–water system in T-junction microchan</w:t>
      </w:r>
      <w:r w:rsidR="008E3D46">
        <w:rPr>
          <w:szCs w:val="24"/>
        </w:rPr>
        <w:t xml:space="preserve">nel: a numerical investigation. Chemical Papers 72 (11), </w:t>
      </w:r>
      <w:r w:rsidR="008E3D46" w:rsidRPr="008E3D46">
        <w:rPr>
          <w:szCs w:val="24"/>
        </w:rPr>
        <w:t>(2018)</w:t>
      </w:r>
      <w:r w:rsidR="008E3D46">
        <w:rPr>
          <w:szCs w:val="24"/>
        </w:rPr>
        <w:t xml:space="preserve">, </w:t>
      </w:r>
      <w:r w:rsidR="008E3D46" w:rsidRPr="008E3D46">
        <w:rPr>
          <w:szCs w:val="24"/>
        </w:rPr>
        <w:t>2921–2932</w:t>
      </w:r>
      <w:r w:rsidRPr="00D65061">
        <w:rPr>
          <w:szCs w:val="24"/>
        </w:rPr>
        <w:t>.</w:t>
      </w:r>
      <w:r>
        <w:rPr>
          <w:iCs/>
          <w:noProof/>
          <w:lang w:val="en-IN"/>
        </w:rPr>
        <w:t xml:space="preserve"> </w:t>
      </w:r>
      <w:proofErr w:type="spellStart"/>
      <w:r>
        <w:rPr>
          <w:rStyle w:val="Hyperlink"/>
        </w:rPr>
        <w:t>Doi</w:t>
      </w:r>
      <w:proofErr w:type="spellEnd"/>
      <w:r w:rsidRPr="004353A6">
        <w:rPr>
          <w:rStyle w:val="Hyperlink"/>
        </w:rPr>
        <w:t>: 10.1007/s11696-018-0522-7</w:t>
      </w:r>
    </w:p>
    <w:p w:rsidR="00D65061" w:rsidRPr="004353A6" w:rsidRDefault="00D65061" w:rsidP="00D65061">
      <w:pPr>
        <w:pStyle w:val="Reference"/>
        <w:widowControl w:val="0"/>
        <w:numPr>
          <w:ilvl w:val="0"/>
          <w:numId w:val="26"/>
        </w:numPr>
        <w:tabs>
          <w:tab w:val="left" w:pos="567"/>
        </w:tabs>
        <w:spacing w:after="0"/>
        <w:ind w:left="426" w:hanging="426"/>
        <w:jc w:val="both"/>
        <w:rPr>
          <w:iCs/>
          <w:noProof/>
          <w:lang w:val="en-US"/>
        </w:rPr>
      </w:pPr>
      <w:proofErr w:type="spellStart"/>
      <w:r w:rsidRPr="00D65061">
        <w:rPr>
          <w:szCs w:val="24"/>
        </w:rPr>
        <w:t>Padoin</w:t>
      </w:r>
      <w:proofErr w:type="spellEnd"/>
      <w:r w:rsidRPr="00D65061">
        <w:rPr>
          <w:szCs w:val="24"/>
        </w:rPr>
        <w:t xml:space="preserve">, N., de Souza, A.Z., </w:t>
      </w:r>
      <w:proofErr w:type="spellStart"/>
      <w:r w:rsidRPr="00D65061">
        <w:rPr>
          <w:szCs w:val="24"/>
        </w:rPr>
        <w:t>Ropelato</w:t>
      </w:r>
      <w:proofErr w:type="spellEnd"/>
      <w:r w:rsidRPr="00D65061">
        <w:rPr>
          <w:szCs w:val="24"/>
        </w:rPr>
        <w:t xml:space="preserve">, K. and </w:t>
      </w:r>
      <w:proofErr w:type="spellStart"/>
      <w:r w:rsidRPr="00D65061">
        <w:rPr>
          <w:szCs w:val="24"/>
        </w:rPr>
        <w:t>Soares</w:t>
      </w:r>
      <w:proofErr w:type="spellEnd"/>
      <w:r w:rsidRPr="00D65061">
        <w:rPr>
          <w:szCs w:val="24"/>
        </w:rPr>
        <w:t>, C., Numerical simulation of isothermal gas− liquid flow patterns in microchannels with varying wettability. Chemical Engineering Research and Design, 109</w:t>
      </w:r>
      <w:r w:rsidR="00E5091C">
        <w:rPr>
          <w:szCs w:val="24"/>
        </w:rPr>
        <w:t xml:space="preserve">, (2016.), </w:t>
      </w:r>
      <w:r w:rsidRPr="00D65061">
        <w:rPr>
          <w:szCs w:val="24"/>
        </w:rPr>
        <w:t xml:space="preserve">698-706. </w:t>
      </w:r>
      <w:hyperlink r:id="rId26" w:tgtFrame="_blank" w:tooltip="Persistent link using digital object identifier" w:history="1">
        <w:r w:rsidRPr="004353A6">
          <w:rPr>
            <w:rStyle w:val="Hyperlink"/>
            <w:iCs/>
            <w:noProof/>
            <w:lang w:val="en-IN"/>
          </w:rPr>
          <w:t>https://doi.org/10.1016/j.cherd.2016.03.027</w:t>
        </w:r>
      </w:hyperlink>
    </w:p>
    <w:p w:rsidR="00D65061" w:rsidRDefault="00D65061" w:rsidP="00D65061">
      <w:pPr>
        <w:pStyle w:val="Reference"/>
        <w:widowControl w:val="0"/>
        <w:numPr>
          <w:ilvl w:val="0"/>
          <w:numId w:val="26"/>
        </w:numPr>
        <w:tabs>
          <w:tab w:val="left" w:pos="567"/>
          <w:tab w:val="left" w:pos="709"/>
        </w:tabs>
        <w:spacing w:after="0"/>
        <w:ind w:left="426" w:hanging="426"/>
        <w:jc w:val="both"/>
        <w:rPr>
          <w:iCs/>
          <w:noProof/>
        </w:rPr>
      </w:pPr>
      <w:r w:rsidRPr="00D65061">
        <w:rPr>
          <w:szCs w:val="24"/>
        </w:rPr>
        <w:t xml:space="preserve">Triplett, K.A., </w:t>
      </w:r>
      <w:proofErr w:type="spellStart"/>
      <w:r w:rsidRPr="00D65061">
        <w:rPr>
          <w:szCs w:val="24"/>
        </w:rPr>
        <w:t>Ghiaasiaan</w:t>
      </w:r>
      <w:proofErr w:type="spellEnd"/>
      <w:r w:rsidRPr="00D65061">
        <w:rPr>
          <w:szCs w:val="24"/>
        </w:rPr>
        <w:t>, S.M., Abdel-</w:t>
      </w:r>
      <w:proofErr w:type="spellStart"/>
      <w:r w:rsidRPr="00D65061">
        <w:rPr>
          <w:szCs w:val="24"/>
        </w:rPr>
        <w:t>Khalik</w:t>
      </w:r>
      <w:proofErr w:type="spellEnd"/>
      <w:r w:rsidRPr="00D65061">
        <w:rPr>
          <w:szCs w:val="24"/>
        </w:rPr>
        <w:t xml:space="preserve">, S.I. and </w:t>
      </w:r>
      <w:proofErr w:type="spellStart"/>
      <w:r w:rsidRPr="00D65061">
        <w:rPr>
          <w:szCs w:val="24"/>
        </w:rPr>
        <w:t>Sadowski</w:t>
      </w:r>
      <w:proofErr w:type="spellEnd"/>
      <w:r w:rsidRPr="00D65061">
        <w:rPr>
          <w:szCs w:val="24"/>
        </w:rPr>
        <w:t>, D.L., Gas–liquid two-phase flow in microchannels Part I: two-phase flow patterns. International Journal of Multiphase Flow, 25</w:t>
      </w:r>
      <w:r w:rsidR="00E5091C">
        <w:rPr>
          <w:szCs w:val="24"/>
        </w:rPr>
        <w:t xml:space="preserve">(3), (1999), </w:t>
      </w:r>
      <w:r w:rsidRPr="00D65061">
        <w:rPr>
          <w:szCs w:val="24"/>
        </w:rPr>
        <w:t>377-394.</w:t>
      </w:r>
      <w:r>
        <w:rPr>
          <w:iCs/>
          <w:noProof/>
          <w:lang w:val="en-IN"/>
        </w:rPr>
        <w:t xml:space="preserve"> </w:t>
      </w:r>
      <w:hyperlink r:id="rId27" w:tgtFrame="_blank" w:tooltip="Persistent link using digital object identifier" w:history="1">
        <w:r w:rsidRPr="004353A6">
          <w:rPr>
            <w:rStyle w:val="Hyperlink"/>
            <w:iCs/>
            <w:noProof/>
          </w:rPr>
          <w:t>https://doi.org/10.1016/S0301-9322(98)00054-8</w:t>
        </w:r>
      </w:hyperlink>
    </w:p>
    <w:p w:rsidR="00D65061" w:rsidRPr="00016DE7" w:rsidRDefault="00D65061" w:rsidP="00D65061">
      <w:pPr>
        <w:pStyle w:val="Reference"/>
        <w:widowControl w:val="0"/>
        <w:numPr>
          <w:ilvl w:val="0"/>
          <w:numId w:val="26"/>
        </w:numPr>
        <w:tabs>
          <w:tab w:val="left" w:pos="567"/>
          <w:tab w:val="left" w:pos="709"/>
        </w:tabs>
        <w:spacing w:after="0"/>
        <w:ind w:left="426" w:hanging="426"/>
        <w:jc w:val="both"/>
        <w:rPr>
          <w:iCs/>
          <w:noProof/>
        </w:rPr>
      </w:pPr>
      <w:r w:rsidRPr="00D65061">
        <w:rPr>
          <w:szCs w:val="24"/>
        </w:rPr>
        <w:t xml:space="preserve">Kawahara, A., </w:t>
      </w:r>
      <w:proofErr w:type="spellStart"/>
      <w:r w:rsidRPr="00D65061">
        <w:rPr>
          <w:szCs w:val="24"/>
        </w:rPr>
        <w:t>Sadatomi</w:t>
      </w:r>
      <w:proofErr w:type="spellEnd"/>
      <w:r w:rsidRPr="00D65061">
        <w:rPr>
          <w:szCs w:val="24"/>
        </w:rPr>
        <w:t xml:space="preserve">, M., </w:t>
      </w:r>
      <w:proofErr w:type="spellStart"/>
      <w:r w:rsidRPr="00D65061">
        <w:rPr>
          <w:szCs w:val="24"/>
        </w:rPr>
        <w:t>Nei</w:t>
      </w:r>
      <w:proofErr w:type="spellEnd"/>
      <w:r w:rsidRPr="00D65061">
        <w:rPr>
          <w:szCs w:val="24"/>
        </w:rPr>
        <w:t>, K. and Matsuo, H., Experimental study on bubble velocity, void fraction and pressure drop for gas–liquid two-phase flow in a circular microchannel. International Journal of Heat and Fluid Flow, 30(5),</w:t>
      </w:r>
      <w:r w:rsidR="00C85BF5">
        <w:rPr>
          <w:szCs w:val="24"/>
        </w:rPr>
        <w:t xml:space="preserve"> (</w:t>
      </w:r>
      <w:r w:rsidR="00C85BF5" w:rsidRPr="00C85BF5">
        <w:rPr>
          <w:szCs w:val="24"/>
        </w:rPr>
        <w:t>2009</w:t>
      </w:r>
      <w:r w:rsidR="00C85BF5">
        <w:rPr>
          <w:szCs w:val="24"/>
        </w:rPr>
        <w:t xml:space="preserve">), </w:t>
      </w:r>
      <w:r w:rsidRPr="00D65061">
        <w:rPr>
          <w:szCs w:val="24"/>
        </w:rPr>
        <w:t xml:space="preserve">831-841. </w:t>
      </w:r>
      <w:hyperlink r:id="rId28" w:tgtFrame="_blank" w:tooltip="Persistent link using digital object identifier" w:history="1">
        <w:r w:rsidRPr="00016DE7">
          <w:rPr>
            <w:rStyle w:val="Hyperlink"/>
            <w:iCs/>
            <w:noProof/>
            <w:lang w:val="en-IN"/>
          </w:rPr>
          <w:t>https://doi.org/10.1016/j.ijheatfluidflow.2009.02.017</w:t>
        </w:r>
      </w:hyperlink>
    </w:p>
    <w:p w:rsidR="00D65061" w:rsidRPr="00016DE7" w:rsidRDefault="00D65061" w:rsidP="00D65061">
      <w:pPr>
        <w:pStyle w:val="Reference"/>
        <w:widowControl w:val="0"/>
        <w:numPr>
          <w:ilvl w:val="0"/>
          <w:numId w:val="26"/>
        </w:numPr>
        <w:tabs>
          <w:tab w:val="left" w:pos="567"/>
          <w:tab w:val="left" w:pos="709"/>
        </w:tabs>
        <w:spacing w:after="0"/>
        <w:ind w:left="426" w:hanging="426"/>
        <w:jc w:val="both"/>
        <w:rPr>
          <w:iCs/>
          <w:noProof/>
        </w:rPr>
      </w:pPr>
      <w:r w:rsidRPr="00D65061">
        <w:rPr>
          <w:szCs w:val="24"/>
        </w:rPr>
        <w:t xml:space="preserve">Kawahara, A., </w:t>
      </w:r>
      <w:proofErr w:type="spellStart"/>
      <w:r w:rsidRPr="00D65061">
        <w:rPr>
          <w:szCs w:val="24"/>
        </w:rPr>
        <w:t>Sadatomi</w:t>
      </w:r>
      <w:proofErr w:type="spellEnd"/>
      <w:r w:rsidRPr="00D65061">
        <w:rPr>
          <w:szCs w:val="24"/>
        </w:rPr>
        <w:t xml:space="preserve">, M., </w:t>
      </w:r>
      <w:proofErr w:type="spellStart"/>
      <w:r w:rsidRPr="00D65061">
        <w:rPr>
          <w:szCs w:val="24"/>
        </w:rPr>
        <w:t>Nei</w:t>
      </w:r>
      <w:proofErr w:type="spellEnd"/>
      <w:r w:rsidRPr="00D65061">
        <w:rPr>
          <w:szCs w:val="24"/>
        </w:rPr>
        <w:t>, K. and Matsuo, H., Characteristics of two-phase flows in a rectangular microchannel with a T-junction type gas-liquid mixer. Heat Transfer Engineering, 32</w:t>
      </w:r>
      <w:r w:rsidR="003B6EA7">
        <w:rPr>
          <w:szCs w:val="24"/>
        </w:rPr>
        <w:t xml:space="preserve">(7-8), (2011), </w:t>
      </w:r>
      <w:r w:rsidRPr="00D65061">
        <w:rPr>
          <w:szCs w:val="24"/>
        </w:rPr>
        <w:t>585-594.</w:t>
      </w:r>
      <w:r>
        <w:rPr>
          <w:iCs/>
          <w:noProof/>
          <w:lang w:val="en-IN"/>
        </w:rPr>
        <w:t xml:space="preserve"> </w:t>
      </w:r>
      <w:hyperlink r:id="rId29" w:history="1">
        <w:r w:rsidRPr="00016DE7">
          <w:rPr>
            <w:rStyle w:val="Hyperlink"/>
            <w:iCs/>
            <w:noProof/>
            <w:lang w:val="en-IN"/>
          </w:rPr>
          <w:t>https://doi.org/10.1080/01457632.2010.509752</w:t>
        </w:r>
      </w:hyperlink>
    </w:p>
    <w:p w:rsidR="00D65061" w:rsidRPr="002B6ADF" w:rsidRDefault="00D65061" w:rsidP="00D65061">
      <w:pPr>
        <w:pStyle w:val="Reference"/>
        <w:widowControl w:val="0"/>
        <w:numPr>
          <w:ilvl w:val="0"/>
          <w:numId w:val="26"/>
        </w:numPr>
        <w:tabs>
          <w:tab w:val="left" w:pos="567"/>
        </w:tabs>
        <w:spacing w:after="0"/>
        <w:ind w:left="426" w:hanging="426"/>
        <w:jc w:val="both"/>
        <w:rPr>
          <w:iCs/>
          <w:noProof/>
          <w:lang w:val="en-US"/>
        </w:rPr>
      </w:pPr>
      <w:r w:rsidRPr="00D65061">
        <w:rPr>
          <w:szCs w:val="24"/>
        </w:rPr>
        <w:t>Burns, J.R. and Ramshaw, C., The intensification of rapid reactions in multiphase systems using slug flow in capillaries. Lab on a Chip, 1(1),</w:t>
      </w:r>
      <w:r w:rsidR="005F4C4E">
        <w:rPr>
          <w:szCs w:val="24"/>
        </w:rPr>
        <w:t xml:space="preserve"> (2001), </w:t>
      </w:r>
      <w:r w:rsidRPr="00D65061">
        <w:rPr>
          <w:szCs w:val="24"/>
        </w:rPr>
        <w:t>10-15.</w:t>
      </w:r>
      <w:r>
        <w:rPr>
          <w:iCs/>
          <w:noProof/>
          <w:lang w:val="en-IN"/>
        </w:rPr>
        <w:t xml:space="preserve"> </w:t>
      </w:r>
      <w:r>
        <w:br/>
      </w:r>
      <w:proofErr w:type="spellStart"/>
      <w:r>
        <w:rPr>
          <w:rStyle w:val="Hyperlink"/>
          <w:bCs/>
        </w:rPr>
        <w:t>Doi</w:t>
      </w:r>
      <w:proofErr w:type="spellEnd"/>
      <w:r>
        <w:rPr>
          <w:rStyle w:val="Hyperlink"/>
          <w:bCs/>
        </w:rPr>
        <w:t xml:space="preserve">: </w:t>
      </w:r>
      <w:r w:rsidRPr="002C340E">
        <w:rPr>
          <w:rStyle w:val="Hyperlink"/>
          <w:bCs/>
        </w:rPr>
        <w:t>10.1039/B102818A</w:t>
      </w:r>
    </w:p>
    <w:p w:rsidR="00D65061" w:rsidRPr="00CB317C" w:rsidRDefault="00D65061" w:rsidP="00D65061">
      <w:pPr>
        <w:pStyle w:val="Reference"/>
        <w:widowControl w:val="0"/>
        <w:numPr>
          <w:ilvl w:val="0"/>
          <w:numId w:val="26"/>
        </w:numPr>
        <w:tabs>
          <w:tab w:val="left" w:pos="567"/>
        </w:tabs>
        <w:spacing w:after="0"/>
        <w:ind w:left="426" w:hanging="426"/>
        <w:jc w:val="both"/>
        <w:rPr>
          <w:iCs/>
          <w:noProof/>
          <w:lang w:val="en-US"/>
        </w:rPr>
      </w:pPr>
      <w:proofErr w:type="spellStart"/>
      <w:r w:rsidRPr="00D65061">
        <w:rPr>
          <w:szCs w:val="24"/>
        </w:rPr>
        <w:t>Dummann</w:t>
      </w:r>
      <w:proofErr w:type="spellEnd"/>
      <w:r w:rsidRPr="00D65061">
        <w:rPr>
          <w:szCs w:val="24"/>
        </w:rPr>
        <w:t xml:space="preserve">, G., </w:t>
      </w:r>
      <w:proofErr w:type="spellStart"/>
      <w:r w:rsidRPr="00D65061">
        <w:rPr>
          <w:szCs w:val="24"/>
        </w:rPr>
        <w:t>Quittmann</w:t>
      </w:r>
      <w:proofErr w:type="spellEnd"/>
      <w:r w:rsidRPr="00D65061">
        <w:rPr>
          <w:szCs w:val="24"/>
        </w:rPr>
        <w:t xml:space="preserve">, U., </w:t>
      </w:r>
      <w:proofErr w:type="spellStart"/>
      <w:r w:rsidRPr="00D65061">
        <w:rPr>
          <w:szCs w:val="24"/>
        </w:rPr>
        <w:t>Groschel</w:t>
      </w:r>
      <w:proofErr w:type="spellEnd"/>
      <w:r w:rsidRPr="00D65061">
        <w:rPr>
          <w:szCs w:val="24"/>
        </w:rPr>
        <w:t xml:space="preserve">, L., Agar, D.W., </w:t>
      </w:r>
      <w:proofErr w:type="spellStart"/>
      <w:r w:rsidRPr="00D65061">
        <w:rPr>
          <w:szCs w:val="24"/>
        </w:rPr>
        <w:t>Worz</w:t>
      </w:r>
      <w:proofErr w:type="spellEnd"/>
      <w:r w:rsidRPr="00D65061">
        <w:rPr>
          <w:szCs w:val="24"/>
        </w:rPr>
        <w:t xml:space="preserve">, O. and </w:t>
      </w:r>
      <w:proofErr w:type="spellStart"/>
      <w:r w:rsidRPr="00D65061">
        <w:rPr>
          <w:szCs w:val="24"/>
        </w:rPr>
        <w:t>Morgenschweis</w:t>
      </w:r>
      <w:proofErr w:type="spellEnd"/>
      <w:r w:rsidRPr="00D65061">
        <w:rPr>
          <w:szCs w:val="24"/>
        </w:rPr>
        <w:t>, K., The capillary-microreactor: a new reactor concept for the intensification of heat and mass transfer in liquid–liquid reactions. Catalysis Today, 79</w:t>
      </w:r>
      <w:r w:rsidR="00543C79">
        <w:rPr>
          <w:szCs w:val="24"/>
        </w:rPr>
        <w:t>, (</w:t>
      </w:r>
      <w:r w:rsidR="00543C79" w:rsidRPr="00543C79">
        <w:rPr>
          <w:szCs w:val="24"/>
        </w:rPr>
        <w:t>2003</w:t>
      </w:r>
      <w:r w:rsidR="00543C79">
        <w:rPr>
          <w:szCs w:val="24"/>
        </w:rPr>
        <w:t xml:space="preserve">), </w:t>
      </w:r>
      <w:r w:rsidRPr="00D65061">
        <w:rPr>
          <w:szCs w:val="24"/>
        </w:rPr>
        <w:t xml:space="preserve">433-439. </w:t>
      </w:r>
      <w:hyperlink r:id="rId30" w:tgtFrame="_blank" w:tooltip="Persistent link using digital object identifier" w:history="1">
        <w:r w:rsidRPr="00CB317C">
          <w:rPr>
            <w:rStyle w:val="Hyperlink"/>
            <w:iCs/>
            <w:noProof/>
            <w:lang w:val="en-IN"/>
          </w:rPr>
          <w:t>https://doi.org/10.1016/S0920-5861(03)00056-7</w:t>
        </w:r>
      </w:hyperlink>
      <w:r>
        <w:rPr>
          <w:iCs/>
          <w:noProof/>
          <w:lang w:val="en-IN"/>
        </w:rPr>
        <w:t xml:space="preserve"> </w:t>
      </w:r>
    </w:p>
    <w:p w:rsidR="00D65061" w:rsidRPr="00F6164F" w:rsidRDefault="00D65061" w:rsidP="00D65061">
      <w:pPr>
        <w:pStyle w:val="Reference"/>
        <w:widowControl w:val="0"/>
        <w:numPr>
          <w:ilvl w:val="0"/>
          <w:numId w:val="26"/>
        </w:numPr>
        <w:tabs>
          <w:tab w:val="left" w:pos="567"/>
          <w:tab w:val="left" w:pos="709"/>
        </w:tabs>
        <w:spacing w:after="0"/>
        <w:ind w:left="426" w:hanging="426"/>
        <w:jc w:val="both"/>
        <w:rPr>
          <w:iCs/>
          <w:noProof/>
        </w:rPr>
      </w:pPr>
      <w:proofErr w:type="spellStart"/>
      <w:r w:rsidRPr="00D65061">
        <w:rPr>
          <w:szCs w:val="24"/>
        </w:rPr>
        <w:t>Günther</w:t>
      </w:r>
      <w:proofErr w:type="spellEnd"/>
      <w:r w:rsidRPr="00D65061">
        <w:rPr>
          <w:szCs w:val="24"/>
        </w:rPr>
        <w:t xml:space="preserve">, A. and Jensen, K.F., Multiphase microfluidics: from flow characteristics to chemical and materials synthesis. Lab on a Chip, 6(12), </w:t>
      </w:r>
      <w:r w:rsidR="00543C79">
        <w:rPr>
          <w:szCs w:val="24"/>
        </w:rPr>
        <w:t xml:space="preserve">(2006), </w:t>
      </w:r>
      <w:r w:rsidRPr="00D65061">
        <w:rPr>
          <w:szCs w:val="24"/>
        </w:rPr>
        <w:t>1487-1503.</w:t>
      </w:r>
      <w:r>
        <w:rPr>
          <w:iCs/>
          <w:noProof/>
          <w:lang w:val="en-IN"/>
        </w:rPr>
        <w:t xml:space="preserve"> </w:t>
      </w:r>
      <w:proofErr w:type="spellStart"/>
      <w:r>
        <w:rPr>
          <w:rStyle w:val="Hyperlink"/>
          <w:lang w:val="en-IN"/>
        </w:rPr>
        <w:t>D</w:t>
      </w:r>
      <w:r w:rsidRPr="00F919D4">
        <w:rPr>
          <w:rStyle w:val="Hyperlink"/>
          <w:lang w:val="en-IN"/>
        </w:rPr>
        <w:t>oi</w:t>
      </w:r>
      <w:proofErr w:type="spellEnd"/>
      <w:r w:rsidRPr="00F919D4">
        <w:rPr>
          <w:rStyle w:val="Hyperlink"/>
          <w:lang w:val="en-IN"/>
        </w:rPr>
        <w:t>: 10.1039/B609851G</w:t>
      </w:r>
      <w:r w:rsidRPr="00F919D4">
        <w:rPr>
          <w:rStyle w:val="Hyperlink"/>
        </w:rPr>
        <w:t xml:space="preserve">  </w:t>
      </w:r>
    </w:p>
    <w:p w:rsidR="00D65061" w:rsidRPr="00F6164F" w:rsidRDefault="00D65061" w:rsidP="00D65061">
      <w:pPr>
        <w:pStyle w:val="Reference"/>
        <w:widowControl w:val="0"/>
        <w:numPr>
          <w:ilvl w:val="0"/>
          <w:numId w:val="26"/>
        </w:numPr>
        <w:tabs>
          <w:tab w:val="left" w:pos="567"/>
          <w:tab w:val="left" w:pos="709"/>
        </w:tabs>
        <w:spacing w:after="0"/>
        <w:ind w:left="426" w:hanging="426"/>
        <w:jc w:val="both"/>
        <w:rPr>
          <w:iCs/>
          <w:noProof/>
        </w:rPr>
      </w:pPr>
      <w:proofErr w:type="spellStart"/>
      <w:r w:rsidRPr="00D65061">
        <w:rPr>
          <w:szCs w:val="24"/>
        </w:rPr>
        <w:t>Talimi</w:t>
      </w:r>
      <w:proofErr w:type="spellEnd"/>
      <w:r w:rsidRPr="00D65061">
        <w:rPr>
          <w:szCs w:val="24"/>
        </w:rPr>
        <w:t xml:space="preserve">, V., </w:t>
      </w:r>
      <w:proofErr w:type="spellStart"/>
      <w:r w:rsidRPr="00D65061">
        <w:rPr>
          <w:szCs w:val="24"/>
        </w:rPr>
        <w:t>Muzychka</w:t>
      </w:r>
      <w:proofErr w:type="spellEnd"/>
      <w:r w:rsidRPr="00D65061">
        <w:rPr>
          <w:szCs w:val="24"/>
        </w:rPr>
        <w:t xml:space="preserve">, </w:t>
      </w:r>
      <w:r w:rsidR="00543C79">
        <w:rPr>
          <w:szCs w:val="24"/>
        </w:rPr>
        <w:t xml:space="preserve">Y.S. and </w:t>
      </w:r>
      <w:proofErr w:type="spellStart"/>
      <w:r w:rsidR="00543C79">
        <w:rPr>
          <w:szCs w:val="24"/>
        </w:rPr>
        <w:t>Kocabiyik</w:t>
      </w:r>
      <w:proofErr w:type="spellEnd"/>
      <w:r w:rsidR="00543C79">
        <w:rPr>
          <w:szCs w:val="24"/>
        </w:rPr>
        <w:t xml:space="preserve">, S., </w:t>
      </w:r>
      <w:r w:rsidRPr="00D65061">
        <w:rPr>
          <w:szCs w:val="24"/>
        </w:rPr>
        <w:t>Slug flow heat transfer in square microchannels. International Journal of Heat and Mass Transfer, 62</w:t>
      </w:r>
      <w:r w:rsidR="00543C79">
        <w:rPr>
          <w:szCs w:val="24"/>
        </w:rPr>
        <w:t xml:space="preserve">, (2013), </w:t>
      </w:r>
      <w:r w:rsidRPr="00D65061">
        <w:rPr>
          <w:szCs w:val="24"/>
        </w:rPr>
        <w:t xml:space="preserve">752-760. </w:t>
      </w:r>
      <w:hyperlink r:id="rId31" w:tgtFrame="_blank" w:tooltip="Persistent link using digital object identifier" w:history="1">
        <w:r w:rsidRPr="00F6164F">
          <w:rPr>
            <w:rStyle w:val="Hyperlink"/>
            <w:iCs/>
            <w:noProof/>
            <w:lang w:val="en-IN"/>
          </w:rPr>
          <w:t>https://doi.org/10.1016/j.ijheatmasstransfer.2013.03.035</w:t>
        </w:r>
      </w:hyperlink>
    </w:p>
    <w:p w:rsidR="00D65061" w:rsidRPr="00016DE7" w:rsidRDefault="00D65061" w:rsidP="00D65061">
      <w:pPr>
        <w:pStyle w:val="Reference"/>
        <w:widowControl w:val="0"/>
        <w:numPr>
          <w:ilvl w:val="0"/>
          <w:numId w:val="26"/>
        </w:numPr>
        <w:tabs>
          <w:tab w:val="left" w:pos="567"/>
          <w:tab w:val="left" w:pos="709"/>
        </w:tabs>
        <w:spacing w:after="0"/>
        <w:ind w:left="426" w:hanging="426"/>
        <w:jc w:val="both"/>
        <w:rPr>
          <w:iCs/>
          <w:noProof/>
        </w:rPr>
      </w:pPr>
      <w:proofErr w:type="spellStart"/>
      <w:r w:rsidRPr="00D65061">
        <w:rPr>
          <w:szCs w:val="24"/>
        </w:rPr>
        <w:t>Bandara</w:t>
      </w:r>
      <w:proofErr w:type="spellEnd"/>
      <w:r w:rsidRPr="00D65061">
        <w:rPr>
          <w:szCs w:val="24"/>
        </w:rPr>
        <w:t>, T., Nguyen, N.T. and Rosengarten, G., Slug flow heat transfer without phase change in microchannels: A review. Chemical Engineering Science, 126</w:t>
      </w:r>
      <w:r w:rsidR="00543C79">
        <w:rPr>
          <w:szCs w:val="24"/>
        </w:rPr>
        <w:t xml:space="preserve">, (2015), </w:t>
      </w:r>
      <w:r w:rsidRPr="00D65061">
        <w:rPr>
          <w:szCs w:val="24"/>
        </w:rPr>
        <w:t xml:space="preserve">283-295. </w:t>
      </w:r>
      <w:hyperlink r:id="rId32" w:tgtFrame="_blank" w:tooltip="Persistent link using digital object identifier" w:history="1">
        <w:r w:rsidRPr="00016DE7">
          <w:rPr>
            <w:rStyle w:val="Hyperlink"/>
            <w:iCs/>
            <w:noProof/>
            <w:lang w:val="en-IN"/>
          </w:rPr>
          <w:t>https://doi.org/10.1016/j.ces.2014.12.007</w:t>
        </w:r>
      </w:hyperlink>
    </w:p>
    <w:p w:rsidR="00D65061" w:rsidRPr="00016DE7" w:rsidRDefault="00D65061" w:rsidP="00D65061">
      <w:pPr>
        <w:pStyle w:val="Reference"/>
        <w:widowControl w:val="0"/>
        <w:numPr>
          <w:ilvl w:val="0"/>
          <w:numId w:val="26"/>
        </w:numPr>
        <w:tabs>
          <w:tab w:val="left" w:pos="567"/>
          <w:tab w:val="left" w:pos="709"/>
        </w:tabs>
        <w:spacing w:after="0"/>
        <w:ind w:left="426" w:hanging="426"/>
        <w:jc w:val="both"/>
        <w:rPr>
          <w:iCs/>
          <w:noProof/>
        </w:rPr>
      </w:pPr>
      <w:proofErr w:type="spellStart"/>
      <w:r w:rsidRPr="00D65061">
        <w:rPr>
          <w:szCs w:val="24"/>
        </w:rPr>
        <w:t>Kashid</w:t>
      </w:r>
      <w:proofErr w:type="spellEnd"/>
      <w:r w:rsidRPr="00D65061">
        <w:rPr>
          <w:szCs w:val="24"/>
        </w:rPr>
        <w:t xml:space="preserve">, M.N., </w:t>
      </w:r>
      <w:proofErr w:type="spellStart"/>
      <w:r w:rsidRPr="00D65061">
        <w:rPr>
          <w:szCs w:val="24"/>
        </w:rPr>
        <w:t>R</w:t>
      </w:r>
      <w:r w:rsidR="00543C79">
        <w:rPr>
          <w:szCs w:val="24"/>
        </w:rPr>
        <w:t>enken</w:t>
      </w:r>
      <w:proofErr w:type="spellEnd"/>
      <w:r w:rsidR="00543C79">
        <w:rPr>
          <w:szCs w:val="24"/>
        </w:rPr>
        <w:t>, A. and Kiwi-</w:t>
      </w:r>
      <w:proofErr w:type="spellStart"/>
      <w:r w:rsidR="00543C79">
        <w:rPr>
          <w:szCs w:val="24"/>
        </w:rPr>
        <w:t>Minsker</w:t>
      </w:r>
      <w:proofErr w:type="spellEnd"/>
      <w:r w:rsidR="00543C79">
        <w:rPr>
          <w:szCs w:val="24"/>
        </w:rPr>
        <w:t xml:space="preserve">, L., </w:t>
      </w:r>
      <w:r w:rsidRPr="00D65061">
        <w:rPr>
          <w:szCs w:val="24"/>
        </w:rPr>
        <w:t>CFD modelling of liquid–liquid multiphase microstructured reactor: Slug flow generation. Chemical Engineering Research and Design, 88</w:t>
      </w:r>
      <w:r w:rsidR="00543C79">
        <w:rPr>
          <w:szCs w:val="24"/>
        </w:rPr>
        <w:t xml:space="preserve">(3), (2010), </w:t>
      </w:r>
      <w:r w:rsidRPr="00D65061">
        <w:rPr>
          <w:szCs w:val="24"/>
        </w:rPr>
        <w:t>362-368.</w:t>
      </w:r>
      <w:r>
        <w:rPr>
          <w:iCs/>
          <w:noProof/>
          <w:lang w:val="en-IN"/>
        </w:rPr>
        <w:t xml:space="preserve"> </w:t>
      </w:r>
      <w:hyperlink r:id="rId33" w:tgtFrame="_blank" w:tooltip="Persistent link using digital object identifier" w:history="1">
        <w:r w:rsidRPr="00016DE7">
          <w:rPr>
            <w:rStyle w:val="Hyperlink"/>
            <w:iCs/>
            <w:noProof/>
            <w:lang w:val="en-IN"/>
          </w:rPr>
          <w:t>https://doi.org/10.1016/j.cherd.2009.11.017</w:t>
        </w:r>
      </w:hyperlink>
    </w:p>
    <w:p w:rsidR="00D65061" w:rsidRPr="00515C49" w:rsidRDefault="00D65061" w:rsidP="00D65061">
      <w:pPr>
        <w:pStyle w:val="Reference"/>
        <w:widowControl w:val="0"/>
        <w:numPr>
          <w:ilvl w:val="0"/>
          <w:numId w:val="26"/>
        </w:numPr>
        <w:tabs>
          <w:tab w:val="left" w:pos="567"/>
          <w:tab w:val="left" w:pos="709"/>
        </w:tabs>
        <w:spacing w:after="0"/>
        <w:ind w:left="426" w:hanging="426"/>
        <w:jc w:val="both"/>
        <w:rPr>
          <w:iCs/>
          <w:noProof/>
          <w:lang w:val="en-IN"/>
        </w:rPr>
      </w:pPr>
      <w:proofErr w:type="spellStart"/>
      <w:r w:rsidRPr="00D65061">
        <w:rPr>
          <w:szCs w:val="24"/>
        </w:rPr>
        <w:t>Abadie</w:t>
      </w:r>
      <w:proofErr w:type="spellEnd"/>
      <w:r w:rsidRPr="00D65061">
        <w:rPr>
          <w:szCs w:val="24"/>
        </w:rPr>
        <w:t xml:space="preserve">, T., Aubin, J., Legendre, D. and </w:t>
      </w:r>
      <w:proofErr w:type="spellStart"/>
      <w:r w:rsidRPr="00D65061">
        <w:rPr>
          <w:szCs w:val="24"/>
        </w:rPr>
        <w:t>Xuereb</w:t>
      </w:r>
      <w:proofErr w:type="spellEnd"/>
      <w:r w:rsidRPr="00D65061">
        <w:rPr>
          <w:szCs w:val="24"/>
        </w:rPr>
        <w:t xml:space="preserve">, C., Hydrodynamics of gas–liquid Taylor flow in rectangular microchannels. Microfluidics and </w:t>
      </w:r>
      <w:proofErr w:type="spellStart"/>
      <w:r w:rsidRPr="00D65061">
        <w:rPr>
          <w:szCs w:val="24"/>
        </w:rPr>
        <w:t>nanofluidics</w:t>
      </w:r>
      <w:proofErr w:type="spellEnd"/>
      <w:r w:rsidRPr="00D65061">
        <w:rPr>
          <w:szCs w:val="24"/>
        </w:rPr>
        <w:t>, 12</w:t>
      </w:r>
      <w:r w:rsidR="00543C79">
        <w:rPr>
          <w:szCs w:val="24"/>
        </w:rPr>
        <w:t xml:space="preserve">(1-4), (2012), </w:t>
      </w:r>
      <w:r w:rsidRPr="00D65061">
        <w:rPr>
          <w:szCs w:val="24"/>
        </w:rPr>
        <w:t>355-369.</w:t>
      </w:r>
      <w:r>
        <w:rPr>
          <w:iCs/>
          <w:noProof/>
          <w:lang w:val="en-US"/>
        </w:rPr>
        <w:t xml:space="preserve"> </w:t>
      </w:r>
      <w:hyperlink r:id="rId34" w:tgtFrame="_blank" w:history="1">
        <w:r w:rsidRPr="00515C49">
          <w:rPr>
            <w:rStyle w:val="Hyperlink"/>
            <w:iCs/>
            <w:noProof/>
            <w:lang w:val="en-IN"/>
          </w:rPr>
          <w:t>doi: https://doi.org/10.1007/s10404-011-0880-8</w:t>
        </w:r>
      </w:hyperlink>
      <w:r>
        <w:rPr>
          <w:iCs/>
          <w:noProof/>
          <w:lang w:val="en-IN"/>
        </w:rPr>
        <w:t xml:space="preserve"> </w:t>
      </w:r>
    </w:p>
    <w:p w:rsidR="00D65061" w:rsidRPr="00016DE7" w:rsidRDefault="00D65061" w:rsidP="00D65061">
      <w:pPr>
        <w:pStyle w:val="Reference"/>
        <w:widowControl w:val="0"/>
        <w:numPr>
          <w:ilvl w:val="0"/>
          <w:numId w:val="26"/>
        </w:numPr>
        <w:tabs>
          <w:tab w:val="left" w:pos="567"/>
          <w:tab w:val="left" w:pos="709"/>
        </w:tabs>
        <w:spacing w:after="0"/>
        <w:ind w:left="426" w:hanging="426"/>
        <w:jc w:val="both"/>
        <w:rPr>
          <w:iCs/>
          <w:noProof/>
        </w:rPr>
      </w:pPr>
      <w:r w:rsidRPr="00D65061">
        <w:rPr>
          <w:szCs w:val="24"/>
        </w:rPr>
        <w:t xml:space="preserve">Chandra, A.K., </w:t>
      </w:r>
      <w:proofErr w:type="spellStart"/>
      <w:r w:rsidRPr="00D65061">
        <w:rPr>
          <w:szCs w:val="24"/>
        </w:rPr>
        <w:t>Kishor</w:t>
      </w:r>
      <w:proofErr w:type="spellEnd"/>
      <w:r w:rsidRPr="00D65061">
        <w:rPr>
          <w:szCs w:val="24"/>
        </w:rPr>
        <w:t xml:space="preserve">, K., Mishra, P.K. and </w:t>
      </w:r>
      <w:proofErr w:type="spellStart"/>
      <w:r w:rsidRPr="00D65061">
        <w:rPr>
          <w:szCs w:val="24"/>
        </w:rPr>
        <w:t>Alam</w:t>
      </w:r>
      <w:proofErr w:type="spellEnd"/>
      <w:r w:rsidRPr="00D65061">
        <w:rPr>
          <w:szCs w:val="24"/>
        </w:rPr>
        <w:t>, M.S., Numerical investigations of two-phase flows through enhanced microchannels. Chemical and biochemical engineering quarterly, 30</w:t>
      </w:r>
      <w:r w:rsidR="00543C79">
        <w:rPr>
          <w:szCs w:val="24"/>
        </w:rPr>
        <w:t xml:space="preserve">(2), (2016), </w:t>
      </w:r>
      <w:r w:rsidRPr="00D65061">
        <w:rPr>
          <w:szCs w:val="24"/>
        </w:rPr>
        <w:t>149-159.</w:t>
      </w:r>
      <w:r>
        <w:rPr>
          <w:iCs/>
          <w:noProof/>
          <w:lang w:val="en-IN"/>
        </w:rPr>
        <w:t xml:space="preserve"> </w:t>
      </w:r>
      <w:hyperlink r:id="rId35" w:history="1">
        <w:r w:rsidRPr="00016DE7">
          <w:rPr>
            <w:rStyle w:val="Hyperlink"/>
            <w:iCs/>
            <w:noProof/>
            <w:lang w:val="en-IN"/>
          </w:rPr>
          <w:t>https://doi.org/10.15255/CABEQ.2015.2289</w:t>
        </w:r>
      </w:hyperlink>
    </w:p>
    <w:p w:rsidR="00D65061" w:rsidRPr="004353A6" w:rsidRDefault="00D65061" w:rsidP="00D65061">
      <w:pPr>
        <w:pStyle w:val="Reference"/>
        <w:widowControl w:val="0"/>
        <w:numPr>
          <w:ilvl w:val="0"/>
          <w:numId w:val="26"/>
        </w:numPr>
        <w:tabs>
          <w:tab w:val="left" w:pos="567"/>
        </w:tabs>
        <w:spacing w:after="0"/>
        <w:ind w:left="426" w:hanging="426"/>
        <w:jc w:val="both"/>
        <w:rPr>
          <w:rStyle w:val="Hyperlink"/>
          <w:iCs/>
          <w:noProof/>
          <w:color w:val="000000"/>
          <w:lang w:val="en-US"/>
        </w:rPr>
      </w:pPr>
      <w:proofErr w:type="spellStart"/>
      <w:r w:rsidRPr="00D65061">
        <w:rPr>
          <w:szCs w:val="24"/>
        </w:rPr>
        <w:t>Kishor</w:t>
      </w:r>
      <w:proofErr w:type="spellEnd"/>
      <w:r w:rsidRPr="00D65061">
        <w:rPr>
          <w:szCs w:val="24"/>
        </w:rPr>
        <w:t xml:space="preserve">, K., Chandra, A.K., Khan, W., Mishra, P.K. and </w:t>
      </w:r>
      <w:proofErr w:type="spellStart"/>
      <w:r w:rsidRPr="00D65061">
        <w:rPr>
          <w:szCs w:val="24"/>
        </w:rPr>
        <w:t>Siraj</w:t>
      </w:r>
      <w:proofErr w:type="spellEnd"/>
      <w:r w:rsidRPr="00D65061">
        <w:rPr>
          <w:szCs w:val="24"/>
        </w:rPr>
        <w:t xml:space="preserve"> </w:t>
      </w:r>
      <w:proofErr w:type="spellStart"/>
      <w:r w:rsidRPr="00D65061">
        <w:rPr>
          <w:szCs w:val="24"/>
        </w:rPr>
        <w:t>Alam</w:t>
      </w:r>
      <w:proofErr w:type="spellEnd"/>
      <w:r w:rsidRPr="00D65061">
        <w:rPr>
          <w:szCs w:val="24"/>
        </w:rPr>
        <w:t>, M., Numerical study on bubble dynamics and two-phase frictional pressure drop of slug flow regime in adiabatic T-junction square microchannel. Chemical and biochemical engineering quarterly, 31</w:t>
      </w:r>
      <w:r w:rsidR="00DF03CA">
        <w:rPr>
          <w:szCs w:val="24"/>
        </w:rPr>
        <w:t xml:space="preserve">(3), (2017), </w:t>
      </w:r>
      <w:r w:rsidRPr="00D65061">
        <w:rPr>
          <w:szCs w:val="24"/>
        </w:rPr>
        <w:lastRenderedPageBreak/>
        <w:t>275-291.</w:t>
      </w:r>
      <w:r>
        <w:rPr>
          <w:iCs/>
          <w:noProof/>
          <w:lang w:val="en-IN"/>
        </w:rPr>
        <w:t xml:space="preserve"> </w:t>
      </w:r>
      <w:hyperlink r:id="rId36" w:history="1">
        <w:r w:rsidRPr="00BC787E">
          <w:rPr>
            <w:rStyle w:val="Hyperlink"/>
          </w:rPr>
          <w:t>https://doi.org/10.15255/CABEQ.2016.877</w:t>
        </w:r>
      </w:hyperlink>
    </w:p>
    <w:p w:rsidR="00D65061" w:rsidRPr="00F6164F" w:rsidRDefault="00DF03CA" w:rsidP="00D65061">
      <w:pPr>
        <w:pStyle w:val="Reference"/>
        <w:widowControl w:val="0"/>
        <w:numPr>
          <w:ilvl w:val="0"/>
          <w:numId w:val="26"/>
        </w:numPr>
        <w:tabs>
          <w:tab w:val="left" w:pos="567"/>
          <w:tab w:val="left" w:pos="709"/>
        </w:tabs>
        <w:spacing w:after="0"/>
        <w:ind w:left="426" w:hanging="426"/>
        <w:jc w:val="both"/>
        <w:rPr>
          <w:iCs/>
          <w:noProof/>
        </w:rPr>
      </w:pPr>
      <w:proofErr w:type="spellStart"/>
      <w:r>
        <w:rPr>
          <w:szCs w:val="24"/>
        </w:rPr>
        <w:t>Taha</w:t>
      </w:r>
      <w:proofErr w:type="spellEnd"/>
      <w:r>
        <w:rPr>
          <w:szCs w:val="24"/>
        </w:rPr>
        <w:t xml:space="preserve">, T. and Cui, Z.F., </w:t>
      </w:r>
      <w:r w:rsidR="00D65061" w:rsidRPr="00D65061">
        <w:rPr>
          <w:szCs w:val="24"/>
        </w:rPr>
        <w:t>Hydrodynamics of slug flow inside capillaries. Chemical Engineering Science, 59</w:t>
      </w:r>
      <w:r>
        <w:rPr>
          <w:szCs w:val="24"/>
        </w:rPr>
        <w:t xml:space="preserve">(6), (2004), </w:t>
      </w:r>
      <w:r w:rsidR="00D65061" w:rsidRPr="00D65061">
        <w:rPr>
          <w:szCs w:val="24"/>
        </w:rPr>
        <w:t>1181-1190.</w:t>
      </w:r>
      <w:r w:rsidR="00D65061">
        <w:rPr>
          <w:iCs/>
          <w:noProof/>
          <w:lang w:val="en-IN"/>
        </w:rPr>
        <w:t xml:space="preserve"> </w:t>
      </w:r>
      <w:hyperlink r:id="rId37" w:tgtFrame="_blank" w:tooltip="Persistent link using digital object identifier" w:history="1">
        <w:r w:rsidR="00D65061" w:rsidRPr="00F6164F">
          <w:rPr>
            <w:rStyle w:val="Hyperlink"/>
            <w:iCs/>
            <w:noProof/>
            <w:lang w:val="en-IN"/>
          </w:rPr>
          <w:t>https://doi.org/10.1016/j.ces.2003.10.025</w:t>
        </w:r>
      </w:hyperlink>
    </w:p>
    <w:p w:rsidR="00D65061" w:rsidRPr="00A711D7" w:rsidRDefault="00D65061" w:rsidP="00D65061">
      <w:pPr>
        <w:pStyle w:val="Reference"/>
        <w:widowControl w:val="0"/>
        <w:numPr>
          <w:ilvl w:val="0"/>
          <w:numId w:val="26"/>
        </w:numPr>
        <w:tabs>
          <w:tab w:val="left" w:pos="567"/>
        </w:tabs>
        <w:spacing w:after="0"/>
        <w:ind w:left="426" w:hanging="426"/>
        <w:jc w:val="both"/>
        <w:rPr>
          <w:iCs/>
          <w:noProof/>
          <w:lang w:val="en-US"/>
        </w:rPr>
      </w:pPr>
      <w:proofErr w:type="spellStart"/>
      <w:r w:rsidRPr="00D65061">
        <w:rPr>
          <w:szCs w:val="24"/>
        </w:rPr>
        <w:t>Dessimoz</w:t>
      </w:r>
      <w:proofErr w:type="spellEnd"/>
      <w:r w:rsidRPr="00D65061">
        <w:rPr>
          <w:szCs w:val="24"/>
        </w:rPr>
        <w:t xml:space="preserve">, A.L., </w:t>
      </w:r>
      <w:proofErr w:type="spellStart"/>
      <w:r w:rsidRPr="00D65061">
        <w:rPr>
          <w:szCs w:val="24"/>
        </w:rPr>
        <w:t>Cavin</w:t>
      </w:r>
      <w:proofErr w:type="spellEnd"/>
      <w:r w:rsidRPr="00D65061">
        <w:rPr>
          <w:szCs w:val="24"/>
        </w:rPr>
        <w:t xml:space="preserve">, L., </w:t>
      </w:r>
      <w:proofErr w:type="spellStart"/>
      <w:r w:rsidRPr="00D65061">
        <w:rPr>
          <w:szCs w:val="24"/>
        </w:rPr>
        <w:t>Renken</w:t>
      </w:r>
      <w:proofErr w:type="spellEnd"/>
      <w:r w:rsidRPr="00D65061">
        <w:rPr>
          <w:szCs w:val="24"/>
        </w:rPr>
        <w:t>, A. and Kiwi-</w:t>
      </w:r>
      <w:proofErr w:type="spellStart"/>
      <w:r w:rsidRPr="00D65061">
        <w:rPr>
          <w:szCs w:val="24"/>
        </w:rPr>
        <w:t>Minsker</w:t>
      </w:r>
      <w:proofErr w:type="spellEnd"/>
      <w:r w:rsidRPr="00D65061">
        <w:rPr>
          <w:szCs w:val="24"/>
        </w:rPr>
        <w:t>, L., Liquid–liquid two-phase flow patterns and mass transfer characteristics in rectangular glass microreactors. Chemical Engineering Science, 63</w:t>
      </w:r>
      <w:r w:rsidR="00DF03CA">
        <w:rPr>
          <w:szCs w:val="24"/>
        </w:rPr>
        <w:t xml:space="preserve">(16), (2008), </w:t>
      </w:r>
      <w:r w:rsidRPr="00D65061">
        <w:rPr>
          <w:szCs w:val="24"/>
        </w:rPr>
        <w:t>4035-4044.</w:t>
      </w:r>
      <w:r>
        <w:rPr>
          <w:iCs/>
          <w:noProof/>
          <w:lang w:val="en-IN"/>
        </w:rPr>
        <w:t xml:space="preserve"> </w:t>
      </w:r>
      <w:hyperlink r:id="rId38" w:tgtFrame="_blank" w:tooltip="Persistent link using digital object identifier" w:history="1">
        <w:r w:rsidRPr="00CB317C">
          <w:rPr>
            <w:rStyle w:val="Hyperlink"/>
            <w:iCs/>
            <w:noProof/>
            <w:lang w:val="en-IN"/>
          </w:rPr>
          <w:t>https://doi.org/10.1016/j.ces.2008.05.005</w:t>
        </w:r>
      </w:hyperlink>
    </w:p>
    <w:p w:rsidR="00D65061" w:rsidRPr="00F6164F" w:rsidRDefault="00D65061" w:rsidP="00D65061">
      <w:pPr>
        <w:pStyle w:val="Reference"/>
        <w:widowControl w:val="0"/>
        <w:numPr>
          <w:ilvl w:val="0"/>
          <w:numId w:val="26"/>
        </w:numPr>
        <w:tabs>
          <w:tab w:val="left" w:pos="567"/>
          <w:tab w:val="left" w:pos="709"/>
        </w:tabs>
        <w:spacing w:after="0"/>
        <w:ind w:left="426" w:hanging="426"/>
        <w:jc w:val="both"/>
        <w:rPr>
          <w:iCs/>
          <w:noProof/>
        </w:rPr>
      </w:pPr>
      <w:r w:rsidRPr="00D65061">
        <w:rPr>
          <w:szCs w:val="24"/>
        </w:rPr>
        <w:t xml:space="preserve">Santos, R.M. and </w:t>
      </w:r>
      <w:proofErr w:type="spellStart"/>
      <w:r w:rsidRPr="00D65061">
        <w:rPr>
          <w:szCs w:val="24"/>
        </w:rPr>
        <w:t>Kawaji</w:t>
      </w:r>
      <w:proofErr w:type="spellEnd"/>
      <w:r w:rsidRPr="00D65061">
        <w:rPr>
          <w:szCs w:val="24"/>
        </w:rPr>
        <w:t xml:space="preserve">, M., Numerical </w:t>
      </w:r>
      <w:proofErr w:type="spellStart"/>
      <w:r w:rsidRPr="00D65061">
        <w:rPr>
          <w:szCs w:val="24"/>
        </w:rPr>
        <w:t>modeling</w:t>
      </w:r>
      <w:proofErr w:type="spellEnd"/>
      <w:r w:rsidRPr="00D65061">
        <w:rPr>
          <w:szCs w:val="24"/>
        </w:rPr>
        <w:t xml:space="preserve"> and experimental investigation of gas–liquid slug formation in a microchannel T-junction. International Journal of Multiphase Flow, 36(4), </w:t>
      </w:r>
      <w:r w:rsidR="00DF03CA">
        <w:rPr>
          <w:szCs w:val="24"/>
        </w:rPr>
        <w:t xml:space="preserve">(2010), </w:t>
      </w:r>
      <w:r w:rsidRPr="00D65061">
        <w:rPr>
          <w:szCs w:val="24"/>
        </w:rPr>
        <w:t>314-323.</w:t>
      </w:r>
      <w:r>
        <w:rPr>
          <w:iCs/>
          <w:noProof/>
          <w:lang w:val="en-IN"/>
        </w:rPr>
        <w:t xml:space="preserve"> </w:t>
      </w:r>
      <w:hyperlink r:id="rId39" w:tgtFrame="_blank" w:tooltip="Persistent link using digital object identifier" w:history="1">
        <w:r w:rsidRPr="00F6164F">
          <w:rPr>
            <w:rStyle w:val="Hyperlink"/>
            <w:iCs/>
            <w:noProof/>
            <w:lang w:val="en-IN"/>
          </w:rPr>
          <w:t>https://doi.org/10.1016/j.ijmultiphaseflow.2009.11.009</w:t>
        </w:r>
      </w:hyperlink>
    </w:p>
    <w:p w:rsidR="00D65061" w:rsidRPr="00F6164F" w:rsidRDefault="00DF03CA" w:rsidP="00D65061">
      <w:pPr>
        <w:pStyle w:val="Reference"/>
        <w:widowControl w:val="0"/>
        <w:numPr>
          <w:ilvl w:val="0"/>
          <w:numId w:val="26"/>
        </w:numPr>
        <w:tabs>
          <w:tab w:val="left" w:pos="567"/>
          <w:tab w:val="left" w:pos="709"/>
        </w:tabs>
        <w:spacing w:after="0"/>
        <w:ind w:left="426" w:hanging="426"/>
        <w:jc w:val="both"/>
        <w:rPr>
          <w:iCs/>
          <w:noProof/>
        </w:rPr>
      </w:pPr>
      <w:r>
        <w:rPr>
          <w:szCs w:val="24"/>
        </w:rPr>
        <w:t xml:space="preserve">Santos, R.M. and </w:t>
      </w:r>
      <w:proofErr w:type="spellStart"/>
      <w:r>
        <w:rPr>
          <w:szCs w:val="24"/>
        </w:rPr>
        <w:t>Kawaji</w:t>
      </w:r>
      <w:proofErr w:type="spellEnd"/>
      <w:r>
        <w:rPr>
          <w:szCs w:val="24"/>
        </w:rPr>
        <w:t xml:space="preserve">, M., </w:t>
      </w:r>
      <w:r w:rsidR="00D65061" w:rsidRPr="00D65061">
        <w:rPr>
          <w:szCs w:val="24"/>
        </w:rPr>
        <w:t>Developments on wetting effects in microfluidic slug flow. Chemical Engineering Communications, 199</w:t>
      </w:r>
      <w:r>
        <w:rPr>
          <w:szCs w:val="24"/>
        </w:rPr>
        <w:t xml:space="preserve">(12), (2012), </w:t>
      </w:r>
      <w:r w:rsidR="00D65061" w:rsidRPr="00D65061">
        <w:rPr>
          <w:szCs w:val="24"/>
        </w:rPr>
        <w:t>1626-1641.</w:t>
      </w:r>
      <w:r w:rsidR="00D65061">
        <w:rPr>
          <w:iCs/>
          <w:noProof/>
          <w:lang w:val="en-IN"/>
        </w:rPr>
        <w:t xml:space="preserve"> </w:t>
      </w:r>
      <w:hyperlink r:id="rId40" w:tgtFrame="_blank" w:history="1">
        <w:r w:rsidR="00D65061" w:rsidRPr="00F6164F">
          <w:rPr>
            <w:rStyle w:val="Hyperlink"/>
            <w:iCs/>
            <w:noProof/>
          </w:rPr>
          <w:t>doi: https://doi.org/10.1080/00986445.2012.660712</w:t>
        </w:r>
      </w:hyperlink>
    </w:p>
    <w:p w:rsidR="00D65061" w:rsidRPr="00E013E4" w:rsidRDefault="00D65061" w:rsidP="00D65061">
      <w:pPr>
        <w:pStyle w:val="Reference"/>
        <w:widowControl w:val="0"/>
        <w:numPr>
          <w:ilvl w:val="0"/>
          <w:numId w:val="26"/>
        </w:numPr>
        <w:tabs>
          <w:tab w:val="left" w:pos="567"/>
          <w:tab w:val="left" w:pos="709"/>
        </w:tabs>
        <w:spacing w:after="0"/>
        <w:ind w:left="426" w:hanging="426"/>
        <w:jc w:val="both"/>
        <w:rPr>
          <w:iCs/>
          <w:noProof/>
        </w:rPr>
      </w:pPr>
      <w:proofErr w:type="spellStart"/>
      <w:r w:rsidRPr="00D65061">
        <w:rPr>
          <w:szCs w:val="24"/>
        </w:rPr>
        <w:t>Brackbill</w:t>
      </w:r>
      <w:proofErr w:type="spellEnd"/>
      <w:r w:rsidRPr="00D65061">
        <w:rPr>
          <w:szCs w:val="24"/>
        </w:rPr>
        <w:t xml:space="preserve">, J.U., </w:t>
      </w:r>
      <w:proofErr w:type="spellStart"/>
      <w:r w:rsidRPr="00D65061">
        <w:rPr>
          <w:szCs w:val="24"/>
        </w:rPr>
        <w:t>Kothe</w:t>
      </w:r>
      <w:proofErr w:type="spellEnd"/>
      <w:r w:rsidRPr="00D65061">
        <w:rPr>
          <w:szCs w:val="24"/>
        </w:rPr>
        <w:t xml:space="preserve">, D.B. and Zemach, C., A continuum method for </w:t>
      </w:r>
      <w:proofErr w:type="spellStart"/>
      <w:r w:rsidRPr="00D65061">
        <w:rPr>
          <w:szCs w:val="24"/>
        </w:rPr>
        <w:t>modeling</w:t>
      </w:r>
      <w:proofErr w:type="spellEnd"/>
      <w:r w:rsidRPr="00D65061">
        <w:rPr>
          <w:szCs w:val="24"/>
        </w:rPr>
        <w:t xml:space="preserve"> surface tension. Journal of computational physics, 100</w:t>
      </w:r>
      <w:r w:rsidR="00DF03CA">
        <w:rPr>
          <w:szCs w:val="24"/>
        </w:rPr>
        <w:t xml:space="preserve">(2), (1992), </w:t>
      </w:r>
      <w:r w:rsidRPr="00D65061">
        <w:rPr>
          <w:szCs w:val="24"/>
        </w:rPr>
        <w:t>335-354.</w:t>
      </w:r>
      <w:r>
        <w:rPr>
          <w:iCs/>
          <w:noProof/>
          <w:lang w:val="en-US"/>
        </w:rPr>
        <w:t xml:space="preserve"> </w:t>
      </w:r>
      <w:hyperlink r:id="rId41" w:tgtFrame="_blank" w:tooltip="Persistent link using digital object identifier" w:history="1">
        <w:r w:rsidRPr="00E013E4">
          <w:rPr>
            <w:rStyle w:val="Hyperlink"/>
            <w:iCs/>
            <w:noProof/>
            <w:lang w:val="en-IN"/>
          </w:rPr>
          <w:t>https://doi.org/10.1016/0021-9991(92)90240-Y</w:t>
        </w:r>
      </w:hyperlink>
    </w:p>
    <w:p w:rsidR="00D65061" w:rsidRPr="00313C54" w:rsidRDefault="00D65061" w:rsidP="00D65061">
      <w:pPr>
        <w:pStyle w:val="Reference"/>
        <w:widowControl w:val="0"/>
        <w:numPr>
          <w:ilvl w:val="0"/>
          <w:numId w:val="26"/>
        </w:numPr>
        <w:tabs>
          <w:tab w:val="left" w:pos="567"/>
          <w:tab w:val="left" w:pos="709"/>
        </w:tabs>
        <w:spacing w:after="0"/>
        <w:ind w:left="426" w:hanging="426"/>
        <w:jc w:val="both"/>
        <w:rPr>
          <w:rStyle w:val="Hyperlink"/>
          <w:iCs/>
          <w:noProof/>
          <w:color w:val="auto"/>
          <w:u w:val="none"/>
        </w:rPr>
      </w:pPr>
      <w:r w:rsidRPr="00D65061">
        <w:rPr>
          <w:szCs w:val="24"/>
        </w:rPr>
        <w:t xml:space="preserve">Qian, D. and </w:t>
      </w:r>
      <w:proofErr w:type="spellStart"/>
      <w:r w:rsidRPr="00D65061">
        <w:rPr>
          <w:szCs w:val="24"/>
        </w:rPr>
        <w:t>Lawal</w:t>
      </w:r>
      <w:proofErr w:type="spellEnd"/>
      <w:r w:rsidRPr="00D65061">
        <w:rPr>
          <w:szCs w:val="24"/>
        </w:rPr>
        <w:t>, A., Numerical study on gas and liquid slugs for Taylor flow in a T-junction microchannel. Chemical Engineering Science, 61</w:t>
      </w:r>
      <w:r w:rsidR="00DF03CA">
        <w:rPr>
          <w:szCs w:val="24"/>
        </w:rPr>
        <w:t xml:space="preserve">(23), (2006), </w:t>
      </w:r>
      <w:r w:rsidRPr="00D65061">
        <w:rPr>
          <w:szCs w:val="24"/>
        </w:rPr>
        <w:t xml:space="preserve">7609-7625. </w:t>
      </w:r>
      <w:hyperlink r:id="rId42" w:tgtFrame="_blank" w:tooltip="Persistent link using digital object identifier" w:history="1">
        <w:r w:rsidRPr="00660E23">
          <w:rPr>
            <w:rStyle w:val="Hyperlink"/>
            <w:iCs/>
            <w:noProof/>
            <w:lang w:val="en-IN"/>
          </w:rPr>
          <w:t>https://doi.org/10.1016/j.ces.2006.08.073</w:t>
        </w:r>
      </w:hyperlink>
    </w:p>
    <w:p w:rsidR="00D65061" w:rsidRPr="00313C54" w:rsidRDefault="00D65061" w:rsidP="00313C54">
      <w:pPr>
        <w:pStyle w:val="Reference"/>
        <w:widowControl w:val="0"/>
        <w:numPr>
          <w:ilvl w:val="0"/>
          <w:numId w:val="26"/>
        </w:numPr>
        <w:tabs>
          <w:tab w:val="left" w:pos="567"/>
          <w:tab w:val="left" w:pos="709"/>
        </w:tabs>
        <w:spacing w:after="0"/>
        <w:ind w:left="426" w:hanging="426"/>
        <w:jc w:val="both"/>
        <w:rPr>
          <w:iCs/>
          <w:noProof/>
        </w:rPr>
      </w:pPr>
      <w:proofErr w:type="spellStart"/>
      <w:r w:rsidRPr="00313C54">
        <w:rPr>
          <w:szCs w:val="24"/>
        </w:rPr>
        <w:t>Sobieszuk</w:t>
      </w:r>
      <w:proofErr w:type="spellEnd"/>
      <w:r w:rsidRPr="00313C54">
        <w:rPr>
          <w:szCs w:val="24"/>
        </w:rPr>
        <w:t xml:space="preserve">, P., </w:t>
      </w:r>
      <w:proofErr w:type="spellStart"/>
      <w:r w:rsidRPr="00313C54">
        <w:rPr>
          <w:szCs w:val="24"/>
        </w:rPr>
        <w:t>Cygański</w:t>
      </w:r>
      <w:proofErr w:type="spellEnd"/>
      <w:r w:rsidRPr="00313C54">
        <w:rPr>
          <w:szCs w:val="24"/>
        </w:rPr>
        <w:t xml:space="preserve">, P. and </w:t>
      </w:r>
      <w:proofErr w:type="spellStart"/>
      <w:r w:rsidRPr="00313C54">
        <w:rPr>
          <w:szCs w:val="24"/>
        </w:rPr>
        <w:t>Pohorecki</w:t>
      </w:r>
      <w:proofErr w:type="spellEnd"/>
      <w:r w:rsidRPr="00313C54">
        <w:rPr>
          <w:szCs w:val="24"/>
        </w:rPr>
        <w:t>, R., Bubble lengths in the gas–liquid Taylor flow in microchannels. Chemical engineering research and design, 88(3)</w:t>
      </w:r>
      <w:r w:rsidR="00DF03CA">
        <w:rPr>
          <w:szCs w:val="24"/>
        </w:rPr>
        <w:t xml:space="preserve">, (2010), </w:t>
      </w:r>
      <w:r w:rsidRPr="00313C54">
        <w:rPr>
          <w:szCs w:val="24"/>
        </w:rPr>
        <w:t xml:space="preserve">263-269. </w:t>
      </w:r>
      <w:hyperlink r:id="rId43" w:tgtFrame="_blank" w:tooltip="Persistent link using digital object identifier" w:history="1">
        <w:r w:rsidRPr="00313C54">
          <w:rPr>
            <w:rStyle w:val="Hyperlink"/>
            <w:iCs/>
            <w:noProof/>
            <w:lang w:val="en-IN"/>
          </w:rPr>
          <w:t>https://doi.org/10.1016/j.cherd.2009.07.007</w:t>
        </w:r>
      </w:hyperlink>
    </w:p>
    <w:p w:rsidR="00D65061" w:rsidRPr="00E013E4" w:rsidRDefault="00D65061" w:rsidP="00313C54">
      <w:pPr>
        <w:pStyle w:val="Reference"/>
        <w:widowControl w:val="0"/>
        <w:numPr>
          <w:ilvl w:val="0"/>
          <w:numId w:val="0"/>
        </w:numPr>
        <w:tabs>
          <w:tab w:val="left" w:pos="567"/>
          <w:tab w:val="left" w:pos="709"/>
        </w:tabs>
        <w:spacing w:after="0"/>
        <w:ind w:left="426"/>
        <w:jc w:val="both"/>
        <w:rPr>
          <w:iCs/>
          <w:noProof/>
        </w:rPr>
      </w:pPr>
    </w:p>
    <w:sectPr w:rsidR="00D65061" w:rsidRPr="00E013E4" w:rsidSect="00C0795D">
      <w:footerReference w:type="default" r:id="rId44"/>
      <w:headerReference w:type="first" r:id="rId45"/>
      <w:footerReference w:type="first" r:id="rId46"/>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3B" w:rsidRDefault="000E473B">
      <w:r>
        <w:separator/>
      </w:r>
    </w:p>
  </w:endnote>
  <w:endnote w:type="continuationSeparator" w:id="0">
    <w:p w:rsidR="000E473B" w:rsidRDefault="000E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A47C1A">
    <w:pPr>
      <w:pStyle w:val="Footer"/>
      <w:jc w:val="center"/>
    </w:pPr>
  </w:p>
  <w:p w:rsidR="00A47C1A" w:rsidRDefault="00D350F3">
    <w:pPr>
      <w:pStyle w:val="Footer"/>
      <w:jc w:val="center"/>
    </w:pPr>
    <w:r>
      <w:t>X</w:t>
    </w:r>
    <w:r w:rsidR="00A47C1A">
      <w:t>XX-</w:t>
    </w:r>
    <w:r w:rsidR="002B13D9">
      <w:fldChar w:fldCharType="begin"/>
    </w:r>
    <w:r w:rsidR="00036E07">
      <w:instrText xml:space="preserve"> PAGE </w:instrText>
    </w:r>
    <w:r w:rsidR="002B13D9">
      <w:fldChar w:fldCharType="separate"/>
    </w:r>
    <w:r w:rsidR="00E33258">
      <w:rPr>
        <w:noProof/>
      </w:rPr>
      <w:t>2</w:t>
    </w:r>
    <w:r w:rsidR="002B13D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DB410A">
    <w:pPr>
      <w:pStyle w:val="Footer"/>
      <w:jc w:val="center"/>
      <w:rPr>
        <w:lang w:val="sl-SI"/>
      </w:rPr>
    </w:pPr>
    <w:r>
      <w:rPr>
        <w:lang w:val="sl-SI"/>
      </w:rPr>
      <w:t>XXX</w:t>
    </w:r>
    <w:r w:rsidR="00A47C1A">
      <w:rPr>
        <w:lang w:val="sl-SI"/>
      </w:rPr>
      <w:t>-</w:t>
    </w:r>
    <w:r w:rsidR="002B13D9">
      <w:rPr>
        <w:rStyle w:val="PageNumber"/>
      </w:rPr>
      <w:fldChar w:fldCharType="begin"/>
    </w:r>
    <w:r w:rsidR="00A47C1A">
      <w:rPr>
        <w:rStyle w:val="PageNumber"/>
      </w:rPr>
      <w:instrText xml:space="preserve"> PAGE </w:instrText>
    </w:r>
    <w:r w:rsidR="002B13D9">
      <w:rPr>
        <w:rStyle w:val="PageNumber"/>
      </w:rPr>
      <w:fldChar w:fldCharType="separate"/>
    </w:r>
    <w:r w:rsidR="00BD6318">
      <w:rPr>
        <w:rStyle w:val="PageNumber"/>
        <w:noProof/>
      </w:rPr>
      <w:t>1</w:t>
    </w:r>
    <w:r w:rsidR="002B13D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3B" w:rsidRDefault="000E473B">
      <w:r>
        <w:separator/>
      </w:r>
    </w:p>
  </w:footnote>
  <w:footnote w:type="continuationSeparator" w:id="0">
    <w:p w:rsidR="000E473B" w:rsidRDefault="000E4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F755D8">
      <w:rPr>
        <w:i/>
        <w:lang w:val="en-CA"/>
      </w:rPr>
      <w:t xml:space="preserve">National </w:t>
    </w:r>
    <w:r w:rsidR="004957D6">
      <w:rPr>
        <w:i/>
        <w:lang w:val="en-CA"/>
      </w:rPr>
      <w:t xml:space="preserve">Conference </w:t>
    </w:r>
    <w:r w:rsidR="00F755D8">
      <w:rPr>
        <w:i/>
        <w:lang w:val="en-CA"/>
      </w:rPr>
      <w:t>on Computational Modeling of Fluid Dynamics Problems</w:t>
    </w:r>
    <w:r w:rsidR="008D00BA">
      <w:rPr>
        <w:i/>
        <w:lang w:val="en-CA"/>
      </w:rPr>
      <w:t xml:space="preserve"> (CMFDP-2019)</w:t>
    </w:r>
  </w:p>
  <w:p w:rsidR="00A47C1A" w:rsidRDefault="00F755D8" w:rsidP="00540715">
    <w:pPr>
      <w:pStyle w:val="Footer"/>
      <w:tabs>
        <w:tab w:val="left" w:pos="720"/>
      </w:tabs>
      <w:ind w:firstLine="0"/>
      <w:jc w:val="left"/>
      <w:rPr>
        <w:i/>
        <w:lang w:val="en-CA"/>
      </w:rPr>
    </w:pPr>
    <w:r>
      <w:rPr>
        <w:i/>
        <w:lang w:val="en-CA"/>
      </w:rPr>
      <w:t>NIT Warangal, India – Jan 18-20</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1903E3"/>
    <w:multiLevelType w:val="hybridMultilevel"/>
    <w:tmpl w:val="032E4694"/>
    <w:lvl w:ilvl="0" w:tplc="EA181804">
      <w:start w:val="1"/>
      <w:numFmt w:val="decimal"/>
      <w:lvlText w:val="4.%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DC95C39"/>
    <w:multiLevelType w:val="hybridMultilevel"/>
    <w:tmpl w:val="62025824"/>
    <w:lvl w:ilvl="0" w:tplc="C0B6A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AF52857"/>
    <w:multiLevelType w:val="hybridMultilevel"/>
    <w:tmpl w:val="D0B8CC0E"/>
    <w:lvl w:ilvl="0" w:tplc="EA181804">
      <w:start w:val="1"/>
      <w:numFmt w:val="decimal"/>
      <w:lvlText w:val="4.%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C0717CD"/>
    <w:multiLevelType w:val="hybridMultilevel"/>
    <w:tmpl w:val="A74806BA"/>
    <w:lvl w:ilvl="0" w:tplc="5806585A">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7">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FF09B4"/>
    <w:multiLevelType w:val="multilevel"/>
    <w:tmpl w:val="59849390"/>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b w:val="0"/>
        <w:bCs/>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70E49F6"/>
    <w:multiLevelType w:val="hybridMultilevel"/>
    <w:tmpl w:val="4F025E10"/>
    <w:lvl w:ilvl="0" w:tplc="1BC23B52">
      <w:start w:val="1"/>
      <w:numFmt w:val="decimal"/>
      <w:pStyle w:val="section"/>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7E5302"/>
    <w:multiLevelType w:val="singleLevel"/>
    <w:tmpl w:val="DCF677BC"/>
    <w:lvl w:ilvl="0">
      <w:start w:val="1"/>
      <w:numFmt w:val="decimal"/>
      <w:lvlText w:val="[%1]"/>
      <w:lvlJc w:val="left"/>
      <w:pPr>
        <w:tabs>
          <w:tab w:val="num" w:pos="360"/>
        </w:tabs>
        <w:ind w:left="360" w:hanging="360"/>
      </w:pPr>
    </w:lvl>
  </w:abstractNum>
  <w:abstractNum w:abstractNumId="22">
    <w:nsid w:val="73F24CF2"/>
    <w:multiLevelType w:val="hybridMultilevel"/>
    <w:tmpl w:val="09E29B60"/>
    <w:lvl w:ilvl="0" w:tplc="5806585A">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5"/>
  </w:num>
  <w:num w:numId="16">
    <w:abstractNumId w:val="5"/>
  </w:num>
  <w:num w:numId="17">
    <w:abstractNumId w:val="17"/>
  </w:num>
  <w:num w:numId="18">
    <w:abstractNumId w:val="10"/>
  </w:num>
  <w:num w:numId="19">
    <w:abstractNumId w:val="18"/>
  </w:num>
  <w:num w:numId="20">
    <w:abstractNumId w:val="19"/>
  </w:num>
  <w:num w:numId="21">
    <w:abstractNumId w:val="20"/>
  </w:num>
  <w:num w:numId="22">
    <w:abstractNumId w:val="14"/>
  </w:num>
  <w:num w:numId="23">
    <w:abstractNumId w:val="11"/>
  </w:num>
  <w:num w:numId="24">
    <w:abstractNumId w:val="22"/>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14FDD"/>
    <w:rsid w:val="00021A6C"/>
    <w:rsid w:val="00026BC3"/>
    <w:rsid w:val="00026D13"/>
    <w:rsid w:val="00034368"/>
    <w:rsid w:val="00036E07"/>
    <w:rsid w:val="00054A47"/>
    <w:rsid w:val="00054FA2"/>
    <w:rsid w:val="000713DA"/>
    <w:rsid w:val="00095DE1"/>
    <w:rsid w:val="000B09DD"/>
    <w:rsid w:val="000C411C"/>
    <w:rsid w:val="000C7419"/>
    <w:rsid w:val="000E473B"/>
    <w:rsid w:val="000E7A2F"/>
    <w:rsid w:val="000F268D"/>
    <w:rsid w:val="000F3A43"/>
    <w:rsid w:val="0011741F"/>
    <w:rsid w:val="00125A5C"/>
    <w:rsid w:val="0014647F"/>
    <w:rsid w:val="0016494C"/>
    <w:rsid w:val="001675D0"/>
    <w:rsid w:val="001726F9"/>
    <w:rsid w:val="00175432"/>
    <w:rsid w:val="0017676D"/>
    <w:rsid w:val="00176EB2"/>
    <w:rsid w:val="00186CD1"/>
    <w:rsid w:val="001A06FD"/>
    <w:rsid w:val="001C4B5F"/>
    <w:rsid w:val="001E4452"/>
    <w:rsid w:val="001E531E"/>
    <w:rsid w:val="001F0C01"/>
    <w:rsid w:val="001F4C3D"/>
    <w:rsid w:val="001F57B9"/>
    <w:rsid w:val="00205179"/>
    <w:rsid w:val="00216E65"/>
    <w:rsid w:val="00220866"/>
    <w:rsid w:val="00220E8C"/>
    <w:rsid w:val="00230512"/>
    <w:rsid w:val="00243A47"/>
    <w:rsid w:val="0024718D"/>
    <w:rsid w:val="00252FB6"/>
    <w:rsid w:val="00257DC3"/>
    <w:rsid w:val="0027232E"/>
    <w:rsid w:val="00295E6C"/>
    <w:rsid w:val="002B13D9"/>
    <w:rsid w:val="002C5633"/>
    <w:rsid w:val="002D27DC"/>
    <w:rsid w:val="002E107B"/>
    <w:rsid w:val="002E19E8"/>
    <w:rsid w:val="002E3A2D"/>
    <w:rsid w:val="002E457C"/>
    <w:rsid w:val="002F788F"/>
    <w:rsid w:val="0030251D"/>
    <w:rsid w:val="00313C54"/>
    <w:rsid w:val="00322C87"/>
    <w:rsid w:val="003263B6"/>
    <w:rsid w:val="0033118B"/>
    <w:rsid w:val="00332A73"/>
    <w:rsid w:val="003571F4"/>
    <w:rsid w:val="00370FCA"/>
    <w:rsid w:val="00374491"/>
    <w:rsid w:val="00375B18"/>
    <w:rsid w:val="00390BBA"/>
    <w:rsid w:val="00393AC9"/>
    <w:rsid w:val="00393D37"/>
    <w:rsid w:val="003A0B06"/>
    <w:rsid w:val="003A7E1C"/>
    <w:rsid w:val="003B23F8"/>
    <w:rsid w:val="003B6EA7"/>
    <w:rsid w:val="003D5FF1"/>
    <w:rsid w:val="003F1115"/>
    <w:rsid w:val="003F2D85"/>
    <w:rsid w:val="00407D83"/>
    <w:rsid w:val="004124A1"/>
    <w:rsid w:val="00423B13"/>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4E62ED"/>
    <w:rsid w:val="005016D5"/>
    <w:rsid w:val="005037DF"/>
    <w:rsid w:val="00511ABA"/>
    <w:rsid w:val="00511DC4"/>
    <w:rsid w:val="00530065"/>
    <w:rsid w:val="00540715"/>
    <w:rsid w:val="00543723"/>
    <w:rsid w:val="00543C79"/>
    <w:rsid w:val="005538EF"/>
    <w:rsid w:val="005774AE"/>
    <w:rsid w:val="0058158D"/>
    <w:rsid w:val="005B32C5"/>
    <w:rsid w:val="005B64A9"/>
    <w:rsid w:val="005D6F99"/>
    <w:rsid w:val="005E294F"/>
    <w:rsid w:val="005F4C4E"/>
    <w:rsid w:val="005F4E84"/>
    <w:rsid w:val="005F5165"/>
    <w:rsid w:val="006044B0"/>
    <w:rsid w:val="00637FAD"/>
    <w:rsid w:val="00643C4C"/>
    <w:rsid w:val="006501CE"/>
    <w:rsid w:val="00666120"/>
    <w:rsid w:val="0067379C"/>
    <w:rsid w:val="006807CF"/>
    <w:rsid w:val="006C5C88"/>
    <w:rsid w:val="006E5B59"/>
    <w:rsid w:val="006F504F"/>
    <w:rsid w:val="007027A2"/>
    <w:rsid w:val="00712C0A"/>
    <w:rsid w:val="00716DC7"/>
    <w:rsid w:val="007520E5"/>
    <w:rsid w:val="00755C41"/>
    <w:rsid w:val="00760288"/>
    <w:rsid w:val="007A7893"/>
    <w:rsid w:val="007C10EF"/>
    <w:rsid w:val="007C635C"/>
    <w:rsid w:val="007E018D"/>
    <w:rsid w:val="00834022"/>
    <w:rsid w:val="0084627A"/>
    <w:rsid w:val="00852854"/>
    <w:rsid w:val="00873352"/>
    <w:rsid w:val="008841D0"/>
    <w:rsid w:val="008866AA"/>
    <w:rsid w:val="008A1024"/>
    <w:rsid w:val="008B4128"/>
    <w:rsid w:val="008C2A95"/>
    <w:rsid w:val="008D00BA"/>
    <w:rsid w:val="008D04CE"/>
    <w:rsid w:val="008D4882"/>
    <w:rsid w:val="008E3D46"/>
    <w:rsid w:val="008F2FF4"/>
    <w:rsid w:val="008F40A6"/>
    <w:rsid w:val="009129F6"/>
    <w:rsid w:val="00915D10"/>
    <w:rsid w:val="00922520"/>
    <w:rsid w:val="00942400"/>
    <w:rsid w:val="009427CA"/>
    <w:rsid w:val="00942EA6"/>
    <w:rsid w:val="0095582E"/>
    <w:rsid w:val="00983F34"/>
    <w:rsid w:val="00993D26"/>
    <w:rsid w:val="00993FB2"/>
    <w:rsid w:val="009A41C9"/>
    <w:rsid w:val="009B340B"/>
    <w:rsid w:val="009B7E3A"/>
    <w:rsid w:val="009B7E91"/>
    <w:rsid w:val="009C62D0"/>
    <w:rsid w:val="009D778B"/>
    <w:rsid w:val="00A00164"/>
    <w:rsid w:val="00A03035"/>
    <w:rsid w:val="00A16191"/>
    <w:rsid w:val="00A2032C"/>
    <w:rsid w:val="00A303BE"/>
    <w:rsid w:val="00A315C5"/>
    <w:rsid w:val="00A3284C"/>
    <w:rsid w:val="00A427C8"/>
    <w:rsid w:val="00A47C1A"/>
    <w:rsid w:val="00A561CE"/>
    <w:rsid w:val="00A66AED"/>
    <w:rsid w:val="00A72257"/>
    <w:rsid w:val="00A759DB"/>
    <w:rsid w:val="00A76109"/>
    <w:rsid w:val="00A77868"/>
    <w:rsid w:val="00A93879"/>
    <w:rsid w:val="00AA07A1"/>
    <w:rsid w:val="00AB3114"/>
    <w:rsid w:val="00AB4995"/>
    <w:rsid w:val="00B00D37"/>
    <w:rsid w:val="00B062FA"/>
    <w:rsid w:val="00B065BA"/>
    <w:rsid w:val="00B10CD7"/>
    <w:rsid w:val="00B14A83"/>
    <w:rsid w:val="00B22141"/>
    <w:rsid w:val="00B477B1"/>
    <w:rsid w:val="00B47C3D"/>
    <w:rsid w:val="00B7094F"/>
    <w:rsid w:val="00B84EE8"/>
    <w:rsid w:val="00B907B4"/>
    <w:rsid w:val="00BA503C"/>
    <w:rsid w:val="00BC1842"/>
    <w:rsid w:val="00BC1E43"/>
    <w:rsid w:val="00BC7498"/>
    <w:rsid w:val="00BD6318"/>
    <w:rsid w:val="00BE7DDB"/>
    <w:rsid w:val="00BF0E9C"/>
    <w:rsid w:val="00BF7AE8"/>
    <w:rsid w:val="00C0387D"/>
    <w:rsid w:val="00C039D3"/>
    <w:rsid w:val="00C06A9A"/>
    <w:rsid w:val="00C0795D"/>
    <w:rsid w:val="00C10B67"/>
    <w:rsid w:val="00C1489B"/>
    <w:rsid w:val="00C22C0E"/>
    <w:rsid w:val="00C23DFD"/>
    <w:rsid w:val="00C37406"/>
    <w:rsid w:val="00C43AC3"/>
    <w:rsid w:val="00C50A4E"/>
    <w:rsid w:val="00C5255E"/>
    <w:rsid w:val="00C53F2D"/>
    <w:rsid w:val="00C54E85"/>
    <w:rsid w:val="00C818DF"/>
    <w:rsid w:val="00C85BF5"/>
    <w:rsid w:val="00C95558"/>
    <w:rsid w:val="00CB0BF7"/>
    <w:rsid w:val="00CC10BF"/>
    <w:rsid w:val="00CD521C"/>
    <w:rsid w:val="00CD71FD"/>
    <w:rsid w:val="00CF000A"/>
    <w:rsid w:val="00D02AAB"/>
    <w:rsid w:val="00D10341"/>
    <w:rsid w:val="00D149AD"/>
    <w:rsid w:val="00D152E4"/>
    <w:rsid w:val="00D236A8"/>
    <w:rsid w:val="00D27C05"/>
    <w:rsid w:val="00D350F3"/>
    <w:rsid w:val="00D47D12"/>
    <w:rsid w:val="00D52F58"/>
    <w:rsid w:val="00D60208"/>
    <w:rsid w:val="00D65061"/>
    <w:rsid w:val="00DA463A"/>
    <w:rsid w:val="00DA784A"/>
    <w:rsid w:val="00DB26C8"/>
    <w:rsid w:val="00DB27E6"/>
    <w:rsid w:val="00DB410A"/>
    <w:rsid w:val="00DB691F"/>
    <w:rsid w:val="00DC1135"/>
    <w:rsid w:val="00DC3A06"/>
    <w:rsid w:val="00DE4B2C"/>
    <w:rsid w:val="00DF03CA"/>
    <w:rsid w:val="00DF7794"/>
    <w:rsid w:val="00E075AB"/>
    <w:rsid w:val="00E1688B"/>
    <w:rsid w:val="00E33258"/>
    <w:rsid w:val="00E33E6A"/>
    <w:rsid w:val="00E5091C"/>
    <w:rsid w:val="00E5318A"/>
    <w:rsid w:val="00E627A7"/>
    <w:rsid w:val="00E62A40"/>
    <w:rsid w:val="00E64969"/>
    <w:rsid w:val="00E6663B"/>
    <w:rsid w:val="00E74541"/>
    <w:rsid w:val="00E81348"/>
    <w:rsid w:val="00E846AE"/>
    <w:rsid w:val="00EC6D83"/>
    <w:rsid w:val="00EC70DC"/>
    <w:rsid w:val="00EE1FF7"/>
    <w:rsid w:val="00F03062"/>
    <w:rsid w:val="00F07773"/>
    <w:rsid w:val="00F21A62"/>
    <w:rsid w:val="00F23EE7"/>
    <w:rsid w:val="00F444C9"/>
    <w:rsid w:val="00F509F7"/>
    <w:rsid w:val="00F5227B"/>
    <w:rsid w:val="00F53D55"/>
    <w:rsid w:val="00F755D8"/>
    <w:rsid w:val="00F80AE9"/>
    <w:rsid w:val="00F81F64"/>
    <w:rsid w:val="00FA6AC1"/>
    <w:rsid w:val="00FD47CD"/>
    <w:rsid w:val="00FE434B"/>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subsection">
    <w:name w:val="subsection"/>
    <w:rsid w:val="00257DC3"/>
    <w:pPr>
      <w:numPr>
        <w:ilvl w:val="1"/>
        <w:numId w:val="20"/>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257DC3"/>
    <w:pPr>
      <w:numPr>
        <w:numId w:val="21"/>
      </w:numPr>
      <w:tabs>
        <w:tab w:val="left" w:pos="567"/>
      </w:tabs>
      <w:spacing w:before="240" w:after="120"/>
      <w:jc w:val="both"/>
    </w:pPr>
    <w:rPr>
      <w:rFonts w:ascii="Times" w:hAnsi="Times"/>
      <w:b/>
      <w:color w:val="000000"/>
      <w:sz w:val="22"/>
      <w:szCs w:val="22"/>
      <w:lang w:val="en-GB" w:eastAsia="en-US"/>
    </w:rPr>
  </w:style>
  <w:style w:type="paragraph" w:customStyle="1" w:styleId="subsubsection">
    <w:name w:val="subsubsection"/>
    <w:autoRedefine/>
    <w:rsid w:val="00257DC3"/>
    <w:pPr>
      <w:numPr>
        <w:ilvl w:val="2"/>
        <w:numId w:val="20"/>
      </w:numPr>
      <w:tabs>
        <w:tab w:val="left" w:pos="567"/>
      </w:tabs>
      <w:spacing w:before="240"/>
      <w:jc w:val="both"/>
    </w:pPr>
    <w:rPr>
      <w:rFonts w:ascii="Times" w:hAnsi="Times"/>
      <w:i/>
      <w:iCs/>
      <w:color w:val="000000"/>
      <w:sz w:val="22"/>
      <w:szCs w:val="22"/>
      <w:lang w:val="en-US" w:eastAsia="en-US"/>
    </w:rPr>
  </w:style>
  <w:style w:type="character" w:customStyle="1" w:styleId="sectionChar">
    <w:name w:val="section Char"/>
    <w:link w:val="section"/>
    <w:rsid w:val="00257DC3"/>
    <w:rPr>
      <w:rFonts w:ascii="Times" w:hAnsi="Times"/>
      <w:b/>
      <w:color w:val="000000"/>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subsection">
    <w:name w:val="subsection"/>
    <w:rsid w:val="00257DC3"/>
    <w:pPr>
      <w:numPr>
        <w:ilvl w:val="1"/>
        <w:numId w:val="20"/>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257DC3"/>
    <w:pPr>
      <w:numPr>
        <w:numId w:val="21"/>
      </w:numPr>
      <w:tabs>
        <w:tab w:val="left" w:pos="567"/>
      </w:tabs>
      <w:spacing w:before="240" w:after="120"/>
      <w:jc w:val="both"/>
    </w:pPr>
    <w:rPr>
      <w:rFonts w:ascii="Times" w:hAnsi="Times"/>
      <w:b/>
      <w:color w:val="000000"/>
      <w:sz w:val="22"/>
      <w:szCs w:val="22"/>
      <w:lang w:val="en-GB" w:eastAsia="en-US"/>
    </w:rPr>
  </w:style>
  <w:style w:type="paragraph" w:customStyle="1" w:styleId="subsubsection">
    <w:name w:val="subsubsection"/>
    <w:autoRedefine/>
    <w:rsid w:val="00257DC3"/>
    <w:pPr>
      <w:numPr>
        <w:ilvl w:val="2"/>
        <w:numId w:val="20"/>
      </w:numPr>
      <w:tabs>
        <w:tab w:val="left" w:pos="567"/>
      </w:tabs>
      <w:spacing w:before="240"/>
      <w:jc w:val="both"/>
    </w:pPr>
    <w:rPr>
      <w:rFonts w:ascii="Times" w:hAnsi="Times"/>
      <w:i/>
      <w:iCs/>
      <w:color w:val="000000"/>
      <w:sz w:val="22"/>
      <w:szCs w:val="22"/>
      <w:lang w:val="en-US" w:eastAsia="en-US"/>
    </w:rPr>
  </w:style>
  <w:style w:type="character" w:customStyle="1" w:styleId="sectionChar">
    <w:name w:val="section Char"/>
    <w:link w:val="section"/>
    <w:rsid w:val="00257DC3"/>
    <w:rPr>
      <w:rFonts w:ascii="Times" w:hAnsi="Times"/>
      <w:b/>
      <w:color w:val="000000"/>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jpeg"/><Relationship Id="rId26" Type="http://schemas.openxmlformats.org/officeDocument/2006/relationships/hyperlink" Target="https://doi.org/10.1016/j.cherd.2016.03.027" TargetMode="External"/><Relationship Id="rId39" Type="http://schemas.openxmlformats.org/officeDocument/2006/relationships/hyperlink" Target="https://doi.org/10.1016/j.ijmultiphaseflow.2009.11.009" TargetMode="External"/><Relationship Id="rId21" Type="http://schemas.openxmlformats.org/officeDocument/2006/relationships/image" Target="media/image9.png"/><Relationship Id="rId34" Type="http://schemas.openxmlformats.org/officeDocument/2006/relationships/hyperlink" Target="https://doi.org/10.1007/s10404-011-0880-8" TargetMode="External"/><Relationship Id="rId42" Type="http://schemas.openxmlformats.org/officeDocument/2006/relationships/hyperlink" Target="https://doi.org/10.1016/j.ces.2006.08.073"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oi.org/10.1080/01457632.2010.5097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oi.org/10.1016/j.ces.2014.12.007" TargetMode="External"/><Relationship Id="rId37" Type="http://schemas.openxmlformats.org/officeDocument/2006/relationships/hyperlink" Target="https://doi.org/10.1016/j.ces.2003.10.025" TargetMode="External"/><Relationship Id="rId40" Type="http://schemas.openxmlformats.org/officeDocument/2006/relationships/hyperlink" Target="https://doi.org/10.1080/00986445.2012.66071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hyperlink" Target="https://doi.org/10.1016/j.ijheatfluidflow.2009.02.017" TargetMode="External"/><Relationship Id="rId36" Type="http://schemas.openxmlformats.org/officeDocument/2006/relationships/hyperlink" Target="https://doi.org/10.15255/CABEQ.2016.877" TargetMode="Externa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hyperlink" Target="https://doi.org/10.1016/j.ijheatmasstransfer.2013.03.035"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salam@mnnit.ac.in" TargetMode="External"/><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hyperlink" Target="https://doi.org/10.1016/S0301-9322(98)00054-8" TargetMode="External"/><Relationship Id="rId30" Type="http://schemas.openxmlformats.org/officeDocument/2006/relationships/hyperlink" Target="https://doi.org/10.1016/S0920-5861(03)00056-7" TargetMode="External"/><Relationship Id="rId35" Type="http://schemas.openxmlformats.org/officeDocument/2006/relationships/hyperlink" Target="https://doi.org/10.15255/CABEQ.2015.2289" TargetMode="External"/><Relationship Id="rId43" Type="http://schemas.openxmlformats.org/officeDocument/2006/relationships/hyperlink" Target="https://doi.org/10.1016/j.cherd.2009.07.007"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hyperlink" Target="https://doi.org/10.1016/j.cej.2006.11.020" TargetMode="External"/><Relationship Id="rId33" Type="http://schemas.openxmlformats.org/officeDocument/2006/relationships/hyperlink" Target="https://doi.org/10.1016/j.cherd.2009.11.017" TargetMode="External"/><Relationship Id="rId38" Type="http://schemas.openxmlformats.org/officeDocument/2006/relationships/hyperlink" Target="https://doi.org/10.1016/j.ces.2008.05.005" TargetMode="External"/><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hyperlink" Target="https://doi.org/10.1016/0021-9991(92)90240-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376F6-247B-4C3A-B595-8DC63B93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4720</TotalTime>
  <Pages>8</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22114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HP</cp:lastModifiedBy>
  <cp:revision>35</cp:revision>
  <cp:lastPrinted>2018-12-06T14:37:00Z</cp:lastPrinted>
  <dcterms:created xsi:type="dcterms:W3CDTF">2018-12-03T09:41:00Z</dcterms:created>
  <dcterms:modified xsi:type="dcterms:W3CDTF">2018-12-27T06:41:00Z</dcterms:modified>
</cp:coreProperties>
</file>