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_Hlk647775"/>
      <w:bookmarkStart w:id="1" w:name="Title_2"/>
      <w:bookmarkEnd w:id="0"/>
    </w:p>
    <w:bookmarkEnd w:id="1"/>
    <w:p w:rsidR="002C0CBC" w:rsidRDefault="002C0CBC" w:rsidP="00FD3A6D">
      <w:pPr>
        <w:pStyle w:val="papertitle"/>
        <w:spacing w:after="0" w:line="240" w:lineRule="auto"/>
        <w:rPr>
          <w:rFonts w:ascii="Arial" w:hAnsi="Arial" w:cs="Arial"/>
        </w:rPr>
      </w:pPr>
    </w:p>
    <w:p w:rsidR="00FD3A6D" w:rsidRPr="00C53C41" w:rsidRDefault="00FD3A6D" w:rsidP="0076203E">
      <w:pPr>
        <w:pStyle w:val="papertitle"/>
        <w:spacing w:after="0" w:line="240" w:lineRule="auto"/>
        <w:rPr>
          <w:rFonts w:ascii="Arial" w:hAnsi="Arial" w:cs="Arial"/>
        </w:rPr>
      </w:pPr>
      <w:r w:rsidRPr="00C53C41">
        <w:rPr>
          <w:rFonts w:ascii="Arial" w:hAnsi="Arial" w:cs="Arial"/>
        </w:rPr>
        <w:t>Effect of Firing Time on</w:t>
      </w:r>
      <w:r w:rsidR="00F7478D">
        <w:rPr>
          <w:rFonts w:ascii="Arial" w:hAnsi="Arial" w:cs="Arial"/>
        </w:rPr>
        <w:t xml:space="preserve"> </w:t>
      </w:r>
      <w:r w:rsidRPr="00C53C41">
        <w:rPr>
          <w:rFonts w:ascii="Arial" w:hAnsi="Arial" w:cs="Arial"/>
        </w:rPr>
        <w:t>Properties of Clay Cups</w:t>
      </w:r>
    </w:p>
    <w:p w:rsidR="00A47C1A" w:rsidRPr="00AB4995" w:rsidRDefault="00A47C1A" w:rsidP="0076203E">
      <w:pPr>
        <w:ind w:firstLine="0"/>
        <w:contextualSpacing/>
        <w:jc w:val="center"/>
        <w:rPr>
          <w:szCs w:val="24"/>
        </w:rPr>
      </w:pPr>
    </w:p>
    <w:p w:rsidR="00A47C1A" w:rsidRPr="001D7FD8" w:rsidRDefault="00A57942" w:rsidP="0076203E">
      <w:pPr>
        <w:ind w:left="567" w:firstLine="0"/>
        <w:jc w:val="center"/>
      </w:pPr>
      <w:bookmarkStart w:id="2" w:name="Author_1"/>
      <w:r w:rsidRPr="001D7FD8">
        <w:t>R.B.Choudary</w:t>
      </w:r>
      <w:r w:rsidRPr="001D7FD8">
        <w:rPr>
          <w:vertAlign w:val="superscript"/>
        </w:rPr>
        <w:t>a</w:t>
      </w:r>
      <w:r w:rsidR="002C0CBC">
        <w:rPr>
          <w:vertAlign w:val="superscript"/>
        </w:rPr>
        <w:t>,*</w:t>
      </w:r>
      <w:r w:rsidR="00A47C1A" w:rsidRPr="001D7FD8">
        <w:t xml:space="preserve">, </w:t>
      </w:r>
      <w:bookmarkEnd w:id="2"/>
      <w:r w:rsidR="00A1185D">
        <w:t>Ajayaram Burr</w:t>
      </w:r>
      <w:r w:rsidR="0001723C">
        <w:t>i</w:t>
      </w:r>
      <w:r w:rsidR="004D1709" w:rsidRPr="001D7FD8">
        <w:rPr>
          <w:vertAlign w:val="superscript"/>
        </w:rPr>
        <w:t>b</w:t>
      </w:r>
    </w:p>
    <w:p w:rsidR="00B54EEA" w:rsidRDefault="00B735D8" w:rsidP="0076203E">
      <w:pPr>
        <w:pStyle w:val="address"/>
        <w:rPr>
          <w:rFonts w:eastAsia="DFKai-SB"/>
          <w:i/>
          <w:sz w:val="20"/>
          <w:lang w:val="en-GB"/>
        </w:rPr>
      </w:pPr>
      <w:r w:rsidRPr="002C0CBC">
        <w:rPr>
          <w:rFonts w:eastAsia="DFKai-SB"/>
          <w:i/>
          <w:sz w:val="20"/>
          <w:vertAlign w:val="superscript"/>
        </w:rPr>
        <w:t>a</w:t>
      </w:r>
      <w:r w:rsidR="002C0CBC">
        <w:rPr>
          <w:rFonts w:eastAsia="DFKai-SB"/>
          <w:i/>
          <w:sz w:val="20"/>
        </w:rPr>
        <w:t xml:space="preserve">Dept of Mech Engg, </w:t>
      </w:r>
      <w:r w:rsidRPr="002C0CBC">
        <w:rPr>
          <w:rFonts w:eastAsia="DFKai-SB"/>
          <w:i/>
          <w:sz w:val="20"/>
          <w:lang w:val="en-GB"/>
        </w:rPr>
        <w:t>Sasi</w:t>
      </w:r>
      <w:r w:rsidRPr="00B735D8">
        <w:rPr>
          <w:rFonts w:eastAsia="DFKai-SB"/>
          <w:i/>
          <w:sz w:val="20"/>
          <w:lang w:val="en-GB"/>
        </w:rPr>
        <w:t xml:space="preserve"> Inst of Tech &amp;</w:t>
      </w:r>
      <w:r w:rsidR="009D492C">
        <w:rPr>
          <w:rFonts w:eastAsia="DFKai-SB"/>
          <w:i/>
          <w:sz w:val="20"/>
          <w:lang w:val="en-GB"/>
        </w:rPr>
        <w:t xml:space="preserve"> </w:t>
      </w:r>
      <w:r w:rsidRPr="00B735D8">
        <w:rPr>
          <w:rFonts w:eastAsia="DFKai-SB"/>
          <w:i/>
          <w:sz w:val="20"/>
          <w:lang w:val="en-GB"/>
        </w:rPr>
        <w:t>Engg, Tadepalligudem-534101, West Godavari, AP, India</w:t>
      </w:r>
    </w:p>
    <w:p w:rsidR="00B735D8" w:rsidRPr="00B735D8" w:rsidRDefault="00B54EEA" w:rsidP="0076203E">
      <w:pPr>
        <w:pStyle w:val="address"/>
        <w:rPr>
          <w:rFonts w:eastAsia="DFKai-SB"/>
          <w:i/>
          <w:sz w:val="20"/>
          <w:lang w:val="en-GB"/>
        </w:rPr>
      </w:pPr>
      <w:r w:rsidRPr="00295E6C">
        <w:rPr>
          <w:rFonts w:eastAsia="DFKai-SB"/>
          <w:i/>
          <w:kern w:val="2"/>
          <w:sz w:val="20"/>
          <w:vertAlign w:val="superscript"/>
        </w:rPr>
        <w:t>b</w:t>
      </w:r>
      <w:r w:rsidRPr="00B54EEA">
        <w:rPr>
          <w:rFonts w:eastAsia="DFKai-SB"/>
          <w:i/>
          <w:sz w:val="20"/>
          <w:lang w:val="en-GB"/>
        </w:rPr>
        <w:t>Transportation, L&amp;T Technology Services Limited, Hyderabad-500 081, Telangana, AP, India</w:t>
      </w:r>
    </w:p>
    <w:p w:rsidR="00295E6C" w:rsidRPr="00295E6C" w:rsidRDefault="00295E6C" w:rsidP="0076203E">
      <w:pPr>
        <w:ind w:left="567" w:firstLine="0"/>
        <w:jc w:val="center"/>
        <w:rPr>
          <w:rFonts w:eastAsia="DFKai-SB"/>
          <w:sz w:val="20"/>
        </w:rPr>
      </w:pPr>
    </w:p>
    <w:p w:rsidR="00295E6C" w:rsidRPr="00295E6C" w:rsidRDefault="00B54EEA" w:rsidP="0076203E">
      <w:pPr>
        <w:pStyle w:val="address"/>
        <w:rPr>
          <w:rFonts w:eastAsia="PMingLiU"/>
          <w:sz w:val="20"/>
        </w:rPr>
      </w:pPr>
      <w:r>
        <w:rPr>
          <w:rFonts w:eastAsia="PMingLiU"/>
          <w:sz w:val="20"/>
        </w:rPr>
        <w:t xml:space="preserve">* </w:t>
      </w:r>
      <w:hyperlink r:id="rId8" w:history="1">
        <w:r w:rsidRPr="00B54EEA">
          <w:rPr>
            <w:rFonts w:eastAsia="PMingLiU"/>
            <w:sz w:val="20"/>
            <w:u w:val="single"/>
          </w:rPr>
          <w:t>rbchoudary64@yahoo.co.in</w:t>
        </w:r>
      </w:hyperlink>
    </w:p>
    <w:p w:rsidR="002E457C" w:rsidRPr="000C7419" w:rsidRDefault="00B11368" w:rsidP="00126A1B">
      <w:pPr>
        <w:ind w:firstLine="0"/>
        <w:contextualSpacing/>
        <w:rPr>
          <w:sz w:val="22"/>
          <w:szCs w:val="22"/>
        </w:rPr>
      </w:pPr>
      <w:r>
        <w:rPr>
          <w:sz w:val="22"/>
          <w:szCs w:val="22"/>
        </w:rPr>
        <w:t>-----------------------------------------------------------------------------------------------------------------</w:t>
      </w:r>
      <w:r w:rsidR="00126A1B">
        <w:rPr>
          <w:sz w:val="22"/>
          <w:szCs w:val="22"/>
        </w:rPr>
        <w:t>---------</w:t>
      </w:r>
      <w:r>
        <w:rPr>
          <w:sz w:val="22"/>
          <w:szCs w:val="22"/>
        </w:rPr>
        <w:t>-</w:t>
      </w:r>
    </w:p>
    <w:p w:rsidR="001D7FD8" w:rsidRPr="0076203E" w:rsidRDefault="001D7FD8" w:rsidP="000C411C">
      <w:pPr>
        <w:ind w:right="391"/>
        <w:rPr>
          <w:szCs w:val="22"/>
        </w:rPr>
      </w:pPr>
      <w:r w:rsidRPr="0076203E">
        <w:rPr>
          <w:szCs w:val="22"/>
        </w:rPr>
        <w:t xml:space="preserve">Green clay tea cups were made using a </w:t>
      </w:r>
      <w:r w:rsidR="0076203E" w:rsidRPr="0076203E">
        <w:rPr>
          <w:szCs w:val="22"/>
        </w:rPr>
        <w:t xml:space="preserve">manual </w:t>
      </w:r>
      <w:r w:rsidRPr="0076203E">
        <w:rPr>
          <w:szCs w:val="22"/>
        </w:rPr>
        <w:t>press. The effect of firing time on compression strength, water absorption, firing shrinkage, weight loss and density of clay cups was determined. For a particular clay and manufacturing technique, the compression strength and density increased exponentially in the early stages of heating and remained almost constant thereafter. Water absorption showed a rapid fall in the initial stages and thereafter remained almost constant. The results showed that the firing temperature was the important parameter to control the properties of the clay cups.</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FD531C">
        <w:rPr>
          <w:sz w:val="22"/>
          <w:szCs w:val="22"/>
        </w:rPr>
        <w:t xml:space="preserve">Clay tea cup, </w:t>
      </w:r>
      <w:r w:rsidR="00FD531C" w:rsidRPr="00FD531C">
        <w:rPr>
          <w:sz w:val="22"/>
          <w:szCs w:val="22"/>
        </w:rPr>
        <w:t>firing time, mechanical properties</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3" w:name="_Ref473037328"/>
      <w:r w:rsidRPr="007C635C">
        <w:rPr>
          <w:rFonts w:ascii="Arial" w:hAnsi="Arial" w:cs="Arial"/>
          <w:b/>
          <w:szCs w:val="24"/>
        </w:rPr>
        <w:t>I</w:t>
      </w:r>
      <w:bookmarkEnd w:id="3"/>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BA69D7" w:rsidRPr="00BA69D7" w:rsidRDefault="00BA69D7" w:rsidP="00BA69D7">
      <w:pPr>
        <w:pStyle w:val="referenceitem"/>
        <w:numPr>
          <w:ilvl w:val="0"/>
          <w:numId w:val="0"/>
        </w:numPr>
        <w:spacing w:after="240"/>
        <w:ind w:firstLine="284"/>
        <w:rPr>
          <w:sz w:val="24"/>
          <w:szCs w:val="24"/>
          <w:lang w:val="en-GB"/>
        </w:rPr>
      </w:pPr>
      <w:r w:rsidRPr="00BA69D7">
        <w:rPr>
          <w:sz w:val="24"/>
          <w:szCs w:val="24"/>
          <w:lang w:val="en-GB"/>
        </w:rPr>
        <w:t xml:space="preserve">Clay utensils were extensively used by different civilizations and have been used since ages and were found during excavations by </w:t>
      </w:r>
      <w:r w:rsidR="00374B13" w:rsidRPr="00BA69D7">
        <w:rPr>
          <w:sz w:val="24"/>
          <w:szCs w:val="24"/>
          <w:lang w:val="en-GB"/>
        </w:rPr>
        <w:t>archaeological</w:t>
      </w:r>
      <w:r w:rsidRPr="00BA69D7">
        <w:rPr>
          <w:sz w:val="24"/>
          <w:szCs w:val="24"/>
          <w:lang w:val="en-GB"/>
        </w:rPr>
        <w:t xml:space="preserve"> investigators [1]. Clay tea cups have been in </w:t>
      </w:r>
      <w:r>
        <w:rPr>
          <w:sz w:val="24"/>
          <w:szCs w:val="24"/>
          <w:lang w:val="en-GB"/>
        </w:rPr>
        <w:t xml:space="preserve">use in India for </w:t>
      </w:r>
      <w:r w:rsidRPr="00BA69D7">
        <w:rPr>
          <w:sz w:val="24"/>
          <w:szCs w:val="24"/>
          <w:lang w:val="en-GB"/>
        </w:rPr>
        <w:t xml:space="preserve">serving tea. Natural eco-friendly clay terracotta disposable items like cups, pots, bowls, etc. are used to serve dessert, cakes, sweets, etc. These items are used in parties, marriages, gatherings, etc.   They keep the taste of food intact. They are made in custom sizes also. Their advantages include light weight, wide range of sizes in customized forms, reasonable price and degradability. </w:t>
      </w:r>
    </w:p>
    <w:p w:rsidR="00BA69D7" w:rsidRPr="00BA69D7" w:rsidRDefault="00BA69D7" w:rsidP="00BA69D7">
      <w:pPr>
        <w:pStyle w:val="HTMLPreformatted"/>
        <w:shd w:val="clear" w:color="auto" w:fill="FFFFFF"/>
        <w:tabs>
          <w:tab w:val="clear" w:pos="916"/>
          <w:tab w:val="left" w:pos="720"/>
        </w:tabs>
        <w:ind w:firstLine="284"/>
        <w:jc w:val="both"/>
        <w:rPr>
          <w:rFonts w:ascii="Times New Roman" w:hAnsi="Times New Roman" w:cs="Times New Roman"/>
          <w:sz w:val="24"/>
          <w:szCs w:val="24"/>
          <w:lang w:val="en-GB" w:eastAsia="en-US"/>
        </w:rPr>
      </w:pPr>
      <w:r w:rsidRPr="00BA69D7">
        <w:rPr>
          <w:rFonts w:ascii="Times New Roman" w:hAnsi="Times New Roman" w:cs="Times New Roman"/>
          <w:sz w:val="24"/>
          <w:szCs w:val="24"/>
          <w:lang w:val="en-GB" w:eastAsia="en-US"/>
        </w:rPr>
        <w:t xml:space="preserve">The air-dried clean clay is mixed with the correct percentage of water and wedged or kneaded thoroughly in a pug mill to obtain plasticity. At this stage, known as plastic ware, clay is soft, flexible and easy to work with. Then it is allowed to dry slightly under ambient conditions for some time until it becomes leather-hard. This makes it more stiff and capable of supporting its self-weight. It can be worked on and necessary parts can be attached. During the moulding stage, the prepared clay is shaped into a cup form (frustum of a cone). This process can be done in two ways according to the scale of the project: hand moulding (batch production) and machine moulding (mass production). The cups are </w:t>
      </w:r>
      <w:r w:rsidR="0017481F" w:rsidRPr="00BA69D7">
        <w:rPr>
          <w:rFonts w:ascii="Times New Roman" w:hAnsi="Times New Roman" w:cs="Times New Roman"/>
          <w:sz w:val="24"/>
          <w:szCs w:val="24"/>
          <w:lang w:val="en-GB" w:eastAsia="en-US"/>
        </w:rPr>
        <w:t xml:space="preserve">first </w:t>
      </w:r>
      <w:r w:rsidRPr="00BA69D7">
        <w:rPr>
          <w:rFonts w:ascii="Times New Roman" w:hAnsi="Times New Roman" w:cs="Times New Roman"/>
          <w:sz w:val="24"/>
          <w:szCs w:val="24"/>
          <w:lang w:val="en-GB" w:eastAsia="en-US"/>
        </w:rPr>
        <w:t>dried at room temperature for three days until they are completely dry. In this condition, all physical moisture is lost and is ready to be fired. The clay feels at room temperature and slightly dusty.</w:t>
      </w:r>
    </w:p>
    <w:p w:rsidR="00BA69D7" w:rsidRPr="00BA69D7" w:rsidRDefault="00BA69D7" w:rsidP="00BA69D7">
      <w:pPr>
        <w:pStyle w:val="HTMLPreformatted"/>
        <w:shd w:val="clear" w:color="auto" w:fill="FFFFFF"/>
        <w:jc w:val="both"/>
        <w:rPr>
          <w:rFonts w:ascii="Times New Roman" w:hAnsi="Times New Roman" w:cs="Times New Roman"/>
          <w:sz w:val="24"/>
          <w:szCs w:val="24"/>
          <w:lang w:val="en-GB" w:eastAsia="en-US"/>
        </w:rPr>
      </w:pPr>
    </w:p>
    <w:p w:rsidR="00BA69D7" w:rsidRPr="00BA69D7" w:rsidRDefault="00BA69D7" w:rsidP="00BA69D7">
      <w:pPr>
        <w:pStyle w:val="HTMLPreformatted"/>
        <w:shd w:val="clear" w:color="auto" w:fill="FFFFFF"/>
        <w:tabs>
          <w:tab w:val="clear" w:pos="916"/>
          <w:tab w:val="left" w:pos="720"/>
        </w:tabs>
        <w:spacing w:after="240"/>
        <w:ind w:firstLine="360"/>
        <w:jc w:val="both"/>
        <w:rPr>
          <w:rFonts w:ascii="Times New Roman" w:hAnsi="Times New Roman" w:cs="Times New Roman"/>
          <w:sz w:val="24"/>
          <w:szCs w:val="24"/>
          <w:lang w:val="en-GB" w:eastAsia="en-US"/>
        </w:rPr>
      </w:pPr>
      <w:r w:rsidRPr="00BA69D7">
        <w:rPr>
          <w:rFonts w:ascii="Times New Roman" w:hAnsi="Times New Roman" w:cs="Times New Roman"/>
          <w:sz w:val="24"/>
          <w:szCs w:val="24"/>
          <w:lang w:val="en-GB" w:eastAsia="en-US"/>
        </w:rPr>
        <w:t xml:space="preserve">The dry cups are fired (bisque fire), either in clamps (batch production) or in ovens (mass production) up to a certain temperature. In this stage, the cups will gain hardness and strength. Therefore, it is an important stage in the production of cups. The temperature required for firing is about 900°C. If fired beyond this limit, they will become brittle and fragile. If they are fired below this limit, they will not gain all the strength and there is the possibility of absorbing moisture from the atmosphere. Therefore, the firing must be done correctly to meet the requirements of a good cup. </w:t>
      </w:r>
    </w:p>
    <w:p w:rsidR="00BA69D7" w:rsidRPr="00BA69D7" w:rsidRDefault="00BA69D7" w:rsidP="00BA69D7">
      <w:pPr>
        <w:pStyle w:val="referenceitem"/>
        <w:numPr>
          <w:ilvl w:val="0"/>
          <w:numId w:val="0"/>
        </w:numPr>
        <w:ind w:firstLine="284"/>
        <w:rPr>
          <w:sz w:val="24"/>
          <w:szCs w:val="24"/>
          <w:lang w:val="en-GB"/>
        </w:rPr>
      </w:pPr>
      <w:r w:rsidRPr="00BA69D7">
        <w:rPr>
          <w:sz w:val="24"/>
          <w:szCs w:val="24"/>
          <w:lang w:val="en-GB"/>
        </w:rPr>
        <w:lastRenderedPageBreak/>
        <w:t xml:space="preserve">The properties of the clay cups depend on the mineralogical, chemical and physical characteristics of the soil used [2,3]. Compression strength and water absorption are two important properties of the clay cup that are reliable indicators to prevent cracking [4]. The mineralogical properties, the type of manufacture, the firing temperature and the mechanical properties influence the compressive strength [5,2]. Water absorption is calculated as a percentage of dry weight and is a measure of the existing void space. Characteristics of the clay, type of production and degree of wedging influence absorption. The water absorption level of the clay cup affects the loss of tea, milk, </w:t>
      </w:r>
      <w:r w:rsidR="00BE532C" w:rsidRPr="00BA69D7">
        <w:rPr>
          <w:sz w:val="24"/>
          <w:szCs w:val="24"/>
          <w:lang w:val="en-GB"/>
        </w:rPr>
        <w:t>lassi</w:t>
      </w:r>
      <w:r w:rsidRPr="00BA69D7">
        <w:rPr>
          <w:sz w:val="24"/>
          <w:szCs w:val="24"/>
          <w:lang w:val="en-GB"/>
        </w:rPr>
        <w:t>, yogurt, etc. that is poured into it.</w:t>
      </w:r>
    </w:p>
    <w:p w:rsidR="00BA69D7" w:rsidRPr="00BA69D7" w:rsidRDefault="00BA69D7" w:rsidP="00BA69D7">
      <w:pPr>
        <w:pStyle w:val="referenceitem"/>
        <w:numPr>
          <w:ilvl w:val="0"/>
          <w:numId w:val="0"/>
        </w:numPr>
        <w:spacing w:before="240"/>
        <w:ind w:firstLine="284"/>
        <w:rPr>
          <w:sz w:val="24"/>
          <w:szCs w:val="24"/>
          <w:lang w:val="en-GB"/>
        </w:rPr>
      </w:pPr>
      <w:r w:rsidRPr="00BA69D7">
        <w:rPr>
          <w:sz w:val="24"/>
          <w:szCs w:val="24"/>
          <w:lang w:val="en-GB"/>
        </w:rPr>
        <w:t>Higher firing temperatures also influence shrinkage [6]. Changing the temperature influences the quality of the clay cups. Reducing the firing temperature will reduce the manufacturing cost and increase the productivity of the cup industry [1]. The main objective of this work is to explore the influence of firing temperature on compressive strength, water absorption, weight loss, shrinkage and density of clay cups.</w:t>
      </w:r>
    </w:p>
    <w:p w:rsidR="00A47C1A" w:rsidRPr="00205179" w:rsidRDefault="00A47C1A" w:rsidP="00275374">
      <w:pPr>
        <w:ind w:left="-57" w:firstLine="397"/>
        <w:contextualSpacing/>
        <w:mirrorIndents/>
        <w:rPr>
          <w:szCs w:val="24"/>
        </w:rPr>
      </w:pPr>
    </w:p>
    <w:p w:rsidR="007A2646" w:rsidRDefault="007A2646" w:rsidP="007A2646">
      <w:pPr>
        <w:pStyle w:val="ListParagraph"/>
        <w:numPr>
          <w:ilvl w:val="0"/>
          <w:numId w:val="18"/>
        </w:numPr>
        <w:mirrorIndents/>
        <w:rPr>
          <w:rFonts w:ascii="Arial" w:hAnsi="Arial" w:cs="Arial"/>
          <w:b/>
          <w:szCs w:val="24"/>
        </w:rPr>
      </w:pPr>
      <w:r w:rsidRPr="007A2646">
        <w:rPr>
          <w:rFonts w:ascii="Arial" w:hAnsi="Arial" w:cs="Arial"/>
          <w:b/>
          <w:szCs w:val="24"/>
        </w:rPr>
        <w:t>Materials and Methods</w:t>
      </w:r>
    </w:p>
    <w:p w:rsidR="004247DD" w:rsidRDefault="004247DD" w:rsidP="004247DD">
      <w:pPr>
        <w:pStyle w:val="ListParagraph"/>
        <w:ind w:firstLine="0"/>
        <w:mirrorIndents/>
        <w:rPr>
          <w:rFonts w:ascii="Arial" w:hAnsi="Arial" w:cs="Arial"/>
          <w:b/>
          <w:szCs w:val="24"/>
        </w:rPr>
      </w:pPr>
    </w:p>
    <w:p w:rsidR="004247DD" w:rsidRPr="009F3E4A" w:rsidRDefault="004247DD" w:rsidP="004247DD">
      <w:pPr>
        <w:pStyle w:val="referenceitem"/>
        <w:numPr>
          <w:ilvl w:val="0"/>
          <w:numId w:val="0"/>
        </w:numPr>
        <w:ind w:firstLine="360"/>
        <w:rPr>
          <w:sz w:val="24"/>
          <w:szCs w:val="24"/>
          <w:lang w:val="en-GB"/>
        </w:rPr>
      </w:pPr>
      <w:r w:rsidRPr="009F3E4A">
        <w:rPr>
          <w:sz w:val="24"/>
          <w:szCs w:val="24"/>
          <w:lang w:val="en-GB"/>
        </w:rPr>
        <w:t>The soil sample was taken from a brick manufacturing unit located in Tadepalligudem, West Godavari, AP, India. The plasticity index, liquid and plastic limits were determined [</w:t>
      </w:r>
      <w:r w:rsidR="00F95382">
        <w:rPr>
          <w:sz w:val="24"/>
          <w:szCs w:val="24"/>
          <w:lang w:val="en-GB"/>
        </w:rPr>
        <w:t>7-</w:t>
      </w:r>
      <w:r w:rsidRPr="009F3E4A">
        <w:rPr>
          <w:sz w:val="24"/>
          <w:szCs w:val="24"/>
          <w:lang w:val="en-GB"/>
        </w:rPr>
        <w:t xml:space="preserve">9]. </w:t>
      </w:r>
    </w:p>
    <w:p w:rsidR="004247DD" w:rsidRPr="009F3E4A" w:rsidRDefault="004247DD" w:rsidP="004247DD">
      <w:pPr>
        <w:pStyle w:val="referenceitem"/>
        <w:numPr>
          <w:ilvl w:val="0"/>
          <w:numId w:val="0"/>
        </w:numPr>
        <w:spacing w:before="240"/>
        <w:ind w:firstLine="284"/>
        <w:rPr>
          <w:sz w:val="24"/>
          <w:szCs w:val="24"/>
          <w:lang w:val="en-GB"/>
        </w:rPr>
      </w:pPr>
      <w:r w:rsidRPr="009F3E4A">
        <w:rPr>
          <w:sz w:val="24"/>
          <w:szCs w:val="24"/>
          <w:lang w:val="en-GB"/>
        </w:rPr>
        <w:t>Then a predetermined amount of clay was placed in the lower die</w:t>
      </w:r>
      <w:r w:rsidR="00BD43AF">
        <w:rPr>
          <w:sz w:val="24"/>
          <w:szCs w:val="24"/>
          <w:lang w:val="en-GB"/>
        </w:rPr>
        <w:t xml:space="preserve"> of the press </w:t>
      </w:r>
      <w:r w:rsidR="00BD43AF" w:rsidRPr="009F3E4A">
        <w:rPr>
          <w:sz w:val="24"/>
          <w:szCs w:val="24"/>
          <w:lang w:val="en-GB"/>
        </w:rPr>
        <w:t>(Fig. 1)</w:t>
      </w:r>
      <w:r w:rsidRPr="009F3E4A">
        <w:rPr>
          <w:sz w:val="24"/>
          <w:szCs w:val="24"/>
          <w:lang w:val="en-GB"/>
        </w:rPr>
        <w:t xml:space="preserve">. </w:t>
      </w:r>
      <w:r w:rsidR="00EC1E9C">
        <w:rPr>
          <w:sz w:val="24"/>
          <w:szCs w:val="24"/>
          <w:lang w:val="en-GB"/>
        </w:rPr>
        <w:t>A</w:t>
      </w:r>
      <w:r w:rsidRPr="009F3E4A">
        <w:rPr>
          <w:sz w:val="24"/>
          <w:szCs w:val="24"/>
          <w:lang w:val="en-GB"/>
        </w:rPr>
        <w:t xml:space="preserve"> cup (Fig. </w:t>
      </w:r>
      <w:r w:rsidR="00BD43AF">
        <w:rPr>
          <w:sz w:val="24"/>
          <w:szCs w:val="24"/>
          <w:lang w:val="en-GB"/>
        </w:rPr>
        <w:t>2</w:t>
      </w:r>
      <w:r w:rsidRPr="009F3E4A">
        <w:rPr>
          <w:sz w:val="24"/>
          <w:szCs w:val="24"/>
          <w:lang w:val="en-GB"/>
        </w:rPr>
        <w:t>) of lower diameter 40mm, upper diameter 50mm, height 50mm and thickness 4mm was made. Drying before firing prevents swelling or bloating of cups at higher temperatures [10]. Subsequently, the specimens were heated in a muffle furnace. All samples were marked and weighed before firing in the electric furnace.</w:t>
      </w:r>
    </w:p>
    <w:p w:rsidR="004247DD" w:rsidRPr="009F3E4A" w:rsidRDefault="004247DD" w:rsidP="004247DD">
      <w:pPr>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78"/>
        <w:gridCol w:w="4678"/>
      </w:tblGrid>
      <w:tr w:rsidR="000D39FB" w:rsidTr="00474929">
        <w:trPr>
          <w:trHeight w:hRule="exact" w:val="2835"/>
          <w:jc w:val="center"/>
        </w:trPr>
        <w:tc>
          <w:tcPr>
            <w:tcW w:w="4678" w:type="dxa"/>
            <w:vAlign w:val="center"/>
          </w:tcPr>
          <w:p w:rsidR="000D39FB" w:rsidRDefault="00F26F62" w:rsidP="00F73BE0">
            <w:pPr>
              <w:pStyle w:val="HTMLPreformatted"/>
              <w:tabs>
                <w:tab w:val="clear" w:pos="916"/>
                <w:tab w:val="left" w:pos="720"/>
              </w:tabs>
              <w:jc w:val="center"/>
              <w:rPr>
                <w:rFonts w:ascii="Times New Roman" w:hAnsi="Times New Roman" w:cs="Times New Roman"/>
                <w:sz w:val="24"/>
                <w:szCs w:val="24"/>
                <w:lang w:val="en-GB" w:eastAsia="en-US"/>
              </w:rPr>
            </w:pPr>
            <w:r>
              <w:rPr>
                <w:rFonts w:ascii="Times New Roman" w:hAnsi="Times New Roman" w:cs="Times New Roman"/>
                <w:noProof/>
                <w:sz w:val="24"/>
                <w:szCs w:val="24"/>
              </w:rPr>
              <w:drawing>
                <wp:inline distT="0" distB="0" distL="0" distR="0">
                  <wp:extent cx="1343025" cy="170976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6400" cy="1714060"/>
                          </a:xfrm>
                          <a:prstGeom prst="rect">
                            <a:avLst/>
                          </a:prstGeom>
                          <a:noFill/>
                          <a:ln>
                            <a:noFill/>
                          </a:ln>
                        </pic:spPr>
                      </pic:pic>
                    </a:graphicData>
                  </a:graphic>
                </wp:inline>
              </w:drawing>
            </w:r>
          </w:p>
        </w:tc>
        <w:tc>
          <w:tcPr>
            <w:tcW w:w="4678" w:type="dxa"/>
            <w:vAlign w:val="center"/>
          </w:tcPr>
          <w:p w:rsidR="000D39FB" w:rsidRDefault="00F26F62" w:rsidP="00F73BE0">
            <w:pPr>
              <w:pStyle w:val="HTMLPreformatted"/>
              <w:tabs>
                <w:tab w:val="clear" w:pos="916"/>
                <w:tab w:val="left" w:pos="720"/>
              </w:tabs>
              <w:jc w:val="center"/>
              <w:rPr>
                <w:rFonts w:ascii="Times New Roman" w:hAnsi="Times New Roman" w:cs="Times New Roman"/>
                <w:sz w:val="24"/>
                <w:szCs w:val="24"/>
                <w:lang w:val="en-GB" w:eastAsia="en-US"/>
              </w:rPr>
            </w:pPr>
            <w:r>
              <w:rPr>
                <w:rFonts w:ascii="Times New Roman" w:hAnsi="Times New Roman" w:cs="Times New Roman"/>
                <w:noProof/>
                <w:sz w:val="24"/>
                <w:szCs w:val="24"/>
              </w:rPr>
              <w:drawing>
                <wp:inline distT="0" distB="0" distL="0" distR="0">
                  <wp:extent cx="1800000" cy="175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0" cy="1756800"/>
                          </a:xfrm>
                          <a:prstGeom prst="rect">
                            <a:avLst/>
                          </a:prstGeom>
                          <a:noFill/>
                          <a:ln>
                            <a:noFill/>
                          </a:ln>
                        </pic:spPr>
                      </pic:pic>
                    </a:graphicData>
                  </a:graphic>
                </wp:inline>
              </w:drawing>
            </w:r>
          </w:p>
        </w:tc>
      </w:tr>
      <w:tr w:rsidR="000D39FB" w:rsidTr="00474929">
        <w:trPr>
          <w:trHeight w:hRule="exact" w:val="567"/>
          <w:jc w:val="center"/>
        </w:trPr>
        <w:tc>
          <w:tcPr>
            <w:tcW w:w="4678" w:type="dxa"/>
            <w:vAlign w:val="center"/>
          </w:tcPr>
          <w:p w:rsidR="000D39FB" w:rsidRDefault="000D39FB" w:rsidP="00F73BE0">
            <w:pPr>
              <w:pStyle w:val="HTMLPreformatted"/>
              <w:tabs>
                <w:tab w:val="clear" w:pos="916"/>
                <w:tab w:val="left" w:pos="720"/>
              </w:tabs>
              <w:jc w:val="center"/>
              <w:rPr>
                <w:rFonts w:ascii="Times New Roman" w:hAnsi="Times New Roman" w:cs="Times New Roman"/>
                <w:sz w:val="24"/>
                <w:szCs w:val="24"/>
                <w:lang w:val="en-GB" w:eastAsia="en-US"/>
              </w:rPr>
            </w:pPr>
            <w:r w:rsidRPr="00F26F62">
              <w:rPr>
                <w:rFonts w:ascii="Arial" w:hAnsi="Arial" w:cs="Arial"/>
                <w:sz w:val="24"/>
                <w:szCs w:val="24"/>
                <w:lang w:val="en-GB" w:eastAsia="en-US"/>
              </w:rPr>
              <w:t>a) Clay cup making</w:t>
            </w:r>
            <w:r w:rsidR="009E0EA1">
              <w:rPr>
                <w:rFonts w:ascii="Arial" w:hAnsi="Arial" w:cs="Arial"/>
                <w:sz w:val="24"/>
                <w:szCs w:val="24"/>
                <w:lang w:val="en-GB" w:eastAsia="en-US"/>
              </w:rPr>
              <w:t xml:space="preserve"> press</w:t>
            </w:r>
          </w:p>
        </w:tc>
        <w:tc>
          <w:tcPr>
            <w:tcW w:w="4678" w:type="dxa"/>
            <w:vAlign w:val="center"/>
          </w:tcPr>
          <w:p w:rsidR="000D39FB" w:rsidRDefault="000D39FB" w:rsidP="00F73BE0">
            <w:pPr>
              <w:pStyle w:val="HTMLPreformatted"/>
              <w:tabs>
                <w:tab w:val="clear" w:pos="916"/>
                <w:tab w:val="left" w:pos="720"/>
              </w:tabs>
              <w:jc w:val="center"/>
              <w:rPr>
                <w:rFonts w:ascii="Times New Roman" w:hAnsi="Times New Roman" w:cs="Times New Roman"/>
                <w:sz w:val="24"/>
                <w:szCs w:val="24"/>
                <w:lang w:val="en-GB" w:eastAsia="en-US"/>
              </w:rPr>
            </w:pPr>
            <w:r w:rsidRPr="00F26F62">
              <w:rPr>
                <w:rFonts w:ascii="Arial" w:hAnsi="Arial" w:cs="Arial"/>
                <w:sz w:val="24"/>
                <w:szCs w:val="24"/>
                <w:lang w:val="en-GB" w:eastAsia="en-US"/>
              </w:rPr>
              <w:t>b) Clay tea cup</w:t>
            </w:r>
          </w:p>
        </w:tc>
      </w:tr>
    </w:tbl>
    <w:p w:rsidR="004247DD" w:rsidRDefault="004247DD" w:rsidP="004247DD">
      <w:pPr>
        <w:spacing w:after="240"/>
        <w:jc w:val="center"/>
        <w:rPr>
          <w:szCs w:val="24"/>
        </w:rPr>
      </w:pPr>
      <w:r w:rsidRPr="00205179">
        <w:rPr>
          <w:rFonts w:ascii="Arial" w:hAnsi="Arial" w:cs="Arial"/>
          <w:szCs w:val="24"/>
        </w:rPr>
        <w:t xml:space="preserve">Fig. </w:t>
      </w:r>
      <w:r>
        <w:rPr>
          <w:rFonts w:ascii="Arial" w:hAnsi="Arial" w:cs="Arial"/>
          <w:szCs w:val="24"/>
        </w:rPr>
        <w:t>1</w:t>
      </w:r>
      <w:r w:rsidRPr="00205179">
        <w:rPr>
          <w:rFonts w:ascii="Arial" w:hAnsi="Arial" w:cs="Arial"/>
          <w:szCs w:val="24"/>
        </w:rPr>
        <w:t xml:space="preserve">. </w:t>
      </w:r>
      <w:r w:rsidRPr="004247DD">
        <w:rPr>
          <w:rFonts w:ascii="Arial" w:hAnsi="Arial" w:cs="Arial"/>
          <w:szCs w:val="24"/>
        </w:rPr>
        <w:t>Organic tea cup made of clay</w:t>
      </w:r>
    </w:p>
    <w:p w:rsidR="004247DD" w:rsidRPr="009F3E4A" w:rsidRDefault="004247DD" w:rsidP="004247DD">
      <w:pPr>
        <w:pStyle w:val="referenceitem"/>
        <w:numPr>
          <w:ilvl w:val="0"/>
          <w:numId w:val="0"/>
        </w:numPr>
        <w:ind w:firstLine="284"/>
        <w:rPr>
          <w:sz w:val="24"/>
          <w:szCs w:val="24"/>
          <w:lang w:val="en-GB"/>
        </w:rPr>
      </w:pPr>
      <w:r w:rsidRPr="009F3E4A">
        <w:rPr>
          <w:sz w:val="24"/>
          <w:szCs w:val="24"/>
          <w:lang w:val="en-GB"/>
        </w:rPr>
        <w:t xml:space="preserve">The firing of the clay, known as bisque firing, eliminates all water (both physical and chemical) and carbon. The fusion of the particles begins, but the clay is still porous to allow the absorption of the glaze. It can no longer be turned off and recycled. Firing at 550°C turns the cup red due to the oxidation of the ferrous silicate. Dehydroxylation takes place at this temperature and causes the carbonaceous organic matter to burn [11]. But this firing temperature (550°C) is lower than the inversion temperature of Silica quartz, 573°C. Therefore, the minimum temperature for cup firing in the present experimental work was taken as 600°C. The firing tests were carried out at 600-900°C in increments of 100°C. The rate of the firing is very important since it imparts final properties to the cup. The faster firing produces the swelling of the clay due to the creation of an impermeable vitrified outer skin that obstructs the escape of gases such as steam and carbon </w:t>
      </w:r>
      <w:r w:rsidRPr="009F3E4A">
        <w:rPr>
          <w:sz w:val="24"/>
          <w:szCs w:val="24"/>
          <w:lang w:val="en-GB"/>
        </w:rPr>
        <w:lastRenderedPageBreak/>
        <w:t xml:space="preserve">dioxide from the central part. Therefore, the temperature was slowly increased to the </w:t>
      </w:r>
      <w:r w:rsidR="00D71F42">
        <w:rPr>
          <w:sz w:val="24"/>
          <w:szCs w:val="24"/>
          <w:lang w:val="en-GB"/>
        </w:rPr>
        <w:t>fir</w:t>
      </w:r>
      <w:r w:rsidRPr="009F3E4A">
        <w:rPr>
          <w:sz w:val="24"/>
          <w:szCs w:val="24"/>
          <w:lang w:val="en-GB"/>
        </w:rPr>
        <w:t>ing temperature in each test.</w:t>
      </w:r>
    </w:p>
    <w:p w:rsidR="004247DD" w:rsidRPr="009F3E4A" w:rsidRDefault="004247DD" w:rsidP="004247DD">
      <w:pPr>
        <w:rPr>
          <w:szCs w:val="24"/>
        </w:rPr>
      </w:pPr>
    </w:p>
    <w:p w:rsidR="004247DD" w:rsidRPr="009F3E4A" w:rsidRDefault="004247DD" w:rsidP="004247DD">
      <w:pPr>
        <w:pStyle w:val="HTMLPreformatted"/>
        <w:ind w:firstLine="284"/>
        <w:jc w:val="both"/>
        <w:rPr>
          <w:rFonts w:ascii="Times New Roman" w:hAnsi="Times New Roman" w:cs="Times New Roman"/>
          <w:sz w:val="24"/>
          <w:szCs w:val="24"/>
          <w:lang w:val="en-GB" w:eastAsia="en-US"/>
        </w:rPr>
      </w:pPr>
      <w:r w:rsidRPr="009F3E4A">
        <w:rPr>
          <w:rFonts w:ascii="Times New Roman" w:hAnsi="Times New Roman" w:cs="Times New Roman"/>
          <w:sz w:val="24"/>
          <w:szCs w:val="24"/>
          <w:lang w:val="en-GB" w:eastAsia="en-US"/>
        </w:rPr>
        <w:t>Once the heating was complete, the oven was turned off and the sample was allowed to cool slowly. Immediate removal of the sample from the oven after heating produces black spots on the surface of the cup. The dimensions (lower and upper diameters and height), dry weight and dry volume of all the samples were recorded. Each experiment was repeated in three repetitions. The properties (compressive strength, water absorption, shrinkage, weight loss and density) for all samples treated at different temperatures and firing times were measured for all samples. The compression strength was found using an indirect method - impact rebound method. Water absorption is expressed as a % and is calculated as the ratio of the weight of water absorbed in cup body divided by the dry weight of the cup. The water absorption was calculated by placing the cup in a water bath for 24 hours and then measuring the amount of water absorbed by the cup.</w:t>
      </w:r>
    </w:p>
    <w:p w:rsidR="004247DD" w:rsidRDefault="004247DD" w:rsidP="004247DD">
      <w:pPr>
        <w:pStyle w:val="ListParagraph"/>
        <w:ind w:firstLine="0"/>
        <w:mirrorIndents/>
        <w:rPr>
          <w:rFonts w:ascii="Arial" w:hAnsi="Arial" w:cs="Arial"/>
          <w:b/>
          <w:szCs w:val="24"/>
        </w:rPr>
      </w:pPr>
    </w:p>
    <w:p w:rsidR="004247DD" w:rsidRDefault="004247DD" w:rsidP="004247DD">
      <w:pPr>
        <w:pStyle w:val="ListParagraph"/>
        <w:numPr>
          <w:ilvl w:val="0"/>
          <w:numId w:val="18"/>
        </w:numPr>
        <w:mirrorIndents/>
        <w:rPr>
          <w:rFonts w:ascii="Arial" w:hAnsi="Arial" w:cs="Arial"/>
          <w:b/>
          <w:szCs w:val="24"/>
        </w:rPr>
      </w:pPr>
      <w:r w:rsidRPr="004247DD">
        <w:rPr>
          <w:rFonts w:ascii="Arial" w:hAnsi="Arial" w:cs="Arial"/>
          <w:b/>
          <w:szCs w:val="24"/>
        </w:rPr>
        <w:t>Results and Discussion</w:t>
      </w:r>
    </w:p>
    <w:p w:rsidR="00874160" w:rsidRDefault="00874160" w:rsidP="00874160">
      <w:pPr>
        <w:pStyle w:val="ListParagraph"/>
        <w:ind w:left="360" w:firstLine="0"/>
        <w:mirrorIndents/>
        <w:rPr>
          <w:rFonts w:ascii="Arial" w:hAnsi="Arial" w:cs="Arial"/>
          <w:b/>
          <w:szCs w:val="24"/>
        </w:rPr>
      </w:pPr>
    </w:p>
    <w:p w:rsidR="00874160" w:rsidRPr="004247DD" w:rsidRDefault="00874160" w:rsidP="00874160">
      <w:pPr>
        <w:pStyle w:val="referenceitem"/>
        <w:numPr>
          <w:ilvl w:val="0"/>
          <w:numId w:val="0"/>
        </w:numPr>
        <w:ind w:firstLine="284"/>
        <w:rPr>
          <w:sz w:val="24"/>
          <w:szCs w:val="24"/>
          <w:lang w:val="en-GB"/>
        </w:rPr>
      </w:pPr>
      <w:r w:rsidRPr="004247DD">
        <w:rPr>
          <w:sz w:val="24"/>
          <w:szCs w:val="24"/>
          <w:lang w:val="en-GB"/>
        </w:rPr>
        <w:t>The mineral constitution of clay soil was a mixture of illite, kaolinite, chlorite, dolomite, hematite and quartz. Some physical properties of clay to make cups are: liquid limit 39.50; plastic limit 19.27 and clay material (sand 12.8, silt 44.0, clay 43.2), 43.12% and plastic index 20.23%. The clay raw material complies with the chemical and morphological properties, and compositions necessary for the manufacture of cups [12].</w:t>
      </w:r>
    </w:p>
    <w:p w:rsidR="00874160" w:rsidRDefault="00874160" w:rsidP="00874160">
      <w:pPr>
        <w:pStyle w:val="ListParagraph"/>
        <w:ind w:firstLine="0"/>
        <w:mirrorIndents/>
        <w:rPr>
          <w:rFonts w:ascii="Arial" w:hAnsi="Arial" w:cs="Arial"/>
          <w:b/>
          <w:szCs w:val="24"/>
        </w:rPr>
      </w:pPr>
    </w:p>
    <w:p w:rsidR="00996AAE" w:rsidRPr="00205179" w:rsidRDefault="00996AAE" w:rsidP="00AC085E">
      <w:pPr>
        <w:ind w:firstLine="0"/>
        <w:contextualSpacing/>
        <w:mirrorIndents/>
        <w:jc w:val="center"/>
        <w:rPr>
          <w:szCs w:val="24"/>
        </w:rPr>
      </w:pPr>
      <w:r w:rsidRPr="00205179">
        <w:rPr>
          <w:szCs w:val="24"/>
        </w:rPr>
        <w:t xml:space="preserve">Table. 1. </w:t>
      </w:r>
      <w:r w:rsidRPr="0073011D">
        <w:rPr>
          <w:szCs w:val="24"/>
        </w:rPr>
        <w:t>Effect of firing time and temperature on compression strength</w:t>
      </w:r>
    </w:p>
    <w:tbl>
      <w:tblPr>
        <w:tblpPr w:leftFromText="180" w:rightFromText="180" w:vertAnchor="text" w:horzAnchor="margin" w:tblpXSpec="center" w:tblpY="107"/>
        <w:tblW w:w="7502" w:type="dxa"/>
        <w:tblLook w:val="04A0"/>
      </w:tblPr>
      <w:tblGrid>
        <w:gridCol w:w="1285"/>
        <w:gridCol w:w="1196"/>
        <w:gridCol w:w="1255"/>
        <w:gridCol w:w="1119"/>
        <w:gridCol w:w="1015"/>
        <w:gridCol w:w="806"/>
        <w:gridCol w:w="826"/>
      </w:tblGrid>
      <w:tr w:rsidR="00996AAE" w:rsidRPr="007D659A" w:rsidTr="00323CF7">
        <w:trPr>
          <w:trHeight w:val="288"/>
        </w:trPr>
        <w:tc>
          <w:tcPr>
            <w:tcW w:w="12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Firing Temperature (°C)</w:t>
            </w:r>
          </w:p>
        </w:tc>
        <w:tc>
          <w:tcPr>
            <w:tcW w:w="11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Firing Time (min)</w:t>
            </w:r>
          </w:p>
        </w:tc>
        <w:tc>
          <w:tcPr>
            <w:tcW w:w="12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Compressive strength (MPa)</w:t>
            </w:r>
          </w:p>
        </w:tc>
        <w:tc>
          <w:tcPr>
            <w:tcW w:w="1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Water Absorption (%)</w:t>
            </w:r>
          </w:p>
        </w:tc>
        <w:tc>
          <w:tcPr>
            <w:tcW w:w="101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Firing Shrinkage (%)</w:t>
            </w:r>
          </w:p>
        </w:tc>
        <w:tc>
          <w:tcPr>
            <w:tcW w:w="80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Weight loss (%)</w:t>
            </w:r>
          </w:p>
        </w:tc>
        <w:tc>
          <w:tcPr>
            <w:tcW w:w="8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20"/>
                <w:lang w:val="en-US"/>
              </w:rPr>
            </w:pPr>
            <w:r w:rsidRPr="007D659A">
              <w:rPr>
                <w:rFonts w:ascii="Calibri" w:hAnsi="Calibri" w:cs="Calibri"/>
                <w:color w:val="000000"/>
                <w:sz w:val="20"/>
                <w:lang w:val="en-US"/>
              </w:rPr>
              <w:t>Density (g/cm</w:t>
            </w:r>
            <w:r w:rsidRPr="007D659A">
              <w:rPr>
                <w:rFonts w:ascii="Calibri" w:hAnsi="Calibri" w:cs="Calibri"/>
                <w:color w:val="000000"/>
                <w:sz w:val="20"/>
                <w:vertAlign w:val="superscript"/>
                <w:lang w:val="en-US"/>
              </w:rPr>
              <w:t>3</w:t>
            </w:r>
            <w:r w:rsidRPr="007D659A">
              <w:rPr>
                <w:rFonts w:ascii="Calibri" w:hAnsi="Calibri" w:cs="Calibri"/>
                <w:color w:val="000000"/>
                <w:sz w:val="20"/>
                <w:lang w:val="en-US"/>
              </w:rPr>
              <w:t>)</w:t>
            </w:r>
          </w:p>
        </w:tc>
      </w:tr>
      <w:tr w:rsidR="00996AAE" w:rsidRPr="007D659A" w:rsidTr="00323CF7">
        <w:trPr>
          <w:trHeight w:val="288"/>
        </w:trPr>
        <w:tc>
          <w:tcPr>
            <w:tcW w:w="1285"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196" w:type="dxa"/>
            <w:vMerge/>
            <w:tcBorders>
              <w:top w:val="single" w:sz="4" w:space="0" w:color="auto"/>
              <w:left w:val="single" w:sz="4" w:space="0" w:color="auto"/>
              <w:bottom w:val="single" w:sz="4" w:space="0" w:color="000000"/>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255"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119"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015"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826"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r>
      <w:tr w:rsidR="00996AAE" w:rsidRPr="007D659A" w:rsidTr="00323CF7">
        <w:trPr>
          <w:trHeight w:val="288"/>
        </w:trPr>
        <w:tc>
          <w:tcPr>
            <w:tcW w:w="1285"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196" w:type="dxa"/>
            <w:vMerge/>
            <w:tcBorders>
              <w:top w:val="single" w:sz="4" w:space="0" w:color="auto"/>
              <w:left w:val="single" w:sz="4" w:space="0" w:color="auto"/>
              <w:bottom w:val="single" w:sz="4" w:space="0" w:color="000000"/>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255"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119"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1015"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c>
          <w:tcPr>
            <w:tcW w:w="826" w:type="dxa"/>
            <w:vMerge/>
            <w:tcBorders>
              <w:top w:val="single" w:sz="4" w:space="0" w:color="auto"/>
              <w:left w:val="single" w:sz="4" w:space="0" w:color="auto"/>
              <w:bottom w:val="single" w:sz="4" w:space="0" w:color="auto"/>
              <w:right w:val="single" w:sz="4" w:space="0" w:color="auto"/>
            </w:tcBorders>
            <w:vAlign w:val="center"/>
            <w:hideMark/>
          </w:tcPr>
          <w:p w:rsidR="00996AAE" w:rsidRPr="007D659A" w:rsidRDefault="00996AAE" w:rsidP="00323CF7">
            <w:pPr>
              <w:ind w:firstLine="0"/>
              <w:jc w:val="left"/>
              <w:rPr>
                <w:rFonts w:ascii="Calibri" w:hAnsi="Calibri" w:cs="Calibri"/>
                <w:color w:val="000000"/>
                <w:sz w:val="20"/>
                <w:lang w:val="en-US"/>
              </w:rPr>
            </w:pPr>
          </w:p>
        </w:tc>
      </w:tr>
      <w:tr w:rsidR="00996AAE" w:rsidRPr="007D659A" w:rsidTr="00323CF7">
        <w:trPr>
          <w:trHeight w:val="288"/>
        </w:trPr>
        <w:tc>
          <w:tcPr>
            <w:tcW w:w="1285" w:type="dxa"/>
            <w:tcBorders>
              <w:top w:val="nil"/>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600</w:t>
            </w:r>
          </w:p>
        </w:tc>
        <w:tc>
          <w:tcPr>
            <w:tcW w:w="1196" w:type="dxa"/>
            <w:tcBorders>
              <w:top w:val="nil"/>
              <w:left w:val="nil"/>
              <w:bottom w:val="single" w:sz="4" w:space="0" w:color="auto"/>
              <w:right w:val="single" w:sz="4" w:space="0" w:color="auto"/>
            </w:tcBorders>
            <w:shd w:val="clear" w:color="auto" w:fill="auto"/>
            <w:noWrap/>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30</w:t>
            </w:r>
          </w:p>
        </w:tc>
        <w:tc>
          <w:tcPr>
            <w:tcW w:w="125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6</w:t>
            </w:r>
          </w:p>
        </w:tc>
        <w:tc>
          <w:tcPr>
            <w:tcW w:w="1119"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14.62</w:t>
            </w:r>
          </w:p>
        </w:tc>
        <w:tc>
          <w:tcPr>
            <w:tcW w:w="101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4.8</w:t>
            </w:r>
          </w:p>
        </w:tc>
        <w:tc>
          <w:tcPr>
            <w:tcW w:w="80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4.4</w:t>
            </w:r>
          </w:p>
        </w:tc>
        <w:tc>
          <w:tcPr>
            <w:tcW w:w="82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1.64</w:t>
            </w:r>
          </w:p>
        </w:tc>
      </w:tr>
      <w:tr w:rsidR="00996AAE" w:rsidRPr="007D659A" w:rsidTr="00323CF7">
        <w:trPr>
          <w:trHeight w:val="288"/>
        </w:trPr>
        <w:tc>
          <w:tcPr>
            <w:tcW w:w="1285" w:type="dxa"/>
            <w:tcBorders>
              <w:top w:val="nil"/>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700</w:t>
            </w:r>
          </w:p>
        </w:tc>
        <w:tc>
          <w:tcPr>
            <w:tcW w:w="1196" w:type="dxa"/>
            <w:tcBorders>
              <w:top w:val="nil"/>
              <w:left w:val="nil"/>
              <w:bottom w:val="single" w:sz="4" w:space="0" w:color="auto"/>
              <w:right w:val="single" w:sz="4" w:space="0" w:color="auto"/>
            </w:tcBorders>
            <w:shd w:val="clear" w:color="auto" w:fill="auto"/>
            <w:noWrap/>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30</w:t>
            </w:r>
          </w:p>
        </w:tc>
        <w:tc>
          <w:tcPr>
            <w:tcW w:w="125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8</w:t>
            </w:r>
          </w:p>
        </w:tc>
        <w:tc>
          <w:tcPr>
            <w:tcW w:w="1119"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13.08</w:t>
            </w:r>
          </w:p>
        </w:tc>
        <w:tc>
          <w:tcPr>
            <w:tcW w:w="101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5.25</w:t>
            </w:r>
          </w:p>
        </w:tc>
        <w:tc>
          <w:tcPr>
            <w:tcW w:w="80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4.6</w:t>
            </w:r>
          </w:p>
        </w:tc>
        <w:tc>
          <w:tcPr>
            <w:tcW w:w="82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1.68</w:t>
            </w:r>
          </w:p>
        </w:tc>
      </w:tr>
      <w:tr w:rsidR="00996AAE" w:rsidRPr="007D659A" w:rsidTr="00323CF7">
        <w:trPr>
          <w:trHeight w:val="288"/>
        </w:trPr>
        <w:tc>
          <w:tcPr>
            <w:tcW w:w="1285" w:type="dxa"/>
            <w:tcBorders>
              <w:top w:val="nil"/>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800</w:t>
            </w:r>
          </w:p>
        </w:tc>
        <w:tc>
          <w:tcPr>
            <w:tcW w:w="1196" w:type="dxa"/>
            <w:tcBorders>
              <w:top w:val="nil"/>
              <w:left w:val="nil"/>
              <w:bottom w:val="single" w:sz="4" w:space="0" w:color="auto"/>
              <w:right w:val="single" w:sz="4" w:space="0" w:color="auto"/>
            </w:tcBorders>
            <w:shd w:val="clear" w:color="auto" w:fill="auto"/>
            <w:noWrap/>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30</w:t>
            </w:r>
          </w:p>
        </w:tc>
        <w:tc>
          <w:tcPr>
            <w:tcW w:w="125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12.45</w:t>
            </w:r>
          </w:p>
        </w:tc>
        <w:tc>
          <w:tcPr>
            <w:tcW w:w="1119"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11.5</w:t>
            </w:r>
          </w:p>
        </w:tc>
        <w:tc>
          <w:tcPr>
            <w:tcW w:w="101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6.85</w:t>
            </w:r>
          </w:p>
        </w:tc>
        <w:tc>
          <w:tcPr>
            <w:tcW w:w="80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5.4</w:t>
            </w:r>
          </w:p>
        </w:tc>
        <w:tc>
          <w:tcPr>
            <w:tcW w:w="82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1.72</w:t>
            </w:r>
          </w:p>
        </w:tc>
      </w:tr>
      <w:tr w:rsidR="00996AAE" w:rsidRPr="007D659A" w:rsidTr="00323CF7">
        <w:trPr>
          <w:trHeight w:val="288"/>
        </w:trPr>
        <w:tc>
          <w:tcPr>
            <w:tcW w:w="1285" w:type="dxa"/>
            <w:tcBorders>
              <w:top w:val="nil"/>
              <w:left w:val="single" w:sz="4" w:space="0" w:color="auto"/>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900</w:t>
            </w:r>
          </w:p>
        </w:tc>
        <w:tc>
          <w:tcPr>
            <w:tcW w:w="1196" w:type="dxa"/>
            <w:tcBorders>
              <w:top w:val="nil"/>
              <w:left w:val="nil"/>
              <w:bottom w:val="single" w:sz="4" w:space="0" w:color="auto"/>
              <w:right w:val="single" w:sz="4" w:space="0" w:color="auto"/>
            </w:tcBorders>
            <w:shd w:val="clear" w:color="auto" w:fill="auto"/>
            <w:noWrap/>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30</w:t>
            </w:r>
          </w:p>
        </w:tc>
        <w:tc>
          <w:tcPr>
            <w:tcW w:w="125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14.3</w:t>
            </w:r>
          </w:p>
        </w:tc>
        <w:tc>
          <w:tcPr>
            <w:tcW w:w="1119"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10.88</w:t>
            </w:r>
          </w:p>
        </w:tc>
        <w:tc>
          <w:tcPr>
            <w:tcW w:w="1015"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7.59</w:t>
            </w:r>
          </w:p>
        </w:tc>
        <w:tc>
          <w:tcPr>
            <w:tcW w:w="80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5.8</w:t>
            </w:r>
          </w:p>
        </w:tc>
        <w:tc>
          <w:tcPr>
            <w:tcW w:w="826" w:type="dxa"/>
            <w:tcBorders>
              <w:top w:val="nil"/>
              <w:left w:val="nil"/>
              <w:bottom w:val="single" w:sz="4" w:space="0" w:color="auto"/>
              <w:right w:val="single" w:sz="4" w:space="0" w:color="auto"/>
            </w:tcBorders>
            <w:shd w:val="clear" w:color="auto" w:fill="auto"/>
            <w:vAlign w:val="center"/>
            <w:hideMark/>
          </w:tcPr>
          <w:p w:rsidR="00996AAE" w:rsidRPr="007D659A" w:rsidRDefault="00996AAE" w:rsidP="00323CF7">
            <w:pPr>
              <w:ind w:firstLine="0"/>
              <w:jc w:val="center"/>
              <w:rPr>
                <w:rFonts w:ascii="Calibri" w:hAnsi="Calibri" w:cs="Calibri"/>
                <w:color w:val="000000"/>
                <w:sz w:val="18"/>
                <w:szCs w:val="18"/>
                <w:lang w:val="en-US"/>
              </w:rPr>
            </w:pPr>
            <w:r w:rsidRPr="007D659A">
              <w:rPr>
                <w:rFonts w:ascii="Calibri" w:hAnsi="Calibri" w:cs="Calibri"/>
                <w:color w:val="000000"/>
                <w:sz w:val="18"/>
                <w:szCs w:val="18"/>
                <w:lang w:val="en-US"/>
              </w:rPr>
              <w:t>1.74</w:t>
            </w:r>
          </w:p>
        </w:tc>
      </w:tr>
    </w:tbl>
    <w:p w:rsidR="00874160" w:rsidRDefault="00874160" w:rsidP="00996AAE">
      <w:pPr>
        <w:pStyle w:val="heading20"/>
        <w:numPr>
          <w:ilvl w:val="1"/>
          <w:numId w:val="18"/>
        </w:numPr>
        <w:spacing w:before="240"/>
        <w:rPr>
          <w:rFonts w:ascii="Arial" w:hAnsi="Arial" w:cs="Arial"/>
          <w:sz w:val="24"/>
          <w:szCs w:val="24"/>
          <w:lang w:val="en-GB"/>
        </w:rPr>
      </w:pPr>
      <w:r w:rsidRPr="004B477C">
        <w:rPr>
          <w:rFonts w:ascii="Arial" w:hAnsi="Arial" w:cs="Arial"/>
          <w:sz w:val="24"/>
          <w:szCs w:val="24"/>
          <w:lang w:val="en-GB"/>
        </w:rPr>
        <w:t>Compression Strength</w:t>
      </w:r>
    </w:p>
    <w:p w:rsidR="0053000B" w:rsidRDefault="0053000B" w:rsidP="0053000B">
      <w:pPr>
        <w:pStyle w:val="HTMLPreformatted"/>
        <w:shd w:val="clear" w:color="auto" w:fill="FFFFFF"/>
        <w:tabs>
          <w:tab w:val="clear" w:pos="916"/>
          <w:tab w:val="left" w:pos="720"/>
        </w:tabs>
        <w:ind w:left="360"/>
        <w:jc w:val="both"/>
        <w:rPr>
          <w:rFonts w:ascii="Times New Roman" w:hAnsi="Times New Roman" w:cs="Times New Roman"/>
          <w:sz w:val="24"/>
          <w:szCs w:val="24"/>
          <w:lang w:val="en-GB" w:eastAsia="en-US"/>
        </w:rPr>
      </w:pPr>
      <w:bookmarkStart w:id="4" w:name="_Hlk559465"/>
      <w:r>
        <w:rPr>
          <w:rFonts w:ascii="Times New Roman" w:hAnsi="Times New Roman" w:cs="Times New Roman"/>
          <w:szCs w:val="24"/>
        </w:rPr>
        <w:tab/>
      </w:r>
      <w:r w:rsidRPr="0053000B">
        <w:rPr>
          <w:rFonts w:ascii="Times New Roman" w:hAnsi="Times New Roman" w:cs="Times New Roman"/>
          <w:sz w:val="24"/>
          <w:szCs w:val="24"/>
          <w:lang w:val="en-GB" w:eastAsia="en-US"/>
        </w:rPr>
        <w:t>The compression strength increases remarkably with the firing temperature (</w:t>
      </w:r>
      <w:r w:rsidR="00141C22">
        <w:rPr>
          <w:rFonts w:ascii="Times New Roman" w:hAnsi="Times New Roman" w:cs="Times New Roman"/>
          <w:sz w:val="24"/>
          <w:szCs w:val="24"/>
          <w:lang w:val="en-GB" w:eastAsia="en-US"/>
        </w:rPr>
        <w:t>Table. 1</w:t>
      </w:r>
      <w:r w:rsidRPr="0053000B">
        <w:rPr>
          <w:rFonts w:ascii="Times New Roman" w:hAnsi="Times New Roman" w:cs="Times New Roman"/>
          <w:sz w:val="24"/>
          <w:szCs w:val="24"/>
          <w:lang w:val="en-GB" w:eastAsia="en-US"/>
        </w:rPr>
        <w:t>). With the increase in the firing temperature, the compression strength increases as follows: 600-700°C, 33.33%; and 600-900°C</w:t>
      </w:r>
      <w:r w:rsidR="00D71F42">
        <w:rPr>
          <w:rFonts w:ascii="Times New Roman" w:hAnsi="Times New Roman" w:cs="Times New Roman"/>
          <w:sz w:val="24"/>
          <w:szCs w:val="24"/>
          <w:lang w:val="en-GB" w:eastAsia="en-US"/>
        </w:rPr>
        <w:t>,</w:t>
      </w:r>
      <w:r w:rsidRPr="0053000B">
        <w:rPr>
          <w:rFonts w:ascii="Times New Roman" w:hAnsi="Times New Roman" w:cs="Times New Roman"/>
          <w:sz w:val="24"/>
          <w:szCs w:val="24"/>
          <w:lang w:val="en-GB" w:eastAsia="en-US"/>
        </w:rPr>
        <w:t xml:space="preserve"> 138.83%. The increase in strength</w:t>
      </w:r>
      <w:r w:rsidR="00D71F42">
        <w:rPr>
          <w:rFonts w:ascii="Times New Roman" w:hAnsi="Times New Roman" w:cs="Times New Roman"/>
          <w:sz w:val="24"/>
          <w:szCs w:val="24"/>
          <w:lang w:val="en-GB" w:eastAsia="en-US"/>
        </w:rPr>
        <w:t xml:space="preserve"> </w:t>
      </w:r>
      <w:r w:rsidR="00D71F42" w:rsidRPr="0053000B">
        <w:rPr>
          <w:rFonts w:ascii="Times New Roman" w:hAnsi="Times New Roman" w:cs="Times New Roman"/>
          <w:sz w:val="24"/>
          <w:szCs w:val="24"/>
          <w:lang w:val="en-GB" w:eastAsia="en-US"/>
        </w:rPr>
        <w:t xml:space="preserve">(Fig. </w:t>
      </w:r>
      <w:r w:rsidR="00D71F42">
        <w:rPr>
          <w:rFonts w:ascii="Times New Roman" w:hAnsi="Times New Roman" w:cs="Times New Roman"/>
          <w:sz w:val="24"/>
          <w:szCs w:val="24"/>
          <w:lang w:val="en-GB" w:eastAsia="en-US"/>
        </w:rPr>
        <w:t>2</w:t>
      </w:r>
      <w:r w:rsidR="00D71F42" w:rsidRPr="0053000B">
        <w:rPr>
          <w:rFonts w:ascii="Times New Roman" w:hAnsi="Times New Roman" w:cs="Times New Roman"/>
          <w:sz w:val="24"/>
          <w:szCs w:val="24"/>
          <w:lang w:val="en-GB" w:eastAsia="en-US"/>
        </w:rPr>
        <w:t>)</w:t>
      </w:r>
      <w:r w:rsidR="00D71F42">
        <w:rPr>
          <w:rFonts w:ascii="Times New Roman" w:hAnsi="Times New Roman" w:cs="Times New Roman"/>
          <w:sz w:val="24"/>
          <w:szCs w:val="24"/>
          <w:lang w:val="en-GB" w:eastAsia="en-US"/>
        </w:rPr>
        <w:t xml:space="preserve"> </w:t>
      </w:r>
      <w:r w:rsidRPr="0053000B">
        <w:rPr>
          <w:rFonts w:ascii="Times New Roman" w:hAnsi="Times New Roman" w:cs="Times New Roman"/>
          <w:sz w:val="24"/>
          <w:szCs w:val="24"/>
          <w:lang w:val="en-GB" w:eastAsia="en-US"/>
        </w:rPr>
        <w:t xml:space="preserve">can be attributed to an increase in vitrification in the clay. The increase in compression strength is due to the decrease in porosity and the increase in bulk density with increasing temperature [2]. </w:t>
      </w:r>
    </w:p>
    <w:p w:rsidR="00AC085E" w:rsidRPr="0053000B" w:rsidRDefault="00AC085E" w:rsidP="0053000B">
      <w:pPr>
        <w:pStyle w:val="HTMLPreformatted"/>
        <w:shd w:val="clear" w:color="auto" w:fill="FFFFFF"/>
        <w:tabs>
          <w:tab w:val="clear" w:pos="916"/>
          <w:tab w:val="left" w:pos="720"/>
        </w:tabs>
        <w:ind w:left="360"/>
        <w:jc w:val="both"/>
        <w:rPr>
          <w:rFonts w:ascii="Times New Roman" w:hAnsi="Times New Roman" w:cs="Times New Roman"/>
          <w:sz w:val="24"/>
          <w:szCs w:val="24"/>
          <w:lang w:val="en-GB" w:eastAsia="en-US"/>
        </w:rPr>
      </w:pPr>
    </w:p>
    <w:bookmarkEnd w:id="4"/>
    <w:p w:rsidR="00874160" w:rsidRDefault="00874160" w:rsidP="00874160">
      <w:pPr>
        <w:pStyle w:val="heading20"/>
        <w:numPr>
          <w:ilvl w:val="1"/>
          <w:numId w:val="18"/>
        </w:numPr>
        <w:spacing w:before="0"/>
        <w:rPr>
          <w:rFonts w:ascii="Arial" w:hAnsi="Arial" w:cs="Arial"/>
          <w:sz w:val="24"/>
          <w:szCs w:val="24"/>
          <w:lang w:val="en-GB"/>
        </w:rPr>
      </w:pPr>
      <w:r w:rsidRPr="00874160">
        <w:rPr>
          <w:rFonts w:ascii="Arial" w:hAnsi="Arial" w:cs="Arial"/>
          <w:sz w:val="24"/>
          <w:szCs w:val="24"/>
          <w:lang w:val="en-GB"/>
        </w:rPr>
        <w:t>Water Absorption</w:t>
      </w:r>
    </w:p>
    <w:p w:rsidR="0053000B" w:rsidRPr="0053000B" w:rsidRDefault="0053000B" w:rsidP="0053000B">
      <w:pPr>
        <w:pStyle w:val="HTMLPreformatted"/>
        <w:shd w:val="clear" w:color="auto" w:fill="FFFFFF"/>
        <w:ind w:left="360"/>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ab/>
      </w:r>
      <w:r w:rsidRPr="0053000B">
        <w:rPr>
          <w:rFonts w:ascii="Times New Roman" w:hAnsi="Times New Roman" w:cs="Times New Roman"/>
          <w:sz w:val="24"/>
          <w:szCs w:val="24"/>
          <w:lang w:val="en-GB" w:eastAsia="en-US"/>
        </w:rPr>
        <w:t xml:space="preserve">18% is the upper limit for the average water absorption obtained by immersion in water for 24 hours. In this study, the water absorption of all the cups (Fig. </w:t>
      </w:r>
      <w:r w:rsidR="00F95382">
        <w:rPr>
          <w:rFonts w:ascii="Times New Roman" w:hAnsi="Times New Roman" w:cs="Times New Roman"/>
          <w:sz w:val="24"/>
          <w:szCs w:val="24"/>
          <w:lang w:val="en-GB" w:eastAsia="en-US"/>
        </w:rPr>
        <w:t>3</w:t>
      </w:r>
      <w:r w:rsidRPr="0053000B">
        <w:rPr>
          <w:rFonts w:ascii="Times New Roman" w:hAnsi="Times New Roman" w:cs="Times New Roman"/>
          <w:sz w:val="24"/>
          <w:szCs w:val="24"/>
          <w:lang w:val="en-GB" w:eastAsia="en-US"/>
        </w:rPr>
        <w:t>) made at each firing temperature met the criteria given by the Turkish Standards Institute. The low water absorption values ​​found in this work show that the manufactured clay cups were highly non-porous. It is expected that the inside of the clay cup will be sufficiently dense to prevent the entry of water.</w:t>
      </w:r>
      <w:r w:rsidRPr="0053000B">
        <w:rPr>
          <w:rFonts w:ascii="Times New Roman" w:hAnsi="Times New Roman" w:cs="Times New Roman"/>
          <w:sz w:val="24"/>
          <w:szCs w:val="24"/>
          <w:lang w:val="en-GB" w:eastAsia="en-US"/>
        </w:rPr>
        <w:tab/>
      </w:r>
    </w:p>
    <w:p w:rsidR="0053000B" w:rsidRDefault="0053000B" w:rsidP="0053000B">
      <w:pPr>
        <w:pStyle w:val="referenceitem"/>
        <w:numPr>
          <w:ilvl w:val="0"/>
          <w:numId w:val="0"/>
        </w:numPr>
        <w:spacing w:after="240"/>
        <w:ind w:left="360"/>
        <w:rPr>
          <w:sz w:val="24"/>
          <w:szCs w:val="24"/>
          <w:lang w:val="en-GB"/>
        </w:rPr>
      </w:pPr>
      <w:r w:rsidRPr="0053000B">
        <w:rPr>
          <w:sz w:val="24"/>
          <w:szCs w:val="24"/>
          <w:lang w:val="en-GB"/>
        </w:rPr>
        <w:t xml:space="preserve">The absorption of water decreases considerably with the increase in temperature due to the formation of an amorphous phase during high-temperature firing [13]. The presence of amorphous silica formed at high firing temperatures could be the reason for the displayed result.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78"/>
        <w:gridCol w:w="4678"/>
      </w:tblGrid>
      <w:tr w:rsidR="0062218E" w:rsidTr="0062218E">
        <w:trPr>
          <w:trHeight w:hRule="exact" w:val="2835"/>
          <w:jc w:val="center"/>
        </w:trPr>
        <w:tc>
          <w:tcPr>
            <w:tcW w:w="4678" w:type="dxa"/>
            <w:vAlign w:val="center"/>
          </w:tcPr>
          <w:p w:rsidR="0062218E" w:rsidRPr="0062218E" w:rsidRDefault="0062218E" w:rsidP="0062218E">
            <w:pPr>
              <w:pStyle w:val="HTMLPreformatted"/>
              <w:tabs>
                <w:tab w:val="clear" w:pos="916"/>
                <w:tab w:val="left" w:pos="720"/>
              </w:tabs>
              <w:rPr>
                <w:rFonts w:ascii="Arial" w:hAnsi="Arial" w:cs="Arial"/>
                <w:sz w:val="24"/>
                <w:szCs w:val="24"/>
                <w:lang w:val="en-GB" w:eastAsia="en-US"/>
              </w:rPr>
            </w:pPr>
            <w:r w:rsidRPr="00683D0F">
              <w:rPr>
                <w:noProof/>
                <w:sz w:val="24"/>
                <w:szCs w:val="24"/>
              </w:rPr>
              <w:lastRenderedPageBreak/>
              <w:drawing>
                <wp:inline distT="0" distB="0" distL="0" distR="0">
                  <wp:extent cx="2834640" cy="1752600"/>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4640" cy="1752600"/>
                          </a:xfrm>
                          <a:prstGeom prst="rect">
                            <a:avLst/>
                          </a:prstGeom>
                          <a:noFill/>
                          <a:ln>
                            <a:noFill/>
                          </a:ln>
                        </pic:spPr>
                      </pic:pic>
                    </a:graphicData>
                  </a:graphic>
                </wp:inline>
              </w:drawing>
            </w:r>
          </w:p>
        </w:tc>
        <w:tc>
          <w:tcPr>
            <w:tcW w:w="4678" w:type="dxa"/>
            <w:vAlign w:val="center"/>
          </w:tcPr>
          <w:p w:rsidR="0062218E" w:rsidRDefault="0062218E" w:rsidP="005733A9">
            <w:pPr>
              <w:pStyle w:val="HTMLPreformatted"/>
              <w:tabs>
                <w:tab w:val="clear" w:pos="916"/>
                <w:tab w:val="left" w:pos="720"/>
              </w:tabs>
              <w:jc w:val="center"/>
              <w:rPr>
                <w:rFonts w:ascii="Times New Roman" w:hAnsi="Times New Roman" w:cs="Times New Roman"/>
                <w:sz w:val="24"/>
                <w:szCs w:val="24"/>
                <w:lang w:val="en-GB" w:eastAsia="en-US"/>
              </w:rPr>
            </w:pPr>
            <w:r w:rsidRPr="00683D0F">
              <w:rPr>
                <w:noProof/>
                <w:sz w:val="24"/>
                <w:szCs w:val="24"/>
              </w:rPr>
              <w:drawing>
                <wp:inline distT="0" distB="0" distL="0" distR="0">
                  <wp:extent cx="2834640" cy="1752600"/>
                  <wp:effectExtent l="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4640" cy="1752600"/>
                          </a:xfrm>
                          <a:prstGeom prst="rect">
                            <a:avLst/>
                          </a:prstGeom>
                          <a:noFill/>
                          <a:ln>
                            <a:noFill/>
                          </a:ln>
                        </pic:spPr>
                      </pic:pic>
                    </a:graphicData>
                  </a:graphic>
                </wp:inline>
              </w:drawing>
            </w:r>
          </w:p>
        </w:tc>
      </w:tr>
      <w:tr w:rsidR="0062218E" w:rsidTr="0062218E">
        <w:trPr>
          <w:trHeight w:hRule="exact" w:val="567"/>
          <w:jc w:val="center"/>
        </w:trPr>
        <w:tc>
          <w:tcPr>
            <w:tcW w:w="4678" w:type="dxa"/>
            <w:vAlign w:val="center"/>
          </w:tcPr>
          <w:p w:rsidR="0062218E" w:rsidRDefault="0062218E" w:rsidP="005D5C0A">
            <w:pPr>
              <w:pStyle w:val="HTMLPreformatted"/>
              <w:tabs>
                <w:tab w:val="clear" w:pos="916"/>
                <w:tab w:val="left" w:pos="720"/>
              </w:tabs>
              <w:jc w:val="center"/>
              <w:rPr>
                <w:rFonts w:ascii="Arial" w:hAnsi="Arial" w:cs="Arial"/>
                <w:sz w:val="24"/>
                <w:szCs w:val="24"/>
                <w:lang w:val="en-GB" w:eastAsia="en-US"/>
              </w:rPr>
            </w:pPr>
            <w:r w:rsidRPr="0062218E">
              <w:rPr>
                <w:rFonts w:ascii="Arial" w:hAnsi="Arial" w:cs="Arial"/>
                <w:sz w:val="24"/>
                <w:szCs w:val="24"/>
                <w:lang w:val="en-GB" w:eastAsia="en-US"/>
              </w:rPr>
              <w:t>Fig.</w:t>
            </w:r>
            <w:r w:rsidR="009E0EA1">
              <w:rPr>
                <w:rFonts w:ascii="Arial" w:hAnsi="Arial" w:cs="Arial"/>
                <w:sz w:val="24"/>
                <w:szCs w:val="24"/>
                <w:lang w:val="en-GB" w:eastAsia="en-US"/>
              </w:rPr>
              <w:t xml:space="preserve"> </w:t>
            </w:r>
            <w:r w:rsidRPr="0062218E">
              <w:rPr>
                <w:rFonts w:ascii="Arial" w:hAnsi="Arial" w:cs="Arial"/>
                <w:sz w:val="24"/>
                <w:szCs w:val="24"/>
                <w:lang w:val="en-GB" w:eastAsia="en-US"/>
              </w:rPr>
              <w:t>2.  Variation of compression strength</w:t>
            </w:r>
          </w:p>
          <w:p w:rsidR="0062218E" w:rsidRPr="0062218E" w:rsidRDefault="0062218E" w:rsidP="005D5C0A">
            <w:pPr>
              <w:pStyle w:val="HTMLPreformatted"/>
              <w:tabs>
                <w:tab w:val="clear" w:pos="916"/>
                <w:tab w:val="left" w:pos="720"/>
              </w:tabs>
              <w:jc w:val="center"/>
              <w:rPr>
                <w:rFonts w:ascii="Arial" w:hAnsi="Arial" w:cs="Arial"/>
                <w:sz w:val="24"/>
                <w:szCs w:val="24"/>
                <w:lang w:val="en-GB" w:eastAsia="en-US"/>
              </w:rPr>
            </w:pPr>
            <w:r w:rsidRPr="0062218E">
              <w:rPr>
                <w:rFonts w:ascii="Arial" w:hAnsi="Arial" w:cs="Arial"/>
                <w:sz w:val="24"/>
                <w:szCs w:val="24"/>
                <w:lang w:val="en-GB" w:eastAsia="en-US"/>
              </w:rPr>
              <w:t>with firing temperature</w:t>
            </w:r>
          </w:p>
          <w:p w:rsidR="0062218E" w:rsidRPr="0062218E" w:rsidRDefault="0062218E" w:rsidP="0062218E">
            <w:pPr>
              <w:pStyle w:val="HTMLPreformatted"/>
              <w:tabs>
                <w:tab w:val="clear" w:pos="916"/>
                <w:tab w:val="left" w:pos="720"/>
              </w:tabs>
              <w:rPr>
                <w:rFonts w:ascii="Arial" w:hAnsi="Arial" w:cs="Arial"/>
                <w:sz w:val="24"/>
                <w:szCs w:val="24"/>
                <w:lang w:val="en-GB" w:eastAsia="en-US"/>
              </w:rPr>
            </w:pPr>
          </w:p>
        </w:tc>
        <w:tc>
          <w:tcPr>
            <w:tcW w:w="4678" w:type="dxa"/>
            <w:vAlign w:val="center"/>
          </w:tcPr>
          <w:p w:rsidR="0062218E" w:rsidRDefault="0062218E" w:rsidP="005D5C0A">
            <w:pPr>
              <w:pStyle w:val="HTMLPreformatted"/>
              <w:tabs>
                <w:tab w:val="clear" w:pos="916"/>
                <w:tab w:val="left" w:pos="720"/>
              </w:tabs>
              <w:jc w:val="center"/>
              <w:rPr>
                <w:rFonts w:ascii="Arial" w:hAnsi="Arial" w:cs="Arial"/>
                <w:sz w:val="24"/>
                <w:szCs w:val="24"/>
                <w:lang w:val="en-GB" w:eastAsia="en-US"/>
              </w:rPr>
            </w:pPr>
            <w:r w:rsidRPr="0062218E">
              <w:rPr>
                <w:rFonts w:ascii="Arial" w:hAnsi="Arial" w:cs="Arial"/>
                <w:sz w:val="24"/>
                <w:szCs w:val="24"/>
                <w:lang w:val="en-GB" w:eastAsia="en-US"/>
              </w:rPr>
              <w:t>Fig.</w:t>
            </w:r>
            <w:r w:rsidR="009E0EA1">
              <w:rPr>
                <w:rFonts w:ascii="Arial" w:hAnsi="Arial" w:cs="Arial"/>
                <w:sz w:val="24"/>
                <w:szCs w:val="24"/>
                <w:lang w:val="en-GB" w:eastAsia="en-US"/>
              </w:rPr>
              <w:t xml:space="preserve"> </w:t>
            </w:r>
            <w:r w:rsidRPr="0062218E">
              <w:rPr>
                <w:rFonts w:ascii="Arial" w:hAnsi="Arial" w:cs="Arial"/>
                <w:sz w:val="24"/>
                <w:szCs w:val="24"/>
                <w:lang w:val="en-GB" w:eastAsia="en-US"/>
              </w:rPr>
              <w:t>3. Variation of water absorption with</w:t>
            </w:r>
          </w:p>
          <w:p w:rsidR="0062218E" w:rsidRPr="0062218E" w:rsidRDefault="0062218E" w:rsidP="005D5C0A">
            <w:pPr>
              <w:pStyle w:val="HTMLPreformatted"/>
              <w:tabs>
                <w:tab w:val="clear" w:pos="916"/>
                <w:tab w:val="left" w:pos="720"/>
              </w:tabs>
              <w:jc w:val="center"/>
              <w:rPr>
                <w:rFonts w:ascii="Arial" w:hAnsi="Arial" w:cs="Arial"/>
                <w:sz w:val="24"/>
                <w:szCs w:val="24"/>
                <w:lang w:val="en-GB" w:eastAsia="en-US"/>
              </w:rPr>
            </w:pPr>
            <w:r w:rsidRPr="0062218E">
              <w:rPr>
                <w:rFonts w:ascii="Arial" w:hAnsi="Arial" w:cs="Arial"/>
                <w:sz w:val="24"/>
                <w:szCs w:val="24"/>
                <w:lang w:val="en-GB" w:eastAsia="en-US"/>
              </w:rPr>
              <w:t>firing temperature</w:t>
            </w:r>
          </w:p>
        </w:tc>
      </w:tr>
    </w:tbl>
    <w:p w:rsidR="00874160" w:rsidRDefault="00874160" w:rsidP="00874160">
      <w:pPr>
        <w:pStyle w:val="heading20"/>
        <w:numPr>
          <w:ilvl w:val="1"/>
          <w:numId w:val="18"/>
        </w:numPr>
        <w:spacing w:before="0"/>
        <w:rPr>
          <w:rFonts w:ascii="Arial" w:hAnsi="Arial" w:cs="Arial"/>
          <w:sz w:val="24"/>
          <w:szCs w:val="24"/>
          <w:lang w:val="en-GB"/>
        </w:rPr>
      </w:pPr>
      <w:r w:rsidRPr="00874160">
        <w:rPr>
          <w:rFonts w:ascii="Arial" w:hAnsi="Arial" w:cs="Arial"/>
          <w:sz w:val="24"/>
          <w:szCs w:val="24"/>
          <w:lang w:val="en-GB"/>
        </w:rPr>
        <w:t xml:space="preserve">Firing Shrinkage </w:t>
      </w:r>
    </w:p>
    <w:p w:rsidR="00A6110E" w:rsidRPr="00B27B5C" w:rsidRDefault="009E23C0" w:rsidP="009E23C0">
      <w:pPr>
        <w:pStyle w:val="HTMLPreformatted"/>
        <w:shd w:val="clear" w:color="auto" w:fill="FFFFFF"/>
        <w:tabs>
          <w:tab w:val="clear" w:pos="916"/>
          <w:tab w:val="left" w:pos="720"/>
        </w:tabs>
        <w:ind w:left="360"/>
        <w:jc w:val="both"/>
        <w:rPr>
          <w:rFonts w:ascii="Times New Roman" w:hAnsi="Times New Roman" w:cs="Times New Roman"/>
          <w:szCs w:val="24"/>
        </w:rPr>
      </w:pPr>
      <w:r>
        <w:rPr>
          <w:rFonts w:ascii="Times New Roman" w:hAnsi="Times New Roman" w:cs="Times New Roman"/>
          <w:szCs w:val="24"/>
        </w:rPr>
        <w:tab/>
      </w:r>
      <w:r w:rsidRPr="009E23C0">
        <w:rPr>
          <w:rFonts w:ascii="Times New Roman" w:hAnsi="Times New Roman" w:cs="Times New Roman"/>
          <w:sz w:val="24"/>
          <w:szCs w:val="24"/>
          <w:lang w:val="en-GB" w:eastAsia="en-US"/>
        </w:rPr>
        <w:t>The firing temperature is an important parameter that influences the shrinkage. Higher shrinkage causes damage to the cups during the firing and drying stages. Shrinkage occurs in cups when chemically and physically bound water is lost. A linear relationship can be seen between the firing tempe</w:t>
      </w:r>
      <w:r w:rsidR="00F95382">
        <w:rPr>
          <w:rFonts w:ascii="Times New Roman" w:hAnsi="Times New Roman" w:cs="Times New Roman"/>
          <w:sz w:val="24"/>
          <w:szCs w:val="24"/>
          <w:lang w:val="en-GB" w:eastAsia="en-US"/>
        </w:rPr>
        <w:t>rature and the shrinkage (Fig. 4</w:t>
      </w:r>
      <w:r w:rsidRPr="009E23C0">
        <w:rPr>
          <w:rFonts w:ascii="Times New Roman" w:hAnsi="Times New Roman" w:cs="Times New Roman"/>
          <w:sz w:val="24"/>
          <w:szCs w:val="24"/>
          <w:lang w:val="en-GB" w:eastAsia="en-US"/>
        </w:rPr>
        <w:t xml:space="preserve">). </w:t>
      </w:r>
    </w:p>
    <w:p w:rsidR="00874160" w:rsidRDefault="00874160" w:rsidP="00874160">
      <w:pPr>
        <w:pStyle w:val="heading20"/>
        <w:numPr>
          <w:ilvl w:val="1"/>
          <w:numId w:val="18"/>
        </w:numPr>
        <w:spacing w:before="0"/>
        <w:rPr>
          <w:rFonts w:ascii="Arial" w:hAnsi="Arial" w:cs="Arial"/>
          <w:sz w:val="24"/>
          <w:szCs w:val="24"/>
          <w:lang w:val="en-GB"/>
        </w:rPr>
      </w:pPr>
      <w:r w:rsidRPr="00874160">
        <w:rPr>
          <w:rFonts w:ascii="Arial" w:hAnsi="Arial" w:cs="Arial"/>
          <w:sz w:val="24"/>
          <w:szCs w:val="24"/>
          <w:lang w:val="en-GB"/>
        </w:rPr>
        <w:t>Weight Loss</w:t>
      </w:r>
    </w:p>
    <w:p w:rsidR="00B84BC0" w:rsidRPr="00B84BC0" w:rsidRDefault="00B84BC0" w:rsidP="00B84BC0">
      <w:pPr>
        <w:pStyle w:val="HTMLPreformatted"/>
        <w:shd w:val="clear" w:color="auto" w:fill="FFFFFF"/>
        <w:tabs>
          <w:tab w:val="clear" w:pos="916"/>
          <w:tab w:val="left" w:pos="720"/>
        </w:tabs>
        <w:spacing w:after="240"/>
        <w:ind w:left="360"/>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ab/>
      </w:r>
      <w:r w:rsidRPr="00B84BC0">
        <w:rPr>
          <w:rFonts w:ascii="Times New Roman" w:hAnsi="Times New Roman" w:cs="Times New Roman"/>
          <w:sz w:val="24"/>
          <w:szCs w:val="24"/>
          <w:lang w:val="en-GB" w:eastAsia="en-US"/>
        </w:rPr>
        <w:t>At higher firing temperature, a greater weig</w:t>
      </w:r>
      <w:r w:rsidR="00E74683">
        <w:rPr>
          <w:rFonts w:ascii="Times New Roman" w:hAnsi="Times New Roman" w:cs="Times New Roman"/>
          <w:sz w:val="24"/>
          <w:szCs w:val="24"/>
          <w:lang w:val="en-GB" w:eastAsia="en-US"/>
        </w:rPr>
        <w:t>ht loss was observed in the cup</w:t>
      </w:r>
      <w:r w:rsidRPr="00B84BC0">
        <w:rPr>
          <w:rFonts w:ascii="Times New Roman" w:hAnsi="Times New Roman" w:cs="Times New Roman"/>
          <w:sz w:val="24"/>
          <w:szCs w:val="24"/>
          <w:lang w:val="en-GB" w:eastAsia="en-US"/>
        </w:rPr>
        <w:t>, which is 15% for a standard clay tile. The loss of weight when firing above 800°C is attributed to the loss of organic matter in the clay. In addition, the weight loss of the cup depends on the inorganic components present in the clay that are burned during the firing process. The effect of the firing temperature on the weight loss of t</w:t>
      </w:r>
      <w:r w:rsidR="00E74683">
        <w:rPr>
          <w:rFonts w:ascii="Times New Roman" w:hAnsi="Times New Roman" w:cs="Times New Roman"/>
          <w:sz w:val="24"/>
          <w:szCs w:val="24"/>
          <w:lang w:val="en-GB" w:eastAsia="en-US"/>
        </w:rPr>
        <w:t>he clay cups is shown in Fig. 5</w:t>
      </w:r>
      <w:r w:rsidRPr="00B84BC0">
        <w:rPr>
          <w:rFonts w:ascii="Times New Roman" w:hAnsi="Times New Roman" w:cs="Times New Roman"/>
          <w:sz w:val="24"/>
          <w:szCs w:val="24"/>
          <w:lang w:val="en-GB" w:eastAsia="en-US"/>
        </w:rPr>
        <w:t>.</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28"/>
        <w:gridCol w:w="5370"/>
      </w:tblGrid>
      <w:tr w:rsidR="003A55BE" w:rsidTr="006F0A44">
        <w:trPr>
          <w:trHeight w:hRule="exact" w:val="2018"/>
        </w:trPr>
        <w:tc>
          <w:tcPr>
            <w:tcW w:w="4128" w:type="dxa"/>
            <w:vAlign w:val="center"/>
          </w:tcPr>
          <w:p w:rsidR="003A55BE" w:rsidRDefault="003A55BE" w:rsidP="00DB3C3B">
            <w:pPr>
              <w:pStyle w:val="HTMLPreformatted"/>
              <w:tabs>
                <w:tab w:val="clear" w:pos="916"/>
                <w:tab w:val="left" w:pos="720"/>
              </w:tabs>
              <w:jc w:val="both"/>
              <w:rPr>
                <w:rFonts w:ascii="Times New Roman" w:hAnsi="Times New Roman" w:cs="Times New Roman"/>
                <w:sz w:val="24"/>
                <w:szCs w:val="24"/>
                <w:lang w:val="en-GB" w:eastAsia="en-US"/>
              </w:rPr>
            </w:pPr>
            <w:r>
              <w:rPr>
                <w:rFonts w:ascii="Times New Roman" w:hAnsi="Times New Roman" w:cs="Times New Roman"/>
                <w:noProof/>
                <w:sz w:val="24"/>
                <w:szCs w:val="24"/>
              </w:rPr>
              <w:drawing>
                <wp:inline distT="0" distB="0" distL="0" distR="0">
                  <wp:extent cx="2834640" cy="1767840"/>
                  <wp:effectExtent l="0" t="0" r="0"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4640" cy="1767840"/>
                          </a:xfrm>
                          <a:prstGeom prst="rect">
                            <a:avLst/>
                          </a:prstGeom>
                          <a:noFill/>
                          <a:ln>
                            <a:noFill/>
                          </a:ln>
                        </pic:spPr>
                      </pic:pic>
                    </a:graphicData>
                  </a:graphic>
                </wp:inline>
              </w:drawing>
            </w:r>
          </w:p>
        </w:tc>
        <w:tc>
          <w:tcPr>
            <w:tcW w:w="5370" w:type="dxa"/>
            <w:vAlign w:val="center"/>
          </w:tcPr>
          <w:p w:rsidR="003A55BE" w:rsidRDefault="003A55BE" w:rsidP="00F73BE0">
            <w:pPr>
              <w:pStyle w:val="HTMLPreformatted"/>
              <w:tabs>
                <w:tab w:val="clear" w:pos="916"/>
                <w:tab w:val="left" w:pos="720"/>
              </w:tabs>
              <w:jc w:val="both"/>
              <w:rPr>
                <w:rFonts w:ascii="Times New Roman" w:hAnsi="Times New Roman" w:cs="Times New Roman"/>
                <w:sz w:val="24"/>
                <w:szCs w:val="24"/>
                <w:lang w:val="en-GB" w:eastAsia="en-US"/>
              </w:rPr>
            </w:pPr>
            <w:r>
              <w:rPr>
                <w:rFonts w:ascii="Times New Roman" w:hAnsi="Times New Roman" w:cs="Times New Roman"/>
                <w:noProof/>
                <w:sz w:val="24"/>
                <w:szCs w:val="24"/>
              </w:rPr>
              <w:drawing>
                <wp:inline distT="0" distB="0" distL="0" distR="0">
                  <wp:extent cx="2834640" cy="1767840"/>
                  <wp:effectExtent l="0" t="0" r="0" b="0"/>
                  <wp:docPr id="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4640" cy="1767840"/>
                          </a:xfrm>
                          <a:prstGeom prst="rect">
                            <a:avLst/>
                          </a:prstGeom>
                          <a:noFill/>
                          <a:ln>
                            <a:noFill/>
                          </a:ln>
                        </pic:spPr>
                      </pic:pic>
                    </a:graphicData>
                  </a:graphic>
                </wp:inline>
              </w:drawing>
            </w:r>
          </w:p>
        </w:tc>
      </w:tr>
      <w:tr w:rsidR="003A55BE" w:rsidTr="006F0A44">
        <w:trPr>
          <w:trHeight w:hRule="exact" w:val="713"/>
        </w:trPr>
        <w:tc>
          <w:tcPr>
            <w:tcW w:w="4128" w:type="dxa"/>
            <w:vAlign w:val="center"/>
          </w:tcPr>
          <w:p w:rsidR="003A55BE" w:rsidRPr="00474929" w:rsidRDefault="003A55BE" w:rsidP="0095023D">
            <w:pPr>
              <w:pStyle w:val="HTMLPreformatted"/>
              <w:tabs>
                <w:tab w:val="clear" w:pos="916"/>
                <w:tab w:val="left" w:pos="1170"/>
              </w:tabs>
              <w:ind w:left="1080" w:hanging="990"/>
              <w:jc w:val="center"/>
              <w:rPr>
                <w:rFonts w:ascii="Arial" w:hAnsi="Arial" w:cs="Arial"/>
                <w:sz w:val="24"/>
                <w:szCs w:val="24"/>
                <w:lang w:val="en-GB" w:eastAsia="en-US"/>
              </w:rPr>
            </w:pPr>
            <w:r w:rsidRPr="00474929">
              <w:rPr>
                <w:rFonts w:ascii="Arial" w:hAnsi="Arial" w:cs="Arial"/>
                <w:sz w:val="24"/>
                <w:szCs w:val="24"/>
                <w:lang w:val="en-GB" w:eastAsia="en-US"/>
              </w:rPr>
              <w:t>Fig. 4. Variation of firing shrinkage</w:t>
            </w:r>
          </w:p>
          <w:p w:rsidR="003A55BE" w:rsidRPr="009F59C0" w:rsidRDefault="003A55BE" w:rsidP="006B4BFF">
            <w:pPr>
              <w:pStyle w:val="HTMLPreformatted"/>
              <w:tabs>
                <w:tab w:val="clear" w:pos="916"/>
                <w:tab w:val="left" w:pos="1170"/>
              </w:tabs>
              <w:ind w:left="1080" w:hanging="990"/>
              <w:jc w:val="center"/>
            </w:pPr>
            <w:r w:rsidRPr="00474929">
              <w:rPr>
                <w:rFonts w:ascii="Arial" w:hAnsi="Arial" w:cs="Arial"/>
                <w:sz w:val="24"/>
                <w:szCs w:val="24"/>
                <w:lang w:val="en-GB" w:eastAsia="en-US"/>
              </w:rPr>
              <w:t>with firing temperature</w:t>
            </w:r>
          </w:p>
        </w:tc>
        <w:tc>
          <w:tcPr>
            <w:tcW w:w="5370" w:type="dxa"/>
            <w:vAlign w:val="center"/>
          </w:tcPr>
          <w:p w:rsidR="003A55BE" w:rsidRPr="00B50BA0" w:rsidRDefault="003A55BE" w:rsidP="0095023D">
            <w:pPr>
              <w:pStyle w:val="HTMLPreformatted"/>
              <w:tabs>
                <w:tab w:val="clear" w:pos="916"/>
                <w:tab w:val="left" w:pos="720"/>
              </w:tabs>
              <w:jc w:val="center"/>
              <w:rPr>
                <w:rFonts w:ascii="Arial" w:hAnsi="Arial" w:cs="Arial"/>
                <w:sz w:val="24"/>
                <w:szCs w:val="24"/>
                <w:lang w:val="en-GB" w:eastAsia="en-US"/>
              </w:rPr>
            </w:pPr>
            <w:r>
              <w:rPr>
                <w:rFonts w:ascii="Arial" w:hAnsi="Arial" w:cs="Arial"/>
                <w:sz w:val="24"/>
                <w:szCs w:val="24"/>
                <w:lang w:val="en-GB" w:eastAsia="en-US"/>
              </w:rPr>
              <w:t>Fig.</w:t>
            </w:r>
            <w:r w:rsidR="0095023D">
              <w:rPr>
                <w:rFonts w:ascii="Arial" w:hAnsi="Arial" w:cs="Arial"/>
                <w:sz w:val="24"/>
                <w:szCs w:val="24"/>
                <w:lang w:val="en-GB" w:eastAsia="en-US"/>
              </w:rPr>
              <w:t xml:space="preserve"> </w:t>
            </w:r>
            <w:r>
              <w:rPr>
                <w:rFonts w:ascii="Arial" w:hAnsi="Arial" w:cs="Arial"/>
                <w:sz w:val="24"/>
                <w:szCs w:val="24"/>
                <w:lang w:val="en-GB" w:eastAsia="en-US"/>
              </w:rPr>
              <w:t>5</w:t>
            </w:r>
            <w:r w:rsidRPr="00B50BA0">
              <w:rPr>
                <w:rFonts w:ascii="Arial" w:hAnsi="Arial" w:cs="Arial"/>
                <w:sz w:val="24"/>
                <w:szCs w:val="24"/>
                <w:lang w:val="en-GB" w:eastAsia="en-US"/>
              </w:rPr>
              <w:t>. Variation of weight loss</w:t>
            </w:r>
          </w:p>
          <w:p w:rsidR="003A55BE" w:rsidRPr="00B50BA0" w:rsidRDefault="00BF7385" w:rsidP="006B4BFF">
            <w:pPr>
              <w:pStyle w:val="HTMLPreformatted"/>
              <w:tabs>
                <w:tab w:val="clear" w:pos="916"/>
                <w:tab w:val="left" w:pos="720"/>
              </w:tabs>
              <w:jc w:val="center"/>
              <w:rPr>
                <w:rFonts w:ascii="Arial" w:hAnsi="Arial" w:cs="Arial"/>
                <w:sz w:val="24"/>
                <w:szCs w:val="24"/>
                <w:lang w:val="en-GB" w:eastAsia="en-US"/>
              </w:rPr>
            </w:pPr>
            <w:r>
              <w:rPr>
                <w:rFonts w:ascii="Arial" w:hAnsi="Arial" w:cs="Arial"/>
                <w:sz w:val="24"/>
                <w:szCs w:val="24"/>
                <w:lang w:val="en-GB" w:eastAsia="en-US"/>
              </w:rPr>
              <w:t>with firing temperature</w:t>
            </w:r>
          </w:p>
        </w:tc>
      </w:tr>
      <w:tr w:rsidR="006B4BFF" w:rsidTr="006F0A44">
        <w:trPr>
          <w:trHeight w:hRule="exact" w:val="3332"/>
        </w:trPr>
        <w:tc>
          <w:tcPr>
            <w:tcW w:w="9498" w:type="dxa"/>
            <w:gridSpan w:val="2"/>
          </w:tcPr>
          <w:p w:rsidR="006B4BFF" w:rsidRDefault="006B4BFF" w:rsidP="006B4BFF">
            <w:pPr>
              <w:pStyle w:val="ListParagraph"/>
              <w:ind w:left="360" w:firstLine="0"/>
              <w:mirrorIndents/>
              <w:jc w:val="left"/>
              <w:rPr>
                <w:rFonts w:ascii="Arial" w:hAnsi="Arial" w:cs="Arial"/>
                <w:szCs w:val="24"/>
              </w:rPr>
            </w:pPr>
          </w:p>
          <w:p w:rsidR="006B4BFF" w:rsidRPr="006B4BFF" w:rsidRDefault="006B4BFF" w:rsidP="006B4BFF">
            <w:pPr>
              <w:pStyle w:val="heading20"/>
              <w:numPr>
                <w:ilvl w:val="1"/>
                <w:numId w:val="23"/>
              </w:numPr>
              <w:spacing w:before="0"/>
              <w:rPr>
                <w:rFonts w:ascii="Arial" w:hAnsi="Arial" w:cs="Arial"/>
                <w:sz w:val="24"/>
                <w:szCs w:val="24"/>
                <w:lang w:val="en-GB"/>
              </w:rPr>
            </w:pPr>
            <w:r w:rsidRPr="00240545">
              <w:rPr>
                <w:rFonts w:ascii="Arial" w:hAnsi="Arial" w:cs="Arial"/>
                <w:sz w:val="24"/>
                <w:szCs w:val="24"/>
                <w:lang w:val="en-GB"/>
              </w:rPr>
              <w:t>Density</w:t>
            </w:r>
          </w:p>
          <w:p w:rsidR="006B4BFF" w:rsidRPr="006B4BFF" w:rsidRDefault="006B4BFF" w:rsidP="006B4BFF">
            <w:pPr>
              <w:ind w:firstLine="0"/>
              <w:mirrorIndents/>
              <w:rPr>
                <w:rFonts w:ascii="Arial" w:hAnsi="Arial" w:cs="Arial"/>
                <w:szCs w:val="24"/>
              </w:rPr>
            </w:pPr>
            <w:r>
              <w:rPr>
                <w:szCs w:val="24"/>
              </w:rPr>
              <w:t xml:space="preserve">    </w:t>
            </w:r>
            <w:r w:rsidRPr="006B4BFF">
              <w:rPr>
                <w:szCs w:val="24"/>
              </w:rPr>
              <w:t>Density of clay cup is governed by specific gravity of clay type of production, and extent of firing. Density of fired objects made of clay usually exceeds 1.6 g/cm</w:t>
            </w:r>
            <w:r w:rsidRPr="006B4BFF">
              <w:rPr>
                <w:szCs w:val="24"/>
                <w:vertAlign w:val="superscript"/>
              </w:rPr>
              <w:t>3</w:t>
            </w:r>
            <w:r w:rsidRPr="006B4BFF">
              <w:rPr>
                <w:szCs w:val="24"/>
              </w:rPr>
              <w:t>, averaging 2.0 g/cm</w:t>
            </w:r>
            <w:r w:rsidRPr="006B4BFF">
              <w:rPr>
                <w:szCs w:val="24"/>
                <w:vertAlign w:val="superscript"/>
              </w:rPr>
              <w:t>3</w:t>
            </w:r>
            <w:r w:rsidRPr="006B4BFF">
              <w:rPr>
                <w:szCs w:val="24"/>
              </w:rPr>
              <w:t xml:space="preserve"> [14]. In the present work, density was considerably increased with high firing temperatures (Fig. 6).With increase in cup density, its strength and heat conductivity increase and water absorption decreased. With higher water content in the mixture, cup exhibited a larger size, result in a lower density. The density of cups varied from 1.64 g/cm</w:t>
            </w:r>
            <w:r w:rsidRPr="006B4BFF">
              <w:rPr>
                <w:szCs w:val="24"/>
                <w:vertAlign w:val="superscript"/>
              </w:rPr>
              <w:t>3</w:t>
            </w:r>
            <w:r w:rsidRPr="006B4BFF">
              <w:rPr>
                <w:szCs w:val="24"/>
              </w:rPr>
              <w:t xml:space="preserve"> at 600°C to 1.74 g/cm</w:t>
            </w:r>
            <w:r w:rsidRPr="006B4BFF">
              <w:rPr>
                <w:szCs w:val="24"/>
                <w:vertAlign w:val="superscript"/>
              </w:rPr>
              <w:t>3</w:t>
            </w:r>
            <w:r w:rsidRPr="006B4BFF">
              <w:rPr>
                <w:szCs w:val="24"/>
              </w:rPr>
              <w:t xml:space="preserve"> at 900°C (Table. 1). This observation is related to the quantity of water absorbed at this point and the decrease in porosity</w:t>
            </w:r>
            <w:r w:rsidR="00AD5703">
              <w:rPr>
                <w:szCs w:val="24"/>
              </w:rPr>
              <w:t>.</w:t>
            </w:r>
          </w:p>
          <w:p w:rsidR="006B4BFF" w:rsidRPr="006B4BFF" w:rsidRDefault="006B4BFF" w:rsidP="006B4BFF">
            <w:pPr>
              <w:ind w:firstLine="0"/>
              <w:mirrorIndents/>
              <w:jc w:val="left"/>
              <w:rPr>
                <w:rFonts w:ascii="Arial" w:hAnsi="Arial" w:cs="Arial"/>
                <w:szCs w:val="24"/>
              </w:rPr>
            </w:pPr>
          </w:p>
          <w:p w:rsidR="006B4BFF" w:rsidRDefault="006B4BFF" w:rsidP="006B4BFF">
            <w:pPr>
              <w:pStyle w:val="ListParagraph"/>
              <w:ind w:left="360" w:firstLine="0"/>
              <w:mirrorIndents/>
              <w:jc w:val="left"/>
              <w:rPr>
                <w:rFonts w:ascii="Arial" w:hAnsi="Arial" w:cs="Arial"/>
                <w:szCs w:val="24"/>
              </w:rPr>
            </w:pPr>
          </w:p>
          <w:p w:rsidR="006B4BFF" w:rsidRDefault="006B4BFF" w:rsidP="006B4BFF">
            <w:pPr>
              <w:pStyle w:val="ListParagraph"/>
              <w:ind w:left="360" w:firstLine="0"/>
              <w:mirrorIndents/>
              <w:jc w:val="left"/>
              <w:rPr>
                <w:rFonts w:ascii="Arial" w:hAnsi="Arial" w:cs="Arial"/>
                <w:szCs w:val="24"/>
              </w:rPr>
            </w:pPr>
          </w:p>
          <w:p w:rsidR="006B4BFF" w:rsidRDefault="006B4BFF" w:rsidP="006B4BFF">
            <w:pPr>
              <w:pStyle w:val="ListParagraph"/>
              <w:ind w:left="360" w:firstLine="0"/>
              <w:mirrorIndents/>
              <w:jc w:val="left"/>
              <w:rPr>
                <w:rFonts w:ascii="Arial" w:hAnsi="Arial" w:cs="Arial"/>
                <w:szCs w:val="24"/>
              </w:rPr>
            </w:pPr>
          </w:p>
          <w:p w:rsidR="006B4BFF" w:rsidRDefault="006B4BFF" w:rsidP="006B4BFF">
            <w:pPr>
              <w:pStyle w:val="ListParagraph"/>
              <w:ind w:left="360" w:firstLine="0"/>
              <w:mirrorIndents/>
              <w:jc w:val="left"/>
              <w:rPr>
                <w:rFonts w:ascii="Arial" w:hAnsi="Arial" w:cs="Arial"/>
                <w:szCs w:val="24"/>
              </w:rPr>
            </w:pPr>
          </w:p>
          <w:p w:rsidR="006B4BFF" w:rsidRDefault="006B4BFF" w:rsidP="006B4BFF">
            <w:pPr>
              <w:pStyle w:val="ListParagraph"/>
              <w:ind w:left="360" w:firstLine="0"/>
              <w:mirrorIndents/>
              <w:jc w:val="left"/>
              <w:rPr>
                <w:rFonts w:ascii="Arial" w:hAnsi="Arial" w:cs="Arial"/>
                <w:szCs w:val="24"/>
              </w:rPr>
            </w:pPr>
          </w:p>
          <w:p w:rsidR="006B4BFF" w:rsidRPr="006B4BFF" w:rsidRDefault="006B4BFF" w:rsidP="006B4BFF">
            <w:pPr>
              <w:pStyle w:val="ListParagraph"/>
              <w:ind w:left="360" w:firstLine="0"/>
              <w:mirrorIndents/>
              <w:jc w:val="left"/>
              <w:rPr>
                <w:rFonts w:ascii="Arial" w:hAnsi="Arial" w:cs="Arial"/>
                <w:b/>
                <w:szCs w:val="24"/>
              </w:rPr>
            </w:pPr>
          </w:p>
        </w:tc>
      </w:tr>
    </w:tbl>
    <w:p w:rsidR="00BF7385" w:rsidRDefault="00BF7385" w:rsidP="00BF7385">
      <w:pPr>
        <w:pStyle w:val="heading20"/>
        <w:numPr>
          <w:ilvl w:val="0"/>
          <w:numId w:val="0"/>
        </w:numPr>
        <w:spacing w:before="0"/>
        <w:ind w:left="360"/>
        <w:rPr>
          <w:rFonts w:ascii="Arial" w:hAnsi="Arial" w:cs="Arial"/>
          <w:sz w:val="24"/>
          <w:szCs w:val="24"/>
          <w:lang w:val="en-GB"/>
        </w:rPr>
      </w:pPr>
      <w:bookmarkStart w:id="5" w:name="_GoBack"/>
      <w:bookmarkEnd w:id="5"/>
    </w:p>
    <w:p w:rsidR="00BF7385" w:rsidRPr="00BF7385" w:rsidRDefault="00BF7385" w:rsidP="00BF7385"/>
    <w:p w:rsidR="00BF7385" w:rsidRDefault="00BF7385" w:rsidP="000116EF">
      <w:pPr>
        <w:pStyle w:val="ListParagraph"/>
        <w:ind w:left="0" w:right="-25" w:firstLine="8810"/>
        <w:mirrorIndents/>
        <w:jc w:val="center"/>
        <w:rPr>
          <w:rFonts w:ascii="Arial" w:hAnsi="Arial" w:cs="Arial"/>
          <w:b/>
          <w:szCs w:val="24"/>
        </w:rPr>
      </w:pPr>
    </w:p>
    <w:p w:rsidR="006B4BFF" w:rsidRDefault="006B4BFF" w:rsidP="000116EF">
      <w:pPr>
        <w:pStyle w:val="ListParagraph"/>
        <w:ind w:left="0" w:right="-25" w:firstLine="8810"/>
        <w:mirrorIndents/>
        <w:jc w:val="center"/>
        <w:rPr>
          <w:rFonts w:ascii="Arial" w:hAnsi="Arial" w:cs="Arial"/>
          <w:b/>
          <w:szCs w:val="24"/>
        </w:rPr>
      </w:pPr>
      <w:r>
        <w:rPr>
          <w:rFonts w:ascii="Arial" w:hAnsi="Arial" w:cs="Arial"/>
          <w:b/>
          <w:noProof/>
          <w:szCs w:val="24"/>
          <w:lang w:val="en-IN" w:eastAsia="en-IN"/>
        </w:rPr>
        <w:lastRenderedPageBreak/>
        <w:drawing>
          <wp:anchor distT="0" distB="0" distL="114300" distR="114300" simplePos="0" relativeHeight="251659264" behindDoc="0" locked="0" layoutInCell="1" allowOverlap="1">
            <wp:simplePos x="0" y="0"/>
            <wp:positionH relativeFrom="margin">
              <wp:posOffset>1326515</wp:posOffset>
            </wp:positionH>
            <wp:positionV relativeFrom="margin">
              <wp:align>top</wp:align>
            </wp:positionV>
            <wp:extent cx="3648075" cy="2057400"/>
            <wp:effectExtent l="19050" t="0" r="9525" b="0"/>
            <wp:wrapSquare wrapText="bothSides"/>
            <wp:docPr id="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48075" cy="2057400"/>
                    </a:xfrm>
                    <a:prstGeom prst="rect">
                      <a:avLst/>
                    </a:prstGeom>
                    <a:noFill/>
                    <a:ln>
                      <a:noFill/>
                    </a:ln>
                  </pic:spPr>
                </pic:pic>
              </a:graphicData>
            </a:graphic>
          </wp:anchor>
        </w:drawing>
      </w:r>
    </w:p>
    <w:p w:rsidR="006B4BFF" w:rsidRDefault="006B4BFF" w:rsidP="000116EF">
      <w:pPr>
        <w:pStyle w:val="ListParagraph"/>
        <w:ind w:left="0" w:right="-25" w:firstLine="8810"/>
        <w:mirrorIndents/>
        <w:jc w:val="center"/>
        <w:rPr>
          <w:rFonts w:ascii="Arial" w:hAnsi="Arial" w:cs="Arial"/>
          <w:b/>
          <w:szCs w:val="24"/>
        </w:rPr>
      </w:pPr>
    </w:p>
    <w:p w:rsidR="006B4BFF" w:rsidRDefault="006B4BFF" w:rsidP="000116EF">
      <w:pPr>
        <w:pStyle w:val="ListParagraph"/>
        <w:ind w:left="0" w:right="-25" w:firstLine="8810"/>
        <w:mirrorIndents/>
        <w:jc w:val="center"/>
        <w:rPr>
          <w:rFonts w:ascii="Arial" w:hAnsi="Arial" w:cs="Arial"/>
          <w:b/>
          <w:szCs w:val="24"/>
        </w:rPr>
      </w:pPr>
    </w:p>
    <w:p w:rsidR="006B4BFF" w:rsidRDefault="006B4BFF" w:rsidP="000116EF">
      <w:pPr>
        <w:pStyle w:val="ListParagraph"/>
        <w:ind w:left="0" w:right="-25" w:firstLine="8810"/>
        <w:mirrorIndents/>
        <w:jc w:val="center"/>
        <w:rPr>
          <w:rFonts w:ascii="Arial" w:hAnsi="Arial" w:cs="Arial"/>
          <w:b/>
          <w:szCs w:val="24"/>
        </w:rPr>
      </w:pPr>
    </w:p>
    <w:p w:rsidR="006B4BFF" w:rsidRDefault="006B4BFF" w:rsidP="000116EF">
      <w:pPr>
        <w:pStyle w:val="ListParagraph"/>
        <w:ind w:left="0" w:right="-25" w:firstLine="8810"/>
        <w:mirrorIndents/>
        <w:jc w:val="center"/>
        <w:rPr>
          <w:rFonts w:ascii="Arial" w:hAnsi="Arial" w:cs="Arial"/>
          <w:b/>
          <w:szCs w:val="24"/>
        </w:rPr>
      </w:pPr>
    </w:p>
    <w:p w:rsidR="00A6110E" w:rsidRDefault="000116EF" w:rsidP="000116EF">
      <w:pPr>
        <w:pStyle w:val="ListParagraph"/>
        <w:ind w:left="0" w:right="-25" w:firstLine="8810"/>
        <w:mirrorIndents/>
        <w:jc w:val="center"/>
        <w:rPr>
          <w:rFonts w:ascii="Arial" w:hAnsi="Arial" w:cs="Arial"/>
          <w:b/>
          <w:szCs w:val="24"/>
        </w:rPr>
      </w:pPr>
      <w:r>
        <w:rPr>
          <w:rFonts w:ascii="Arial" w:hAnsi="Arial" w:cs="Arial"/>
          <w:b/>
          <w:szCs w:val="24"/>
        </w:rPr>
        <w:t xml:space="preserve">                    </w:t>
      </w:r>
    </w:p>
    <w:p w:rsidR="000116EF" w:rsidRDefault="000116EF" w:rsidP="000116EF">
      <w:pPr>
        <w:pStyle w:val="ListParagraph"/>
        <w:ind w:left="360" w:firstLine="0"/>
        <w:mirrorIndents/>
        <w:jc w:val="center"/>
        <w:rPr>
          <w:rFonts w:ascii="Arial" w:hAnsi="Arial" w:cs="Arial"/>
          <w:szCs w:val="24"/>
        </w:rPr>
      </w:pPr>
    </w:p>
    <w:p w:rsidR="000116EF" w:rsidRDefault="000116EF" w:rsidP="000116EF">
      <w:pPr>
        <w:pStyle w:val="ListParagraph"/>
        <w:ind w:left="0" w:firstLine="0"/>
        <w:mirrorIndents/>
        <w:jc w:val="right"/>
        <w:rPr>
          <w:rFonts w:ascii="Arial" w:hAnsi="Arial" w:cs="Arial"/>
          <w:b/>
          <w:szCs w:val="24"/>
        </w:rPr>
      </w:pPr>
    </w:p>
    <w:p w:rsidR="006B4BFF" w:rsidRDefault="006B4BFF" w:rsidP="006B4BFF">
      <w:pPr>
        <w:pStyle w:val="ListParagraph"/>
        <w:ind w:left="360" w:firstLine="0"/>
        <w:mirrorIndents/>
        <w:rPr>
          <w:rFonts w:ascii="Arial" w:hAnsi="Arial" w:cs="Arial"/>
          <w:b/>
          <w:szCs w:val="24"/>
        </w:rPr>
      </w:pPr>
    </w:p>
    <w:p w:rsidR="006B4BFF" w:rsidRDefault="006B4BFF" w:rsidP="006B4BFF">
      <w:pPr>
        <w:rPr>
          <w:rFonts w:ascii="Arial" w:hAnsi="Arial" w:cs="Arial"/>
          <w:szCs w:val="24"/>
        </w:rPr>
      </w:pPr>
    </w:p>
    <w:p w:rsidR="006B4BFF" w:rsidRDefault="006B4BFF" w:rsidP="006B4BFF">
      <w:pPr>
        <w:rPr>
          <w:rFonts w:ascii="Arial" w:hAnsi="Arial" w:cs="Arial"/>
          <w:szCs w:val="24"/>
        </w:rPr>
      </w:pPr>
    </w:p>
    <w:p w:rsidR="006B4BFF" w:rsidRDefault="006B4BFF" w:rsidP="006B4BFF">
      <w:pPr>
        <w:jc w:val="center"/>
        <w:rPr>
          <w:rFonts w:ascii="Arial" w:hAnsi="Arial" w:cs="Arial"/>
          <w:szCs w:val="24"/>
        </w:rPr>
      </w:pPr>
    </w:p>
    <w:p w:rsidR="006B4BFF" w:rsidRDefault="006B4BFF" w:rsidP="006B4BFF">
      <w:pPr>
        <w:jc w:val="center"/>
      </w:pPr>
      <w:r>
        <w:rPr>
          <w:rFonts w:ascii="Arial" w:hAnsi="Arial" w:cs="Arial"/>
          <w:szCs w:val="24"/>
        </w:rPr>
        <w:t>Fig. 6</w:t>
      </w:r>
      <w:r w:rsidRPr="00B50BA0">
        <w:rPr>
          <w:rFonts w:ascii="Arial" w:hAnsi="Arial" w:cs="Arial"/>
          <w:szCs w:val="24"/>
        </w:rPr>
        <w:t>. Variation of density</w:t>
      </w:r>
      <w:r>
        <w:rPr>
          <w:rFonts w:ascii="Arial" w:hAnsi="Arial" w:cs="Arial"/>
          <w:szCs w:val="24"/>
        </w:rPr>
        <w:t xml:space="preserve"> with firing </w:t>
      </w:r>
      <w:r w:rsidRPr="00B50BA0">
        <w:rPr>
          <w:rFonts w:ascii="Arial" w:hAnsi="Arial" w:cs="Arial"/>
          <w:szCs w:val="24"/>
        </w:rPr>
        <w:t>temperature</w:t>
      </w:r>
    </w:p>
    <w:p w:rsidR="006B4BFF" w:rsidRDefault="006B4BFF" w:rsidP="006B4BFF">
      <w:pPr>
        <w:pStyle w:val="ListParagraph"/>
        <w:ind w:left="360" w:firstLine="0"/>
        <w:mirrorIndents/>
        <w:rPr>
          <w:rFonts w:ascii="Arial" w:hAnsi="Arial" w:cs="Arial"/>
          <w:b/>
          <w:szCs w:val="24"/>
        </w:rPr>
      </w:pPr>
    </w:p>
    <w:p w:rsidR="00874160" w:rsidRDefault="00874160" w:rsidP="006B4BFF">
      <w:pPr>
        <w:pStyle w:val="ListParagraph"/>
        <w:numPr>
          <w:ilvl w:val="0"/>
          <w:numId w:val="24"/>
        </w:numPr>
        <w:mirrorIndents/>
        <w:rPr>
          <w:rFonts w:ascii="Arial" w:hAnsi="Arial" w:cs="Arial"/>
          <w:b/>
          <w:szCs w:val="24"/>
        </w:rPr>
      </w:pPr>
      <w:r>
        <w:rPr>
          <w:rFonts w:ascii="Arial" w:hAnsi="Arial" w:cs="Arial"/>
          <w:b/>
          <w:szCs w:val="24"/>
        </w:rPr>
        <w:t>Conclusion</w:t>
      </w:r>
    </w:p>
    <w:p w:rsidR="004B477C" w:rsidRPr="00874160" w:rsidRDefault="004B477C" w:rsidP="004B477C">
      <w:pPr>
        <w:mirrorIndents/>
        <w:rPr>
          <w:szCs w:val="24"/>
        </w:rPr>
      </w:pPr>
    </w:p>
    <w:p w:rsidR="00874160" w:rsidRDefault="00874160" w:rsidP="00874160">
      <w:pPr>
        <w:pStyle w:val="HTMLPreformatted"/>
        <w:shd w:val="clear" w:color="auto" w:fill="FFFFFF"/>
        <w:jc w:val="both"/>
        <w:rPr>
          <w:rFonts w:ascii="Times New Roman" w:hAnsi="Times New Roman" w:cs="Times New Roman"/>
          <w:sz w:val="24"/>
          <w:szCs w:val="24"/>
          <w:lang w:val="en-GB" w:eastAsia="en-US"/>
        </w:rPr>
      </w:pPr>
      <w:r w:rsidRPr="00874160">
        <w:rPr>
          <w:rFonts w:ascii="Times New Roman" w:hAnsi="Times New Roman" w:cs="Times New Roman"/>
          <w:sz w:val="24"/>
          <w:szCs w:val="24"/>
          <w:lang w:val="en-GB" w:eastAsia="en-US"/>
        </w:rPr>
        <w:t xml:space="preserve">The strength of the cups </w:t>
      </w:r>
      <w:r>
        <w:rPr>
          <w:rFonts w:ascii="Times New Roman" w:hAnsi="Times New Roman" w:cs="Times New Roman"/>
          <w:sz w:val="24"/>
          <w:szCs w:val="24"/>
          <w:lang w:val="en-GB" w:eastAsia="en-US"/>
        </w:rPr>
        <w:t>increased</w:t>
      </w:r>
      <w:r w:rsidR="007E7EA7">
        <w:rPr>
          <w:rFonts w:ascii="Times New Roman" w:hAnsi="Times New Roman" w:cs="Times New Roman"/>
          <w:sz w:val="24"/>
          <w:szCs w:val="24"/>
          <w:lang w:val="en-GB" w:eastAsia="en-US"/>
        </w:rPr>
        <w:t xml:space="preserve"> </w:t>
      </w:r>
      <w:r w:rsidRPr="00874160">
        <w:rPr>
          <w:rFonts w:ascii="Times New Roman" w:hAnsi="Times New Roman" w:cs="Times New Roman"/>
          <w:sz w:val="24"/>
          <w:szCs w:val="24"/>
          <w:lang w:val="en-GB" w:eastAsia="en-US"/>
        </w:rPr>
        <w:t>and the absorption of water decreased with the firing temperature (600-900°C). The density and firing shrinkage of the cup fired at 600-900°C also increased with the increase in firing temperature. The optimal firing time essential for making long-lasting cups with specific clay should be arrived to ensure environmental safety.</w:t>
      </w:r>
    </w:p>
    <w:p w:rsidR="00B84BC0" w:rsidRDefault="00B84BC0" w:rsidP="00874160">
      <w:pPr>
        <w:pStyle w:val="HTMLPreformatted"/>
        <w:shd w:val="clear" w:color="auto" w:fill="FFFFFF"/>
        <w:jc w:val="both"/>
        <w:rPr>
          <w:rFonts w:ascii="Times New Roman" w:hAnsi="Times New Roman" w:cs="Times New Roman"/>
          <w:sz w:val="24"/>
          <w:szCs w:val="24"/>
          <w:lang w:val="en-GB" w:eastAsia="en-US"/>
        </w:rPr>
      </w:pPr>
    </w:p>
    <w:p w:rsidR="00B84BC0" w:rsidRPr="007322E9" w:rsidRDefault="00B84BC0" w:rsidP="00B84BC0">
      <w:pPr>
        <w:ind w:firstLine="0"/>
        <w:contextualSpacing/>
        <w:mirrorIndents/>
        <w:rPr>
          <w:rFonts w:ascii="Arial" w:hAnsi="Arial" w:cs="Arial"/>
          <w:b/>
          <w:szCs w:val="24"/>
        </w:rPr>
      </w:pPr>
      <w:r w:rsidRPr="00205179">
        <w:rPr>
          <w:rFonts w:ascii="Arial" w:hAnsi="Arial" w:cs="Arial"/>
          <w:b/>
          <w:szCs w:val="24"/>
        </w:rPr>
        <w:t>References</w:t>
      </w:r>
    </w:p>
    <w:p w:rsidR="00B84BC0" w:rsidRPr="007322E9" w:rsidRDefault="00B84BC0" w:rsidP="00B84BC0">
      <w:pPr>
        <w:ind w:firstLine="0"/>
        <w:contextualSpacing/>
        <w:mirrorIndents/>
        <w:rPr>
          <w:rFonts w:ascii="Arial" w:hAnsi="Arial" w:cs="Arial"/>
          <w:b/>
          <w:szCs w:val="24"/>
        </w:rPr>
      </w:pPr>
    </w:p>
    <w:p w:rsidR="00A44101" w:rsidRPr="007322E9" w:rsidRDefault="00A44101" w:rsidP="00A44101">
      <w:pPr>
        <w:pStyle w:val="referenceitem"/>
        <w:rPr>
          <w:sz w:val="24"/>
          <w:szCs w:val="24"/>
          <w:lang w:val="en-GB"/>
        </w:rPr>
      </w:pPr>
      <w:r w:rsidRPr="007322E9">
        <w:rPr>
          <w:sz w:val="24"/>
          <w:szCs w:val="24"/>
          <w:lang w:val="en-GB"/>
        </w:rPr>
        <w:t>Presertsan, S. &amp;</w:t>
      </w:r>
      <w:r w:rsidR="00C17B39">
        <w:rPr>
          <w:sz w:val="24"/>
          <w:szCs w:val="24"/>
          <w:lang w:val="en-GB"/>
        </w:rPr>
        <w:t xml:space="preserve"> </w:t>
      </w:r>
      <w:r w:rsidRPr="007322E9">
        <w:rPr>
          <w:sz w:val="24"/>
          <w:szCs w:val="24"/>
          <w:lang w:val="en-GB"/>
        </w:rPr>
        <w:t>Theppaya, T.: A study towards energy saving in brick making, Part 1: Key parameters for energy saving, RERIC Int Energy J, 17  145-156 (1995).</w:t>
      </w:r>
    </w:p>
    <w:p w:rsidR="00A44101" w:rsidRPr="007322E9" w:rsidRDefault="00A44101" w:rsidP="00A44101">
      <w:pPr>
        <w:pStyle w:val="referenceitem"/>
        <w:rPr>
          <w:sz w:val="24"/>
          <w:szCs w:val="24"/>
          <w:lang w:val="en-GB"/>
        </w:rPr>
      </w:pPr>
      <w:r w:rsidRPr="007322E9">
        <w:rPr>
          <w:sz w:val="24"/>
          <w:szCs w:val="24"/>
          <w:lang w:val="en-GB"/>
        </w:rPr>
        <w:t>Cultrone, G., Sebastian, E., Elert, K., Torre, M.J., Cazalla, O., Vavarro, C.R.: Influence of mineralogy and firing temperature on the porosity of bricks, J Euro Ceramic Soc, 13  621-634 (2004).</w:t>
      </w:r>
    </w:p>
    <w:p w:rsidR="00A44101" w:rsidRPr="007322E9" w:rsidRDefault="00A44101" w:rsidP="00A44101">
      <w:pPr>
        <w:pStyle w:val="referenceitem"/>
        <w:rPr>
          <w:sz w:val="24"/>
          <w:szCs w:val="24"/>
          <w:lang w:val="en-GB"/>
        </w:rPr>
      </w:pPr>
      <w:r w:rsidRPr="007322E9">
        <w:rPr>
          <w:sz w:val="24"/>
          <w:szCs w:val="24"/>
          <w:lang w:val="en-GB"/>
        </w:rPr>
        <w:t xml:space="preserve">Bhatnagar, J.M., Goel, R.K.: Thermal changes in clay products from alluvial deposits of the Indo Gangetic plains, Const Build Mat 16  113-122 (2002). </w:t>
      </w:r>
    </w:p>
    <w:p w:rsidR="00A44101" w:rsidRPr="007322E9" w:rsidRDefault="00A44101" w:rsidP="00A44101">
      <w:pPr>
        <w:pStyle w:val="referenceitem"/>
        <w:rPr>
          <w:sz w:val="24"/>
          <w:szCs w:val="24"/>
          <w:lang w:val="en-GB"/>
        </w:rPr>
      </w:pPr>
      <w:r w:rsidRPr="007322E9">
        <w:rPr>
          <w:sz w:val="24"/>
          <w:szCs w:val="24"/>
          <w:lang w:val="en-GB"/>
        </w:rPr>
        <w:t>Mbumbia L, De Wilmars A M &amp;Tirlocq J, Performance characteristics of lateritic soil bricks fired at low temperatures: A case study of Cameroon, Const Build Mat, 14  121-131(2000).</w:t>
      </w:r>
    </w:p>
    <w:p w:rsidR="00A44101" w:rsidRPr="007322E9" w:rsidRDefault="00A44101" w:rsidP="00A44101">
      <w:pPr>
        <w:pStyle w:val="referenceitem"/>
        <w:rPr>
          <w:sz w:val="24"/>
          <w:szCs w:val="24"/>
          <w:lang w:val="en-GB"/>
        </w:rPr>
      </w:pPr>
      <w:r w:rsidRPr="007322E9">
        <w:rPr>
          <w:sz w:val="24"/>
          <w:szCs w:val="24"/>
          <w:lang w:val="en-GB"/>
        </w:rPr>
        <w:t>Mc Burney, W. J.: The effect of strength of brick on compressive strength of brick masonry, Process ASTM, Part II, (1970).</w:t>
      </w:r>
    </w:p>
    <w:p w:rsidR="00A44101" w:rsidRPr="007322E9" w:rsidRDefault="00A44101" w:rsidP="00A44101">
      <w:pPr>
        <w:pStyle w:val="referenceitem"/>
        <w:rPr>
          <w:sz w:val="24"/>
          <w:szCs w:val="24"/>
          <w:lang w:val="en-GB"/>
        </w:rPr>
      </w:pPr>
      <w:r w:rsidRPr="007322E9">
        <w:rPr>
          <w:sz w:val="24"/>
          <w:szCs w:val="24"/>
          <w:lang w:val="en-GB"/>
        </w:rPr>
        <w:t>Manufacturing, classification, and selection of brick manufacturing, Part 1 (Brick Industry Association, Virginia) 1986.</w:t>
      </w:r>
    </w:p>
    <w:p w:rsidR="00A44101" w:rsidRPr="007322E9" w:rsidRDefault="00A44101" w:rsidP="00A44101">
      <w:pPr>
        <w:pStyle w:val="referenceitem"/>
        <w:rPr>
          <w:sz w:val="24"/>
          <w:szCs w:val="24"/>
          <w:lang w:val="en-GB"/>
        </w:rPr>
      </w:pPr>
      <w:r w:rsidRPr="007322E9">
        <w:rPr>
          <w:sz w:val="24"/>
          <w:szCs w:val="24"/>
          <w:lang w:val="en-GB"/>
        </w:rPr>
        <w:t>Gee,G.W.</w:t>
      </w:r>
      <w:r w:rsidR="00F83F94" w:rsidRPr="007322E9">
        <w:rPr>
          <w:sz w:val="24"/>
          <w:szCs w:val="24"/>
          <w:lang w:val="en-GB"/>
        </w:rPr>
        <w:t xml:space="preserve"> </w:t>
      </w:r>
      <w:r w:rsidRPr="007322E9">
        <w:rPr>
          <w:sz w:val="24"/>
          <w:szCs w:val="24"/>
          <w:lang w:val="en-GB"/>
        </w:rPr>
        <w:t>Bouder, J. W.: Methods of soil analysis, Part I. Physical and Minerological Methods, 2nd  edn, edited by Arnold  Klute, American Society of Agronomy, USA (1986).</w:t>
      </w:r>
    </w:p>
    <w:p w:rsidR="00A44101" w:rsidRPr="007322E9" w:rsidRDefault="00A44101" w:rsidP="00A44101">
      <w:pPr>
        <w:pStyle w:val="referenceitem"/>
        <w:rPr>
          <w:sz w:val="24"/>
          <w:szCs w:val="24"/>
          <w:lang w:val="en-GB"/>
        </w:rPr>
      </w:pPr>
      <w:r w:rsidRPr="007322E9">
        <w:rPr>
          <w:sz w:val="24"/>
          <w:szCs w:val="24"/>
          <w:lang w:val="en-GB"/>
        </w:rPr>
        <w:t xml:space="preserve">Technical Memorandum No.6 ILO, Gegeva (1984). </w:t>
      </w:r>
    </w:p>
    <w:p w:rsidR="00A44101" w:rsidRPr="007322E9" w:rsidRDefault="00A44101" w:rsidP="00A44101">
      <w:pPr>
        <w:pStyle w:val="referenceitem"/>
        <w:rPr>
          <w:sz w:val="24"/>
          <w:szCs w:val="24"/>
          <w:lang w:val="en-GB"/>
        </w:rPr>
      </w:pPr>
      <w:r w:rsidRPr="007322E9">
        <w:rPr>
          <w:sz w:val="24"/>
          <w:szCs w:val="24"/>
          <w:lang w:val="en-GB"/>
        </w:rPr>
        <w:t>Mitchell,J.K,: Fundamentals of soil behavior, John Wiley Sons Inc. New York (1976).</w:t>
      </w:r>
    </w:p>
    <w:p w:rsidR="00A44101" w:rsidRPr="007322E9" w:rsidRDefault="00A44101" w:rsidP="00A44101">
      <w:pPr>
        <w:pStyle w:val="referenceitem"/>
        <w:rPr>
          <w:sz w:val="24"/>
          <w:szCs w:val="24"/>
          <w:lang w:val="en-GB"/>
        </w:rPr>
      </w:pPr>
      <w:r w:rsidRPr="007322E9">
        <w:rPr>
          <w:sz w:val="24"/>
          <w:szCs w:val="24"/>
          <w:lang w:val="en-GB"/>
        </w:rPr>
        <w:t>Karaman, S., Ersahin, S., Gunal, H.: Firing temperature and firing time influence on mechanical and physical properties of clay bricks, Journal of Scientific &amp; Industrial Research, Vol. 65, February 153-159 (2006).</w:t>
      </w:r>
    </w:p>
    <w:p w:rsidR="00A44101" w:rsidRPr="007322E9" w:rsidRDefault="00A44101" w:rsidP="00A44101">
      <w:pPr>
        <w:pStyle w:val="referenceitem"/>
        <w:rPr>
          <w:sz w:val="24"/>
          <w:szCs w:val="24"/>
          <w:lang w:val="en-GB"/>
        </w:rPr>
      </w:pPr>
      <w:r w:rsidRPr="007322E9">
        <w:rPr>
          <w:sz w:val="24"/>
          <w:szCs w:val="24"/>
          <w:lang w:val="en-GB"/>
        </w:rPr>
        <w:t>Solid bricks and vertically perforated bricks, TS 705, Turkish Standards Institution, Ankara (1975).</w:t>
      </w:r>
    </w:p>
    <w:p w:rsidR="00A44101" w:rsidRPr="007322E9" w:rsidRDefault="00A44101" w:rsidP="00A44101">
      <w:pPr>
        <w:pStyle w:val="referenceitem"/>
        <w:rPr>
          <w:sz w:val="24"/>
          <w:szCs w:val="24"/>
          <w:lang w:val="en-GB"/>
        </w:rPr>
      </w:pPr>
      <w:r w:rsidRPr="007322E9">
        <w:rPr>
          <w:sz w:val="24"/>
          <w:szCs w:val="24"/>
          <w:lang w:val="en-GB"/>
        </w:rPr>
        <w:t>Clay bricks (Wall Tile), TS 704 (Turkish Standards Institution, Ankara) 1979.</w:t>
      </w:r>
    </w:p>
    <w:p w:rsidR="00A44101" w:rsidRPr="007322E9" w:rsidRDefault="00A44101" w:rsidP="00A44101">
      <w:pPr>
        <w:pStyle w:val="referenceitem"/>
        <w:rPr>
          <w:sz w:val="24"/>
          <w:szCs w:val="24"/>
          <w:lang w:val="en-GB"/>
        </w:rPr>
      </w:pPr>
      <w:r w:rsidRPr="007322E9">
        <w:rPr>
          <w:sz w:val="24"/>
          <w:szCs w:val="24"/>
          <w:lang w:val="en-GB"/>
        </w:rPr>
        <w:t>Weng,C.H., Lin, D.F. Chiang,P.C,: Utilization of sludge as brick materials, Adv Environ Res, 7   679-685 (2003).</w:t>
      </w:r>
    </w:p>
    <w:p w:rsidR="00A44101" w:rsidRPr="00AD5703" w:rsidRDefault="00A44101" w:rsidP="00AD5703">
      <w:pPr>
        <w:pStyle w:val="referenceitem"/>
        <w:tabs>
          <w:tab w:val="clear" w:pos="114"/>
          <w:tab w:val="num" w:pos="180"/>
        </w:tabs>
        <w:ind w:left="180" w:hanging="180"/>
        <w:rPr>
          <w:sz w:val="24"/>
          <w:szCs w:val="24"/>
          <w:lang w:val="en-GB"/>
        </w:rPr>
      </w:pPr>
      <w:r w:rsidRPr="000116EF">
        <w:rPr>
          <w:sz w:val="24"/>
          <w:szCs w:val="24"/>
          <w:lang w:val="en-GB"/>
        </w:rPr>
        <w:t>Basegio, T., Berutti, F., Bernardes, A. Bergemann, C.P.: Environmental and technical aspects of the utilization of tannery sludge as a raw material for clay products, J Euro Ceramic Soc, 22  2251-2259 (2002).</w:t>
      </w:r>
    </w:p>
    <w:sectPr w:rsidR="00A44101" w:rsidRPr="00AD5703" w:rsidSect="00374B13">
      <w:headerReference w:type="even" r:id="rId15"/>
      <w:headerReference w:type="default" r:id="rId16"/>
      <w:footerReference w:type="even" r:id="rId17"/>
      <w:footerReference w:type="default" r:id="rId18"/>
      <w:headerReference w:type="first" r:id="rId19"/>
      <w:footerReference w:type="first" r:id="rId20"/>
      <w:pgSz w:w="11907" w:h="16839" w:code="9"/>
      <w:pgMar w:top="1151"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C1F" w:rsidRDefault="00CE0C1F">
      <w:r>
        <w:separator/>
      </w:r>
    </w:p>
  </w:endnote>
  <w:endnote w:type="continuationSeparator" w:id="1">
    <w:p w:rsidR="00CE0C1F" w:rsidRDefault="00CE0C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CF7" w:rsidRDefault="00323C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CF7" w:rsidRDefault="00323CF7">
    <w:pPr>
      <w:pStyle w:val="Footer"/>
      <w:jc w:val="center"/>
    </w:pPr>
  </w:p>
  <w:p w:rsidR="00323CF7" w:rsidRDefault="00323CF7">
    <w:pPr>
      <w:pStyle w:val="Footer"/>
      <w:jc w:val="center"/>
    </w:pPr>
  </w:p>
  <w:p w:rsidR="00323CF7" w:rsidRDefault="0080188F">
    <w:pPr>
      <w:pStyle w:val="Footer"/>
      <w:jc w:val="center"/>
    </w:pPr>
    <w:r>
      <w:fldChar w:fldCharType="begin"/>
    </w:r>
    <w:r w:rsidR="00323CF7">
      <w:instrText xml:space="preserve"> PAGE </w:instrText>
    </w:r>
    <w:r>
      <w:fldChar w:fldCharType="separate"/>
    </w:r>
    <w:r w:rsidR="00C17B39">
      <w:rPr>
        <w:noProof/>
      </w:rPr>
      <w:t>5</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CF7" w:rsidRDefault="0080188F">
    <w:pPr>
      <w:pStyle w:val="Footer"/>
      <w:jc w:val="center"/>
      <w:rPr>
        <w:lang w:val="sl-SI"/>
      </w:rPr>
    </w:pPr>
    <w:r>
      <w:rPr>
        <w:rStyle w:val="PageNumber"/>
      </w:rPr>
      <w:fldChar w:fldCharType="begin"/>
    </w:r>
    <w:r w:rsidR="00323CF7">
      <w:rPr>
        <w:rStyle w:val="PageNumber"/>
      </w:rPr>
      <w:instrText xml:space="preserve"> PAGE </w:instrText>
    </w:r>
    <w:r>
      <w:rPr>
        <w:rStyle w:val="PageNumber"/>
      </w:rPr>
      <w:fldChar w:fldCharType="separate"/>
    </w:r>
    <w:r w:rsidR="00AD570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C1F" w:rsidRDefault="00CE0C1F">
      <w:r>
        <w:separator/>
      </w:r>
    </w:p>
  </w:footnote>
  <w:footnote w:type="continuationSeparator" w:id="1">
    <w:p w:rsidR="00CE0C1F" w:rsidRDefault="00CE0C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CF7" w:rsidRDefault="00323C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CF7" w:rsidRDefault="00323C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CF7" w:rsidRDefault="00323CF7" w:rsidP="00765DC7">
    <w:pPr>
      <w:pStyle w:val="Footer"/>
      <w:ind w:firstLine="0"/>
      <w:jc w:val="left"/>
      <w:rPr>
        <w:i/>
        <w:lang w:val="en-CA"/>
      </w:rPr>
    </w:pPr>
    <w:r w:rsidRPr="004E477E">
      <w:rPr>
        <w:i/>
        <w:lang w:val="en-CA"/>
      </w:rPr>
      <w:t xml:space="preserve">Proceedings of the </w:t>
    </w:r>
    <w:r>
      <w:rPr>
        <w:i/>
        <w:lang w:val="en-CA"/>
      </w:rPr>
      <w:t xml:space="preserve">International  Conference on </w:t>
    </w:r>
    <w:r w:rsidRPr="00765DC7">
      <w:rPr>
        <w:i/>
        <w:lang w:val="en-CA"/>
      </w:rPr>
      <w:t>Applied Mechanical Engineering Research(IC-AMER2019)</w:t>
    </w:r>
  </w:p>
  <w:p w:rsidR="00323CF7" w:rsidRDefault="00323CF7" w:rsidP="00540715">
    <w:pPr>
      <w:pStyle w:val="Footer"/>
      <w:tabs>
        <w:tab w:val="left" w:pos="720"/>
      </w:tabs>
      <w:ind w:firstLine="0"/>
      <w:jc w:val="left"/>
      <w:rPr>
        <w:i/>
        <w:lang w:val="en-CA"/>
      </w:rPr>
    </w:pPr>
    <w:r>
      <w:rPr>
        <w:i/>
        <w:lang w:val="en-CA"/>
      </w:rPr>
      <w:t>NIT Warangal, India – May 02-05, 2019</w:t>
    </w:r>
  </w:p>
  <w:p w:rsidR="00323CF7" w:rsidRPr="00540715" w:rsidRDefault="00323CF7"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56898"/>
    <w:multiLevelType w:val="multilevel"/>
    <w:tmpl w:val="93FE191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06970B38"/>
    <w:multiLevelType w:val="hybridMultilevel"/>
    <w:tmpl w:val="EE3ACDD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BF570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abstractNum w:abstractNumId="18">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4"/>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3"/>
  </w:num>
  <w:num w:numId="15">
    <w:abstractNumId w:val="14"/>
  </w:num>
  <w:num w:numId="16">
    <w:abstractNumId w:val="5"/>
  </w:num>
  <w:num w:numId="17">
    <w:abstractNumId w:val="15"/>
  </w:num>
  <w:num w:numId="18">
    <w:abstractNumId w:val="12"/>
  </w:num>
  <w:num w:numId="19">
    <w:abstractNumId w:val="16"/>
  </w:num>
  <w:num w:numId="20">
    <w:abstractNumId w:val="19"/>
  </w:num>
  <w:num w:numId="21">
    <w:abstractNumId w:val="18"/>
  </w:num>
  <w:num w:numId="22">
    <w:abstractNumId w:val="18"/>
  </w:num>
  <w:num w:numId="23">
    <w:abstractNumId w:val="10"/>
  </w:num>
  <w:num w:numId="24">
    <w:abstractNumId w:val="11"/>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8D4882"/>
    <w:rsid w:val="000078A6"/>
    <w:rsid w:val="000116EF"/>
    <w:rsid w:val="0001723C"/>
    <w:rsid w:val="00021A6C"/>
    <w:rsid w:val="00026BC3"/>
    <w:rsid w:val="00026D13"/>
    <w:rsid w:val="00036E07"/>
    <w:rsid w:val="00054FA2"/>
    <w:rsid w:val="00060B39"/>
    <w:rsid w:val="00095DE1"/>
    <w:rsid w:val="000A2804"/>
    <w:rsid w:val="000C3EA8"/>
    <w:rsid w:val="000C411C"/>
    <w:rsid w:val="000C7419"/>
    <w:rsid w:val="000D39FB"/>
    <w:rsid w:val="000F011D"/>
    <w:rsid w:val="000F268D"/>
    <w:rsid w:val="00115011"/>
    <w:rsid w:val="0011741F"/>
    <w:rsid w:val="00122886"/>
    <w:rsid w:val="00125A5C"/>
    <w:rsid w:val="00126A1B"/>
    <w:rsid w:val="00141C22"/>
    <w:rsid w:val="0014357C"/>
    <w:rsid w:val="0016494C"/>
    <w:rsid w:val="001726F9"/>
    <w:rsid w:val="0017481F"/>
    <w:rsid w:val="0017676D"/>
    <w:rsid w:val="00186CD1"/>
    <w:rsid w:val="001A06FD"/>
    <w:rsid w:val="001D7FD8"/>
    <w:rsid w:val="001E4452"/>
    <w:rsid w:val="001E6B4D"/>
    <w:rsid w:val="001F0C01"/>
    <w:rsid w:val="001F4C3D"/>
    <w:rsid w:val="001F57B9"/>
    <w:rsid w:val="00205179"/>
    <w:rsid w:val="00212A92"/>
    <w:rsid w:val="002139F4"/>
    <w:rsid w:val="00220866"/>
    <w:rsid w:val="00220E8C"/>
    <w:rsid w:val="00240545"/>
    <w:rsid w:val="00243A47"/>
    <w:rsid w:val="0024718D"/>
    <w:rsid w:val="00275233"/>
    <w:rsid w:val="00275374"/>
    <w:rsid w:val="00295E6C"/>
    <w:rsid w:val="002B13D9"/>
    <w:rsid w:val="002C0CBC"/>
    <w:rsid w:val="002C5633"/>
    <w:rsid w:val="002E19E8"/>
    <w:rsid w:val="002E3A2D"/>
    <w:rsid w:val="002E457C"/>
    <w:rsid w:val="002F09F4"/>
    <w:rsid w:val="002F1072"/>
    <w:rsid w:val="002F788F"/>
    <w:rsid w:val="0030251D"/>
    <w:rsid w:val="00322C87"/>
    <w:rsid w:val="00323CF7"/>
    <w:rsid w:val="003263B6"/>
    <w:rsid w:val="00336FC0"/>
    <w:rsid w:val="003571F4"/>
    <w:rsid w:val="00374491"/>
    <w:rsid w:val="00374B13"/>
    <w:rsid w:val="00375B18"/>
    <w:rsid w:val="00390BBA"/>
    <w:rsid w:val="00391E27"/>
    <w:rsid w:val="00393AC9"/>
    <w:rsid w:val="00393D37"/>
    <w:rsid w:val="003A0B06"/>
    <w:rsid w:val="003A55BE"/>
    <w:rsid w:val="003A7E1C"/>
    <w:rsid w:val="003B23F8"/>
    <w:rsid w:val="003D5FF1"/>
    <w:rsid w:val="003F1115"/>
    <w:rsid w:val="003F2D85"/>
    <w:rsid w:val="00407D83"/>
    <w:rsid w:val="004124A1"/>
    <w:rsid w:val="004247DD"/>
    <w:rsid w:val="00425E7C"/>
    <w:rsid w:val="00431704"/>
    <w:rsid w:val="004334AC"/>
    <w:rsid w:val="00447273"/>
    <w:rsid w:val="00447433"/>
    <w:rsid w:val="0046374D"/>
    <w:rsid w:val="00474929"/>
    <w:rsid w:val="00474D36"/>
    <w:rsid w:val="0047581A"/>
    <w:rsid w:val="004762B3"/>
    <w:rsid w:val="0048312F"/>
    <w:rsid w:val="004957D6"/>
    <w:rsid w:val="004A0EEA"/>
    <w:rsid w:val="004B0034"/>
    <w:rsid w:val="004B477C"/>
    <w:rsid w:val="004C62C9"/>
    <w:rsid w:val="004D1709"/>
    <w:rsid w:val="004E42AE"/>
    <w:rsid w:val="004E477E"/>
    <w:rsid w:val="004E519A"/>
    <w:rsid w:val="004E5A3D"/>
    <w:rsid w:val="005016D5"/>
    <w:rsid w:val="005037DF"/>
    <w:rsid w:val="00511ABA"/>
    <w:rsid w:val="00511DC4"/>
    <w:rsid w:val="00512D5E"/>
    <w:rsid w:val="00521768"/>
    <w:rsid w:val="0053000B"/>
    <w:rsid w:val="00530065"/>
    <w:rsid w:val="00540715"/>
    <w:rsid w:val="00543723"/>
    <w:rsid w:val="00551407"/>
    <w:rsid w:val="00552C92"/>
    <w:rsid w:val="005538EF"/>
    <w:rsid w:val="00555552"/>
    <w:rsid w:val="00574CF7"/>
    <w:rsid w:val="005774AE"/>
    <w:rsid w:val="0058158D"/>
    <w:rsid w:val="005B32C5"/>
    <w:rsid w:val="005B64A9"/>
    <w:rsid w:val="005D5C0A"/>
    <w:rsid w:val="005D6F99"/>
    <w:rsid w:val="005F4E84"/>
    <w:rsid w:val="005F5165"/>
    <w:rsid w:val="006044B0"/>
    <w:rsid w:val="0062218E"/>
    <w:rsid w:val="00643C4C"/>
    <w:rsid w:val="0067379C"/>
    <w:rsid w:val="006807CF"/>
    <w:rsid w:val="00683D0F"/>
    <w:rsid w:val="0069595A"/>
    <w:rsid w:val="006B4BFF"/>
    <w:rsid w:val="006E5B59"/>
    <w:rsid w:val="006F0A44"/>
    <w:rsid w:val="006F504F"/>
    <w:rsid w:val="007028AD"/>
    <w:rsid w:val="00712C0A"/>
    <w:rsid w:val="00716DC7"/>
    <w:rsid w:val="0073011D"/>
    <w:rsid w:val="007322E9"/>
    <w:rsid w:val="00760288"/>
    <w:rsid w:val="0076203E"/>
    <w:rsid w:val="00765DC7"/>
    <w:rsid w:val="007A2646"/>
    <w:rsid w:val="007C10EF"/>
    <w:rsid w:val="007C5E3D"/>
    <w:rsid w:val="007C635C"/>
    <w:rsid w:val="007D659A"/>
    <w:rsid w:val="007E08A9"/>
    <w:rsid w:val="007E2C49"/>
    <w:rsid w:val="007E7EA7"/>
    <w:rsid w:val="007F0BAA"/>
    <w:rsid w:val="0080188F"/>
    <w:rsid w:val="0084627A"/>
    <w:rsid w:val="00873352"/>
    <w:rsid w:val="00874160"/>
    <w:rsid w:val="008841D0"/>
    <w:rsid w:val="008A1024"/>
    <w:rsid w:val="008B4632"/>
    <w:rsid w:val="008C086E"/>
    <w:rsid w:val="008C2A95"/>
    <w:rsid w:val="008D00BA"/>
    <w:rsid w:val="008D04CE"/>
    <w:rsid w:val="008D4882"/>
    <w:rsid w:val="008F2FF4"/>
    <w:rsid w:val="008F40A6"/>
    <w:rsid w:val="00901F0C"/>
    <w:rsid w:val="009129F6"/>
    <w:rsid w:val="00915D10"/>
    <w:rsid w:val="00922520"/>
    <w:rsid w:val="00935536"/>
    <w:rsid w:val="00942400"/>
    <w:rsid w:val="009427CA"/>
    <w:rsid w:val="00942EA6"/>
    <w:rsid w:val="0095023D"/>
    <w:rsid w:val="00963220"/>
    <w:rsid w:val="00981CC1"/>
    <w:rsid w:val="00993D26"/>
    <w:rsid w:val="00993FB2"/>
    <w:rsid w:val="00996AAE"/>
    <w:rsid w:val="009A05A2"/>
    <w:rsid w:val="009A41C9"/>
    <w:rsid w:val="009B340B"/>
    <w:rsid w:val="009B7E3A"/>
    <w:rsid w:val="009D492C"/>
    <w:rsid w:val="009D726E"/>
    <w:rsid w:val="009D778B"/>
    <w:rsid w:val="009D7F34"/>
    <w:rsid w:val="009E0EA1"/>
    <w:rsid w:val="009E23C0"/>
    <w:rsid w:val="009F3E4A"/>
    <w:rsid w:val="009F59C0"/>
    <w:rsid w:val="00A00164"/>
    <w:rsid w:val="00A03035"/>
    <w:rsid w:val="00A1185D"/>
    <w:rsid w:val="00A16191"/>
    <w:rsid w:val="00A2032C"/>
    <w:rsid w:val="00A20553"/>
    <w:rsid w:val="00A315C5"/>
    <w:rsid w:val="00A3284C"/>
    <w:rsid w:val="00A44101"/>
    <w:rsid w:val="00A47C1A"/>
    <w:rsid w:val="00A561CE"/>
    <w:rsid w:val="00A57942"/>
    <w:rsid w:val="00A6110E"/>
    <w:rsid w:val="00A66AED"/>
    <w:rsid w:val="00A759DB"/>
    <w:rsid w:val="00A76109"/>
    <w:rsid w:val="00A77868"/>
    <w:rsid w:val="00A77F34"/>
    <w:rsid w:val="00A93879"/>
    <w:rsid w:val="00AA07A1"/>
    <w:rsid w:val="00AA7BD5"/>
    <w:rsid w:val="00AB01CB"/>
    <w:rsid w:val="00AB3114"/>
    <w:rsid w:val="00AB4995"/>
    <w:rsid w:val="00AC085E"/>
    <w:rsid w:val="00AD5703"/>
    <w:rsid w:val="00AE65ED"/>
    <w:rsid w:val="00B00D37"/>
    <w:rsid w:val="00B062FA"/>
    <w:rsid w:val="00B10CD7"/>
    <w:rsid w:val="00B11368"/>
    <w:rsid w:val="00B477B1"/>
    <w:rsid w:val="00B47C3D"/>
    <w:rsid w:val="00B50BA0"/>
    <w:rsid w:val="00B54EEA"/>
    <w:rsid w:val="00B735D8"/>
    <w:rsid w:val="00B84BC0"/>
    <w:rsid w:val="00B84EE8"/>
    <w:rsid w:val="00B92282"/>
    <w:rsid w:val="00BA503C"/>
    <w:rsid w:val="00BA69D7"/>
    <w:rsid w:val="00BC0F6D"/>
    <w:rsid w:val="00BC1842"/>
    <w:rsid w:val="00BD43AF"/>
    <w:rsid w:val="00BE532C"/>
    <w:rsid w:val="00BE7DDB"/>
    <w:rsid w:val="00BF7385"/>
    <w:rsid w:val="00BF7AE8"/>
    <w:rsid w:val="00C0387D"/>
    <w:rsid w:val="00C06A9A"/>
    <w:rsid w:val="00C0795D"/>
    <w:rsid w:val="00C10B67"/>
    <w:rsid w:val="00C1489B"/>
    <w:rsid w:val="00C17B39"/>
    <w:rsid w:val="00C22C0E"/>
    <w:rsid w:val="00C23DFD"/>
    <w:rsid w:val="00C256F0"/>
    <w:rsid w:val="00C3452B"/>
    <w:rsid w:val="00C37406"/>
    <w:rsid w:val="00C50A4E"/>
    <w:rsid w:val="00C5255E"/>
    <w:rsid w:val="00C53F2D"/>
    <w:rsid w:val="00C867C9"/>
    <w:rsid w:val="00C906F0"/>
    <w:rsid w:val="00C95558"/>
    <w:rsid w:val="00C9588F"/>
    <w:rsid w:val="00CB0BF7"/>
    <w:rsid w:val="00CC10BF"/>
    <w:rsid w:val="00CD521C"/>
    <w:rsid w:val="00CD71FD"/>
    <w:rsid w:val="00CE0C1F"/>
    <w:rsid w:val="00CE3A27"/>
    <w:rsid w:val="00CF000A"/>
    <w:rsid w:val="00CF0BA3"/>
    <w:rsid w:val="00D149AD"/>
    <w:rsid w:val="00D152E4"/>
    <w:rsid w:val="00D21B5D"/>
    <w:rsid w:val="00D236A8"/>
    <w:rsid w:val="00D27C05"/>
    <w:rsid w:val="00D350F3"/>
    <w:rsid w:val="00D44A22"/>
    <w:rsid w:val="00D47D12"/>
    <w:rsid w:val="00D52F58"/>
    <w:rsid w:val="00D60208"/>
    <w:rsid w:val="00D71F42"/>
    <w:rsid w:val="00DA463A"/>
    <w:rsid w:val="00DA744D"/>
    <w:rsid w:val="00DB26C8"/>
    <w:rsid w:val="00DB27E6"/>
    <w:rsid w:val="00DB410A"/>
    <w:rsid w:val="00DB691F"/>
    <w:rsid w:val="00DC1135"/>
    <w:rsid w:val="00E075AB"/>
    <w:rsid w:val="00E24C8E"/>
    <w:rsid w:val="00E33E6A"/>
    <w:rsid w:val="00E467DE"/>
    <w:rsid w:val="00E5318A"/>
    <w:rsid w:val="00E627A7"/>
    <w:rsid w:val="00E62A40"/>
    <w:rsid w:val="00E64969"/>
    <w:rsid w:val="00E74541"/>
    <w:rsid w:val="00E74683"/>
    <w:rsid w:val="00E81348"/>
    <w:rsid w:val="00E846AE"/>
    <w:rsid w:val="00EC1E9C"/>
    <w:rsid w:val="00EC6D83"/>
    <w:rsid w:val="00EC70DC"/>
    <w:rsid w:val="00EE1FF7"/>
    <w:rsid w:val="00EF31DC"/>
    <w:rsid w:val="00F03062"/>
    <w:rsid w:val="00F07773"/>
    <w:rsid w:val="00F23EE7"/>
    <w:rsid w:val="00F26F62"/>
    <w:rsid w:val="00F36AB6"/>
    <w:rsid w:val="00F444C9"/>
    <w:rsid w:val="00F509F7"/>
    <w:rsid w:val="00F53D55"/>
    <w:rsid w:val="00F7478D"/>
    <w:rsid w:val="00F755D8"/>
    <w:rsid w:val="00F80AE9"/>
    <w:rsid w:val="00F81F64"/>
    <w:rsid w:val="00F83F94"/>
    <w:rsid w:val="00F95382"/>
    <w:rsid w:val="00FA6AC1"/>
    <w:rsid w:val="00FC21B9"/>
    <w:rsid w:val="00FD3A6D"/>
    <w:rsid w:val="00FD47CD"/>
    <w:rsid w:val="00FD53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HTML Preformatted"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3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papertitle">
    <w:name w:val="papertitle"/>
    <w:basedOn w:val="Normal"/>
    <w:next w:val="Normal"/>
    <w:rsid w:val="00FD3A6D"/>
    <w:pPr>
      <w:keepNext/>
      <w:keepLines/>
      <w:suppressAutoHyphens/>
      <w:overflowPunct w:val="0"/>
      <w:autoSpaceDE w:val="0"/>
      <w:autoSpaceDN w:val="0"/>
      <w:adjustRightInd w:val="0"/>
      <w:spacing w:after="480" w:line="360" w:lineRule="atLeast"/>
      <w:ind w:firstLine="0"/>
      <w:jc w:val="center"/>
      <w:textAlignment w:val="baseline"/>
    </w:pPr>
    <w:rPr>
      <w:b/>
      <w:sz w:val="28"/>
      <w:lang w:val="en-US"/>
    </w:rPr>
  </w:style>
  <w:style w:type="paragraph" w:customStyle="1" w:styleId="address">
    <w:name w:val="address"/>
    <w:basedOn w:val="Normal"/>
    <w:rsid w:val="00B735D8"/>
    <w:pPr>
      <w:overflowPunct w:val="0"/>
      <w:autoSpaceDE w:val="0"/>
      <w:autoSpaceDN w:val="0"/>
      <w:adjustRightInd w:val="0"/>
      <w:spacing w:after="200" w:line="220" w:lineRule="atLeast"/>
      <w:ind w:firstLine="0"/>
      <w:contextualSpacing/>
      <w:jc w:val="center"/>
      <w:textAlignment w:val="baseline"/>
    </w:pPr>
    <w:rPr>
      <w:sz w:val="18"/>
      <w:lang w:val="en-US"/>
    </w:rPr>
  </w:style>
  <w:style w:type="paragraph" w:customStyle="1" w:styleId="referenceitem">
    <w:name w:val="referenceitem"/>
    <w:basedOn w:val="Normal"/>
    <w:rsid w:val="00BA69D7"/>
    <w:pPr>
      <w:numPr>
        <w:numId w:val="20"/>
      </w:numPr>
      <w:overflowPunct w:val="0"/>
      <w:autoSpaceDE w:val="0"/>
      <w:autoSpaceDN w:val="0"/>
      <w:adjustRightInd w:val="0"/>
      <w:spacing w:line="220" w:lineRule="atLeast"/>
      <w:textAlignment w:val="baseline"/>
    </w:pPr>
    <w:rPr>
      <w:sz w:val="18"/>
      <w:lang w:val="en-US"/>
    </w:rPr>
  </w:style>
  <w:style w:type="numbering" w:customStyle="1" w:styleId="referencelist">
    <w:name w:val="referencelist"/>
    <w:basedOn w:val="NoList"/>
    <w:semiHidden/>
    <w:rsid w:val="00BA69D7"/>
    <w:pPr>
      <w:numPr>
        <w:numId w:val="20"/>
      </w:numPr>
    </w:pPr>
  </w:style>
  <w:style w:type="paragraph" w:styleId="HTMLPreformatted">
    <w:name w:val="HTML Preformatted"/>
    <w:basedOn w:val="Normal"/>
    <w:link w:val="HTMLPreformattedChar"/>
    <w:uiPriority w:val="99"/>
    <w:unhideWhenUsed/>
    <w:rsid w:val="00BA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BA69D7"/>
    <w:rPr>
      <w:rFonts w:ascii="Courier New" w:hAnsi="Courier New" w:cs="Courier New"/>
      <w:lang w:val="en-IN" w:eastAsia="en-IN"/>
    </w:rPr>
  </w:style>
  <w:style w:type="paragraph" w:customStyle="1" w:styleId="heading10">
    <w:name w:val="heading1"/>
    <w:basedOn w:val="Normal"/>
    <w:next w:val="Normal"/>
    <w:qFormat/>
    <w:rsid w:val="007A2646"/>
    <w:pPr>
      <w:keepNext/>
      <w:keepLines/>
      <w:numPr>
        <w:numId w:val="21"/>
      </w:numPr>
      <w:suppressAutoHyphens/>
      <w:overflowPunct w:val="0"/>
      <w:autoSpaceDE w:val="0"/>
      <w:autoSpaceDN w:val="0"/>
      <w:adjustRightInd w:val="0"/>
      <w:spacing w:before="360" w:after="240" w:line="300" w:lineRule="atLeast"/>
      <w:jc w:val="left"/>
      <w:textAlignment w:val="baseline"/>
      <w:outlineLvl w:val="0"/>
    </w:pPr>
    <w:rPr>
      <w:b/>
      <w:lang w:val="en-US"/>
    </w:rPr>
  </w:style>
  <w:style w:type="paragraph" w:customStyle="1" w:styleId="heading20">
    <w:name w:val="heading2"/>
    <w:basedOn w:val="Normal"/>
    <w:next w:val="Normal"/>
    <w:qFormat/>
    <w:rsid w:val="007A2646"/>
    <w:pPr>
      <w:keepNext/>
      <w:keepLines/>
      <w:numPr>
        <w:ilvl w:val="1"/>
        <w:numId w:val="21"/>
      </w:numPr>
      <w:suppressAutoHyphens/>
      <w:overflowPunct w:val="0"/>
      <w:autoSpaceDE w:val="0"/>
      <w:autoSpaceDN w:val="0"/>
      <w:adjustRightInd w:val="0"/>
      <w:spacing w:before="360" w:after="160" w:line="240" w:lineRule="atLeast"/>
      <w:jc w:val="left"/>
      <w:textAlignment w:val="baseline"/>
      <w:outlineLvl w:val="1"/>
    </w:pPr>
    <w:rPr>
      <w:b/>
      <w:sz w:val="20"/>
      <w:lang w:val="en-US"/>
    </w:rPr>
  </w:style>
  <w:style w:type="numbering" w:customStyle="1" w:styleId="headings">
    <w:name w:val="headings"/>
    <w:basedOn w:val="NoList"/>
    <w:rsid w:val="007A2646"/>
    <w:pPr>
      <w:numPr>
        <w:numId w:val="21"/>
      </w:numPr>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 w:id="20828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choudary64@yahoo.co.in"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352A-245E-457B-AEFF-32A5B8DD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222</TotalTime>
  <Pages>5</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13388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melab</cp:lastModifiedBy>
  <cp:revision>41</cp:revision>
  <cp:lastPrinted>2012-10-24T18:06:00Z</cp:lastPrinted>
  <dcterms:created xsi:type="dcterms:W3CDTF">2019-02-10T06:26:00Z</dcterms:created>
  <dcterms:modified xsi:type="dcterms:W3CDTF">2019-02-10T10:11:00Z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False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Burri_Ajayaram@cat.com</vt:lpwstr>
  </property>
  <property fmtid="{D5CDD505-2E9C-101B-9397-08002B2CF9AE}" pid="5" name="MSIP_Label_fb5e2db6-eecf-4aa2-8fc3-174bf94bce19_SetDate">
    <vt:lpwstr>2019-02-09T04:15:02.5363243Z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ies>
</file>