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2E457C">
      <w:pPr>
        <w:ind w:left="567" w:firstLine="0"/>
        <w:contextualSpacing/>
      </w:pPr>
      <w:bookmarkStart w:id="0" w:name="Title_2"/>
    </w:p>
    <w:p w:rsidR="00A47C1A" w:rsidRPr="004D1709" w:rsidRDefault="00A8009E" w:rsidP="00AB4995">
      <w:pPr>
        <w:pStyle w:val="Title"/>
        <w:spacing w:after="120" w:line="240" w:lineRule="atLeast"/>
        <w:ind w:firstLine="0"/>
        <w:contextualSpacing/>
      </w:pPr>
      <w:r>
        <w:rPr>
          <w:sz w:val="28"/>
          <w:szCs w:val="28"/>
        </w:rPr>
        <w:t>Aerodynamic Drag a</w:t>
      </w:r>
      <w:r w:rsidRPr="00A8009E">
        <w:rPr>
          <w:sz w:val="28"/>
          <w:szCs w:val="28"/>
        </w:rPr>
        <w:t>nd</w:t>
      </w:r>
      <w:r>
        <w:rPr>
          <w:sz w:val="28"/>
          <w:szCs w:val="28"/>
        </w:rPr>
        <w:t xml:space="preserve"> Aeroacoustic Sound Prediction o</w:t>
      </w:r>
      <w:r w:rsidRPr="00A8009E">
        <w:rPr>
          <w:sz w:val="28"/>
          <w:szCs w:val="28"/>
        </w:rPr>
        <w:t>f Square Cylinder Using CFD</w:t>
      </w:r>
    </w:p>
    <w:bookmarkEnd w:id="0"/>
    <w:p w:rsidR="00A47C1A" w:rsidRPr="00AB4995" w:rsidRDefault="00A47C1A" w:rsidP="00E627A7">
      <w:pPr>
        <w:ind w:firstLine="0"/>
        <w:contextualSpacing/>
        <w:jc w:val="center"/>
        <w:rPr>
          <w:szCs w:val="24"/>
        </w:rPr>
      </w:pPr>
    </w:p>
    <w:p w:rsidR="00A47C1A" w:rsidRPr="001778A2" w:rsidRDefault="00A8009E" w:rsidP="00390BBA">
      <w:pPr>
        <w:ind w:left="567" w:firstLine="0"/>
        <w:jc w:val="center"/>
        <w:rPr>
          <w:vertAlign w:val="superscript"/>
        </w:rPr>
      </w:pPr>
      <w:bookmarkStart w:id="1" w:name="Author_1"/>
      <w:r>
        <w:t>K. Karthik</w:t>
      </w:r>
      <w:r w:rsidR="004D1709" w:rsidRPr="00186CD1">
        <w:rPr>
          <w:vertAlign w:val="superscript"/>
        </w:rPr>
        <w:t>a</w:t>
      </w:r>
      <w:r w:rsidR="00A47C1A" w:rsidRPr="00390BBA">
        <w:t xml:space="preserve">, </w:t>
      </w:r>
      <w:bookmarkEnd w:id="1"/>
      <w:r w:rsidR="001778A2">
        <w:t xml:space="preserve">E. </w:t>
      </w:r>
      <w:r w:rsidR="00B211B9">
        <w:t>Arunachalam</w:t>
      </w:r>
      <w:r w:rsidR="004D1709" w:rsidRPr="00186CD1">
        <w:rPr>
          <w:vertAlign w:val="superscript"/>
        </w:rPr>
        <w:t>b,*</w:t>
      </w:r>
      <w:r w:rsidR="004D1709" w:rsidRPr="00390BBA">
        <w:t xml:space="preserve">, </w:t>
      </w:r>
      <w:r w:rsidR="001778A2">
        <w:t>S. E</w:t>
      </w:r>
      <w:r w:rsidR="00B211B9">
        <w:t>sakki</w:t>
      </w:r>
      <w:r w:rsidR="001778A2">
        <w:t xml:space="preserve"> Ganesh</w:t>
      </w:r>
      <w:r w:rsidR="00B211B9" w:rsidRPr="00B211B9">
        <w:rPr>
          <w:vertAlign w:val="superscript"/>
        </w:rPr>
        <w:t>b</w:t>
      </w:r>
      <w:r w:rsidR="00B211B9">
        <w:t xml:space="preserve">, </w:t>
      </w:r>
      <w:r w:rsidR="001778A2">
        <w:t>P. Lokesh Kumar</w:t>
      </w:r>
      <w:r w:rsidR="001778A2">
        <w:rPr>
          <w:vertAlign w:val="superscript"/>
        </w:rPr>
        <w:t>b</w:t>
      </w:r>
    </w:p>
    <w:p w:rsidR="00AB4995" w:rsidRPr="00295E6C" w:rsidRDefault="00AB4995" w:rsidP="00390BBA">
      <w:pPr>
        <w:ind w:left="567" w:firstLine="0"/>
        <w:jc w:val="center"/>
        <w:rPr>
          <w:rFonts w:eastAsia="DFKai-SB"/>
          <w:i/>
          <w:kern w:val="2"/>
          <w:sz w:val="20"/>
        </w:rPr>
      </w:pPr>
      <w:r w:rsidRPr="00295E6C">
        <w:rPr>
          <w:rFonts w:eastAsia="DFKai-SB"/>
          <w:i/>
          <w:sz w:val="20"/>
          <w:vertAlign w:val="superscript"/>
        </w:rPr>
        <w:t>a</w:t>
      </w:r>
      <w:r w:rsidR="00A8009E" w:rsidRPr="00A8009E">
        <w:rPr>
          <w:rFonts w:eastAsia="DFKai-SB"/>
          <w:i/>
          <w:sz w:val="20"/>
        </w:rPr>
        <w:t xml:space="preserve">Department of </w:t>
      </w:r>
      <w:r w:rsidR="00A8009E">
        <w:rPr>
          <w:rFonts w:eastAsia="DFKai-SB"/>
          <w:i/>
          <w:sz w:val="20"/>
        </w:rPr>
        <w:t>Aeronautical</w:t>
      </w:r>
      <w:r w:rsidR="00A8009E" w:rsidRPr="00A8009E">
        <w:rPr>
          <w:rFonts w:eastAsia="DFKai-SB"/>
          <w:i/>
          <w:sz w:val="20"/>
        </w:rPr>
        <w:t xml:space="preserve"> Engineering, School of Automotive and Mechanical Engineering, Kalasalingam Academy of Research and Education, Anand Nagar, Krishnankoil 626126, India</w:t>
      </w:r>
    </w:p>
    <w:p w:rsidR="00186CD1" w:rsidRPr="00295E6C" w:rsidRDefault="00186CD1" w:rsidP="00A8009E">
      <w:pPr>
        <w:ind w:left="567" w:firstLine="0"/>
        <w:jc w:val="center"/>
        <w:rPr>
          <w:rFonts w:eastAsia="DFKai-SB"/>
          <w:i/>
          <w:sz w:val="20"/>
        </w:rPr>
      </w:pPr>
      <w:r w:rsidRPr="00295E6C">
        <w:rPr>
          <w:rFonts w:eastAsia="DFKai-SB"/>
          <w:i/>
          <w:kern w:val="2"/>
          <w:sz w:val="20"/>
          <w:vertAlign w:val="superscript"/>
        </w:rPr>
        <w:t>b</w:t>
      </w:r>
      <w:r w:rsidR="00A8009E" w:rsidRPr="00A8009E">
        <w:rPr>
          <w:rFonts w:eastAsia="DFKai-SB"/>
          <w:i/>
          <w:kern w:val="2"/>
          <w:sz w:val="20"/>
        </w:rPr>
        <w:t>Department of Mechanical Engineering, School of Automotive and Mechanical Engineering, Kalasalingam Academy of Research and Education, Anand Nagar, Krishnankoil 626126, Indi</w:t>
      </w:r>
      <w:r w:rsidR="00A8009E">
        <w:rPr>
          <w:rFonts w:eastAsia="DFKai-SB"/>
          <w:i/>
          <w:kern w:val="2"/>
          <w:sz w:val="20"/>
        </w:rPr>
        <w:t>a</w:t>
      </w:r>
    </w:p>
    <w:p w:rsidR="00295E6C" w:rsidRPr="00295E6C" w:rsidRDefault="00295E6C" w:rsidP="00186CD1">
      <w:pPr>
        <w:ind w:left="567" w:firstLine="0"/>
        <w:jc w:val="center"/>
        <w:rPr>
          <w:rFonts w:eastAsia="DFKai-SB"/>
          <w:sz w:val="20"/>
        </w:rPr>
      </w:pPr>
    </w:p>
    <w:p w:rsidR="00AB4995" w:rsidRDefault="00AB4995" w:rsidP="00186CD1">
      <w:pPr>
        <w:ind w:left="567" w:firstLine="0"/>
        <w:jc w:val="center"/>
        <w:rPr>
          <w:rFonts w:eastAsia="PMingLiU"/>
          <w:sz w:val="20"/>
        </w:rPr>
      </w:pPr>
      <w:r w:rsidRPr="00295E6C">
        <w:rPr>
          <w:rFonts w:eastAsia="PMingLiU"/>
          <w:sz w:val="20"/>
        </w:rPr>
        <w:t xml:space="preserve">*Corresponding author Email: </w:t>
      </w:r>
      <w:r w:rsidR="00512D48" w:rsidRPr="00512D48">
        <w:rPr>
          <w:rFonts w:eastAsia="PMingLiU"/>
          <w:sz w:val="20"/>
        </w:rPr>
        <w:t>arunachalam051580@gmail.com</w:t>
      </w:r>
    </w:p>
    <w:p w:rsidR="00295E6C" w:rsidRPr="00295E6C" w:rsidRDefault="00295E6C" w:rsidP="00186CD1">
      <w:pPr>
        <w:ind w:left="567" w:firstLine="0"/>
        <w:jc w:val="center"/>
        <w:rPr>
          <w:rFonts w:eastAsia="PMingLiU"/>
          <w:sz w:val="20"/>
        </w:rPr>
      </w:pPr>
    </w:p>
    <w:p w:rsidR="002E457C" w:rsidRPr="000C7419" w:rsidRDefault="00B11368" w:rsidP="002E457C">
      <w:pPr>
        <w:ind w:left="567" w:firstLine="0"/>
        <w:contextualSpacing/>
        <w:rPr>
          <w:sz w:val="22"/>
          <w:szCs w:val="22"/>
        </w:rPr>
      </w:pPr>
      <w:r>
        <w:rPr>
          <w:sz w:val="22"/>
          <w:szCs w:val="22"/>
        </w:rPr>
        <w:t>------------------------------------------------------------------------------------------------------------------</w:t>
      </w:r>
    </w:p>
    <w:p w:rsidR="00A47C1A" w:rsidRPr="000C411C" w:rsidRDefault="00A8009E" w:rsidP="000C411C">
      <w:pPr>
        <w:ind w:right="391"/>
        <w:rPr>
          <w:szCs w:val="24"/>
        </w:rPr>
      </w:pPr>
      <w:r w:rsidRPr="00A8009E">
        <w:rPr>
          <w:szCs w:val="24"/>
          <w:lang w:val="en-US"/>
        </w:rPr>
        <w:t>This paper presents a numerical methodology for coupled aerodynamic and aeroacoustic calculations for low Mach number air flow past square cylinder. Computations are performed at a subcritical Reynolds number of 54,800 using unsteady Reynolds averaged Navier Stokes technique and Ffowcs Williams-Hawking acoustic analogy. The spectral and aerodynamic results obtained are compared with those found in the literature for similar cases.</w:t>
      </w:r>
      <w:r w:rsidR="000C7419" w:rsidRPr="000C411C">
        <w:rPr>
          <w:szCs w:val="24"/>
        </w:rPr>
        <w:t xml:space="preserve"> </w:t>
      </w:r>
    </w:p>
    <w:p w:rsidR="00A47C1A" w:rsidRPr="000C7419" w:rsidRDefault="00A47C1A" w:rsidP="002E457C">
      <w:pPr>
        <w:ind w:left="567" w:firstLine="0"/>
        <w:contextualSpacing/>
        <w:rPr>
          <w:sz w:val="22"/>
          <w:szCs w:val="22"/>
        </w:rPr>
      </w:pPr>
    </w:p>
    <w:p w:rsidR="00374491" w:rsidRPr="00A8009E"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A8009E" w:rsidRPr="00A8009E">
        <w:rPr>
          <w:bCs/>
          <w:sz w:val="22"/>
          <w:szCs w:val="22"/>
        </w:rPr>
        <w:t>Aeroacoustics, Aerodynamics, CFD</w:t>
      </w:r>
    </w:p>
    <w:p w:rsidR="00C23DFD" w:rsidRPr="007675D9" w:rsidRDefault="00C23DFD" w:rsidP="00374491">
      <w:pPr>
        <w:ind w:firstLine="0"/>
        <w:rPr>
          <w:sz w:val="22"/>
          <w:szCs w:val="22"/>
        </w:rPr>
      </w:pPr>
    </w:p>
    <w:p w:rsidR="00A47C1A" w:rsidRPr="00873407" w:rsidRDefault="00873407" w:rsidP="00873407">
      <w:pPr>
        <w:ind w:firstLine="0"/>
        <w:mirrorIndents/>
        <w:rPr>
          <w:rFonts w:ascii="Arial" w:hAnsi="Arial" w:cs="Arial"/>
          <w:b/>
          <w:szCs w:val="24"/>
        </w:rPr>
      </w:pPr>
      <w:bookmarkStart w:id="2" w:name="_Ref473037328"/>
      <w:r>
        <w:rPr>
          <w:rFonts w:ascii="Arial" w:hAnsi="Arial" w:cs="Arial"/>
          <w:b/>
          <w:szCs w:val="24"/>
        </w:rPr>
        <w:t xml:space="preserve">1. </w:t>
      </w:r>
      <w:r w:rsidR="00A47C1A" w:rsidRPr="00873407">
        <w:rPr>
          <w:rFonts w:ascii="Arial" w:hAnsi="Arial" w:cs="Arial"/>
          <w:b/>
          <w:szCs w:val="24"/>
        </w:rPr>
        <w:t>I</w:t>
      </w:r>
      <w:bookmarkEnd w:id="2"/>
      <w:r w:rsidR="00021A6C" w:rsidRPr="00873407">
        <w:rPr>
          <w:rFonts w:ascii="Arial" w:hAnsi="Arial" w:cs="Arial"/>
          <w:b/>
          <w:szCs w:val="24"/>
        </w:rPr>
        <w:t>ntroduction</w:t>
      </w:r>
    </w:p>
    <w:p w:rsidR="007C635C" w:rsidRPr="007C635C" w:rsidRDefault="007C635C" w:rsidP="007C635C">
      <w:pPr>
        <w:ind w:left="360" w:firstLine="0"/>
        <w:mirrorIndents/>
        <w:rPr>
          <w:rFonts w:ascii="Arial" w:hAnsi="Arial" w:cs="Arial"/>
          <w:b/>
          <w:szCs w:val="24"/>
        </w:rPr>
      </w:pPr>
    </w:p>
    <w:p w:rsidR="00A8009E" w:rsidRPr="00A8009E" w:rsidRDefault="00A8009E" w:rsidP="00A8009E">
      <w:pPr>
        <w:ind w:firstLine="397"/>
        <w:contextualSpacing/>
        <w:mirrorIndents/>
        <w:rPr>
          <w:szCs w:val="24"/>
        </w:rPr>
      </w:pPr>
      <w:r w:rsidRPr="00A8009E">
        <w:rPr>
          <w:szCs w:val="24"/>
        </w:rPr>
        <w:t>The interaction of high-speed flow past a solid body generates unsteady fluid dynamic loads, which in turn produces flow-induced noise, also called aeroacoustic sound. Aerodynamic loads and the associated aeroacoustic sound emitted from the bluff bodies are of concern for many engineering applications, such as bullet train, aircraft landing gear, automobiles etc.. As, the requirements for the environmental noise emission levels of aircraft and automobiles, driven by societal demand, are becoming more stringent, it is important to understand and control these flow-induced problems so that engineering design and public comfort can be improved continuously. The aerodynamic drag force exerted on high-speed vehicles is very much associated with the engine power and consequently the fuel expenditure. So, the aerodynamic drag force exerted on the solid body and the sound radiated to the surroundings is of foremost concern in many industrial applications. Therefore, the numerical computation of aerodynamic and aeroacoustic characteristics of rigid bluff bodies have received extensive attention.</w:t>
      </w:r>
    </w:p>
    <w:p w:rsidR="00873407" w:rsidRDefault="00A8009E" w:rsidP="00873407">
      <w:pPr>
        <w:ind w:firstLine="397"/>
        <w:contextualSpacing/>
        <w:mirrorIndents/>
        <w:rPr>
          <w:szCs w:val="24"/>
        </w:rPr>
      </w:pPr>
      <w:r w:rsidRPr="00A8009E">
        <w:rPr>
          <w:szCs w:val="24"/>
        </w:rPr>
        <w:t>The development of aerodynamics led to streamlined structures which have decreased aerodynamic drag and self-induced noise in comparison to bluff bodies. This is attributable to the retarded separation of the boundary layer, decreased wake region and decreased vortex generation. But most structures encountered in the engineering applications are bluff bodies which include bridge piers, buildings, vehicles, chimneys, cooling towers, heat exchanger tubes, flame-holders, aircraft undercarriage during landing, pipelines and re-entry vehicles, to mention a few. Hence studying the aerodynamics and aeroacoustics of bluff bodies, has been the field of interest of several numerical and experimental. From the literature survey, it is observed that most of the analysis is concentrated on circular cylinders and a few reported investigations are found on the study of aerodynamic drag and flow-induced noise on flows over the square cylinder. The air flow over a square cylinder and the associated aerodynamics is significant because the flow separation point is permanent. But, in the case of a circular cylinder, the flow separation point alters periodically around the aft of the cylinder. So, the case study selected for this paper is a square cylinder. Almost all previous studies with attached splitter plates focused at low Re. In most industrial applications, however, the aerodynamic sound becomes more significant only for high Re flows. Hence, in this paper, a high Re (= 54,800) flow is treated.</w:t>
      </w:r>
    </w:p>
    <w:p w:rsidR="00873407" w:rsidRDefault="00873407" w:rsidP="00873407">
      <w:pPr>
        <w:ind w:firstLine="397"/>
        <w:contextualSpacing/>
        <w:mirrorIndents/>
        <w:rPr>
          <w:szCs w:val="24"/>
        </w:rPr>
      </w:pPr>
    </w:p>
    <w:p w:rsidR="00A47C1A" w:rsidRPr="00873407" w:rsidRDefault="00873407" w:rsidP="00873407">
      <w:pPr>
        <w:ind w:firstLine="0"/>
        <w:contextualSpacing/>
        <w:mirrorIndents/>
        <w:rPr>
          <w:szCs w:val="24"/>
        </w:rPr>
      </w:pPr>
      <w:r w:rsidRPr="00873407">
        <w:rPr>
          <w:b/>
          <w:szCs w:val="24"/>
        </w:rPr>
        <w:t xml:space="preserve">2. </w:t>
      </w:r>
      <w:r w:rsidR="00AC166E" w:rsidRPr="00873407">
        <w:rPr>
          <w:rFonts w:ascii="Arial" w:hAnsi="Arial" w:cs="Arial"/>
          <w:b/>
          <w:szCs w:val="24"/>
        </w:rPr>
        <w:t>Geometry and Flow Conditions</w:t>
      </w:r>
    </w:p>
    <w:p w:rsidR="007C635C" w:rsidRPr="007C635C" w:rsidRDefault="007C635C" w:rsidP="007C635C">
      <w:pPr>
        <w:ind w:left="360" w:firstLine="0"/>
        <w:mirrorIndents/>
        <w:rPr>
          <w:rFonts w:ascii="Arial" w:hAnsi="Arial" w:cs="Arial"/>
          <w:b/>
          <w:szCs w:val="24"/>
        </w:rPr>
      </w:pPr>
    </w:p>
    <w:p w:rsidR="00873407" w:rsidRDefault="00AC166E" w:rsidP="00873407">
      <w:pPr>
        <w:ind w:firstLine="397"/>
        <w:contextualSpacing/>
        <w:mirrorIndents/>
        <w:rPr>
          <w:szCs w:val="24"/>
        </w:rPr>
      </w:pPr>
      <w:r w:rsidRPr="00AC166E">
        <w:rPr>
          <w:szCs w:val="24"/>
        </w:rPr>
        <w:t>In this work, rigid square cylinder with attached splitter plate of normalized length and thickness of the rear plate are D and 0.02D respectively are considered. All simulations in this paper are carried out at Re = ρUD/μ = 54800, where ρ is the density of air (= 1.225 kg/m3), U is the incoming flow velocity (= 50 m/s), D is the side length of cylinder (= 0.016 m) and μ is the dynamic viscosity of air (= 1.7894 × 10-5 Pa.s). The flow Re and the associated properties in this paper are in consistent with the experimental values (Latorre Iglesias et al., 2016).</w:t>
      </w:r>
    </w:p>
    <w:p w:rsidR="005F5165" w:rsidRPr="00205179" w:rsidRDefault="00C23DFD" w:rsidP="00E107EC">
      <w:pPr>
        <w:ind w:firstLine="0"/>
        <w:contextualSpacing/>
        <w:mirrorIndents/>
        <w:rPr>
          <w:szCs w:val="24"/>
        </w:rPr>
      </w:pPr>
      <w:r w:rsidRPr="00205179">
        <w:rPr>
          <w:szCs w:val="24"/>
        </w:rPr>
        <w:tab/>
      </w:r>
      <w:r w:rsidRPr="00205179">
        <w:rPr>
          <w:szCs w:val="24"/>
        </w:rPr>
        <w:tab/>
      </w:r>
      <w:r w:rsidRPr="00205179">
        <w:rPr>
          <w:szCs w:val="24"/>
        </w:rPr>
        <w:tab/>
      </w:r>
      <w:r w:rsidRPr="00205179">
        <w:rPr>
          <w:szCs w:val="24"/>
        </w:rPr>
        <w:tab/>
      </w:r>
      <w:r w:rsidRPr="00205179">
        <w:rPr>
          <w:szCs w:val="24"/>
        </w:rPr>
        <w:tab/>
      </w:r>
      <w:r w:rsidRPr="00205179">
        <w:rPr>
          <w:szCs w:val="24"/>
        </w:rPr>
        <w:tab/>
      </w:r>
      <w:r w:rsidRPr="00205179">
        <w:rPr>
          <w:szCs w:val="24"/>
        </w:rPr>
        <w:tab/>
      </w:r>
      <w:r w:rsidRPr="00205179">
        <w:rPr>
          <w:szCs w:val="24"/>
        </w:rPr>
        <w:tab/>
      </w:r>
      <w:r w:rsidRPr="00205179">
        <w:rPr>
          <w:szCs w:val="24"/>
        </w:rPr>
        <w:tab/>
      </w:r>
      <w:r w:rsidRPr="00205179">
        <w:rPr>
          <w:szCs w:val="24"/>
        </w:rPr>
        <w:tab/>
      </w:r>
    </w:p>
    <w:p w:rsidR="00F80AE9" w:rsidRPr="00873407" w:rsidRDefault="00873407" w:rsidP="00E107EC">
      <w:pPr>
        <w:ind w:firstLine="0"/>
        <w:mirrorIndents/>
        <w:rPr>
          <w:rFonts w:ascii="Arial" w:hAnsi="Arial" w:cs="Arial"/>
          <w:b/>
          <w:szCs w:val="24"/>
        </w:rPr>
      </w:pPr>
      <w:r>
        <w:rPr>
          <w:rFonts w:ascii="Arial" w:hAnsi="Arial" w:cs="Arial"/>
          <w:b/>
          <w:szCs w:val="24"/>
        </w:rPr>
        <w:t xml:space="preserve">3. </w:t>
      </w:r>
      <w:r w:rsidRPr="00873407">
        <w:rPr>
          <w:rFonts w:ascii="Arial" w:hAnsi="Arial" w:cs="Arial"/>
          <w:b/>
          <w:szCs w:val="24"/>
        </w:rPr>
        <w:t>Computational Methodology</w:t>
      </w:r>
    </w:p>
    <w:p w:rsidR="007C635C" w:rsidRPr="00E107EC" w:rsidRDefault="007C635C" w:rsidP="00E107EC">
      <w:pPr>
        <w:pStyle w:val="ListParagraph"/>
        <w:ind w:firstLine="0"/>
        <w:mirrorIndents/>
        <w:rPr>
          <w:rFonts w:ascii="Arial" w:hAnsi="Arial" w:cs="Arial"/>
          <w:b/>
          <w:szCs w:val="24"/>
        </w:rPr>
      </w:pPr>
    </w:p>
    <w:p w:rsidR="00873407" w:rsidRPr="00205179" w:rsidRDefault="00873407" w:rsidP="00E107EC">
      <w:pPr>
        <w:ind w:firstLine="397"/>
        <w:contextualSpacing/>
        <w:mirrorIndents/>
        <w:rPr>
          <w:szCs w:val="24"/>
        </w:rPr>
      </w:pPr>
      <w:r w:rsidRPr="00873407">
        <w:rPr>
          <w:szCs w:val="24"/>
        </w:rPr>
        <w:t>The turbulent air flow field over the cylinder is computed by utilizing the two-dimensional unsteady Reynolds averaged Navier Stokes (URANS) technique (Samion et al., 2016), where the numerical model simultaneously solves the mass and momentum conservation equations. Even though the flow field in this problem is three-dimensional in nature, the two-dimensional method can, however, obtain the significant aerodynamic and aeroacoustic characteristics at a cheap computational expense and is a more appropriate technique for a parametric study. The k-ω SST model is employed to provide closure to the system of equations formed by URANS. The finite volume method with the QUICK scheme is utilized for the spatial discretization, while a first-order implicit scheme is used for temporal discretization. The SIMPLE algorithm is utilised for the pressure-velocity coupling. An adaptive time-stepping method is used in the paper, where the time steps are adjusted automatically with respect to the truncation error. The time-step is allowed to change in between 10-8 s and 10-4 s. When the residuals of all variables fall just below 10-5, the solution has been regarded as converged. To compute the aerodynamic drag coefficient and acoustic pressure signals, the unsteady information is collected, once the fluid flow attains the statistically steady-state. The flow-induced sound is calculated using the FW-H acoustic analogy (Williams and Hawkings, 1969) with the two-dimensional URANS results as input by using a “correlation length” method. The “correlation length” technique presumes that the vortex shedding is completely correlated over a certain length of the cylinder in the lengthwise direction. The correlation length that is required in this method can be found experimentally by determining the surface static pressure along the length of the cylinder. In this paper, a correlation length of 6D is adopted based on the previous experimental data. The CFD simulations have been carried out by implementing the cylinder models in the commercial flow solver Ansys Fluent, and a Matlab code was developed for processing the acoustic pressure data.</w:t>
      </w:r>
    </w:p>
    <w:p w:rsidR="00F80AE9" w:rsidRPr="00205179" w:rsidRDefault="00F80AE9" w:rsidP="00E107EC">
      <w:pPr>
        <w:ind w:firstLine="397"/>
        <w:contextualSpacing/>
        <w:mirrorIndents/>
        <w:rPr>
          <w:szCs w:val="24"/>
        </w:rPr>
      </w:pPr>
      <w:r w:rsidRPr="00205179">
        <w:rPr>
          <w:szCs w:val="24"/>
        </w:rPr>
        <w:t xml:space="preserve"> </w:t>
      </w:r>
    </w:p>
    <w:p w:rsidR="002C5633" w:rsidRPr="00C0795D" w:rsidRDefault="002C5633" w:rsidP="00E107EC">
      <w:pPr>
        <w:ind w:firstLine="0"/>
        <w:contextualSpacing/>
        <w:mirrorIndents/>
        <w:rPr>
          <w:sz w:val="16"/>
          <w:szCs w:val="24"/>
        </w:rPr>
      </w:pPr>
    </w:p>
    <w:p w:rsidR="00873407" w:rsidRDefault="00873407" w:rsidP="0085313C">
      <w:pPr>
        <w:ind w:firstLine="0"/>
        <w:rPr>
          <w:rFonts w:ascii="Arial" w:eastAsiaTheme="minorEastAsia" w:hAnsi="Arial" w:cs="Arial"/>
          <w:b/>
          <w:szCs w:val="24"/>
        </w:rPr>
      </w:pPr>
      <w:r w:rsidRPr="00252051">
        <w:rPr>
          <w:rFonts w:ascii="Arial" w:eastAsiaTheme="minorEastAsia" w:hAnsi="Arial" w:cs="Arial"/>
          <w:b/>
          <w:szCs w:val="24"/>
        </w:rPr>
        <w:t xml:space="preserve">4. </w:t>
      </w:r>
      <w:r w:rsidR="0085313C" w:rsidRPr="00252051">
        <w:rPr>
          <w:rFonts w:ascii="Arial" w:eastAsiaTheme="minorEastAsia" w:hAnsi="Arial" w:cs="Arial"/>
          <w:b/>
          <w:szCs w:val="24"/>
        </w:rPr>
        <w:t>Results</w:t>
      </w:r>
      <w:r w:rsidR="0085313C">
        <w:rPr>
          <w:rFonts w:ascii="Arial" w:eastAsiaTheme="minorEastAsia" w:hAnsi="Arial" w:cs="Arial"/>
          <w:b/>
          <w:szCs w:val="24"/>
        </w:rPr>
        <w:t xml:space="preserve"> a</w:t>
      </w:r>
      <w:r w:rsidR="0085313C" w:rsidRPr="0085313C">
        <w:rPr>
          <w:rFonts w:ascii="Arial" w:eastAsiaTheme="minorEastAsia" w:hAnsi="Arial" w:cs="Arial"/>
          <w:b/>
          <w:szCs w:val="24"/>
        </w:rPr>
        <w:t>nd Discussion</w:t>
      </w:r>
    </w:p>
    <w:p w:rsidR="0085313C" w:rsidRDefault="0085313C" w:rsidP="0085313C">
      <w:pPr>
        <w:ind w:firstLine="0"/>
        <w:rPr>
          <w:rFonts w:eastAsiaTheme="minorEastAsia"/>
          <w:b/>
          <w:szCs w:val="24"/>
        </w:rPr>
      </w:pPr>
    </w:p>
    <w:p w:rsidR="00873407" w:rsidRPr="004F4082" w:rsidRDefault="00873407" w:rsidP="0085313C">
      <w:pPr>
        <w:ind w:firstLine="0"/>
        <w:rPr>
          <w:rFonts w:ascii="Arial" w:eastAsiaTheme="minorEastAsia" w:hAnsi="Arial" w:cs="Arial"/>
          <w:b/>
          <w:szCs w:val="24"/>
        </w:rPr>
      </w:pPr>
      <w:r w:rsidRPr="004F4082">
        <w:rPr>
          <w:rFonts w:ascii="Arial" w:eastAsiaTheme="minorEastAsia" w:hAnsi="Arial" w:cs="Arial"/>
          <w:b/>
          <w:szCs w:val="24"/>
        </w:rPr>
        <w:t>4.1 Computational domain, boundary conditions and mesh</w:t>
      </w:r>
    </w:p>
    <w:p w:rsidR="00873407" w:rsidRPr="008C3E81" w:rsidRDefault="00873407" w:rsidP="00E107EC">
      <w:pPr>
        <w:ind w:firstLine="720"/>
        <w:rPr>
          <w:rFonts w:eastAsiaTheme="minorEastAsia"/>
          <w:szCs w:val="24"/>
        </w:rPr>
      </w:pPr>
      <w:r w:rsidRPr="008C3E81">
        <w:rPr>
          <w:rFonts w:eastAsiaTheme="minorEastAsia"/>
          <w:szCs w:val="24"/>
        </w:rPr>
        <w:t xml:space="preserve">The dimensions of the computational domain around the </w:t>
      </w:r>
      <w:r w:rsidRPr="008C3E81">
        <w:rPr>
          <w:rFonts w:eastAsiaTheme="minorEastAsia"/>
          <w:noProof/>
          <w:szCs w:val="24"/>
        </w:rPr>
        <w:t>two-dimensional</w:t>
      </w:r>
      <w:r w:rsidRPr="008C3E81">
        <w:rPr>
          <w:rFonts w:eastAsiaTheme="minorEastAsia"/>
          <w:szCs w:val="24"/>
        </w:rPr>
        <w:t xml:space="preserve"> square cylinder </w:t>
      </w:r>
      <w:r w:rsidRPr="008C3E81">
        <w:rPr>
          <w:rFonts w:eastAsiaTheme="minorEastAsia"/>
          <w:noProof/>
          <w:szCs w:val="24"/>
        </w:rPr>
        <w:t>are</w:t>
      </w:r>
      <w:r>
        <w:rPr>
          <w:rFonts w:eastAsiaTheme="minorEastAsia"/>
          <w:szCs w:val="24"/>
        </w:rPr>
        <w:t xml:space="preserve"> shown in Fig. 1</w:t>
      </w:r>
      <w:r w:rsidRPr="008C3E81">
        <w:rPr>
          <w:rFonts w:eastAsiaTheme="minorEastAsia"/>
          <w:szCs w:val="24"/>
        </w:rPr>
        <w:t xml:space="preserve">. The uniform fluid stream is normal to the inlet boundary ‘AB’, </w:t>
      </w:r>
      <w:r w:rsidRPr="008C3E81">
        <w:rPr>
          <w:rFonts w:eastAsiaTheme="minorEastAsia"/>
          <w:noProof/>
          <w:szCs w:val="24"/>
        </w:rPr>
        <w:t>i.e.</w:t>
      </w:r>
      <w:r w:rsidRPr="008C3E81">
        <w:rPr>
          <w:rFonts w:eastAsiaTheme="minorEastAsia"/>
          <w:szCs w:val="24"/>
        </w:rPr>
        <w:t xml:space="preserve"> </w:t>
      </w:r>
      <w:r w:rsidRPr="008C3E81">
        <w:rPr>
          <w:rFonts w:eastAsiaTheme="minorEastAsia"/>
          <w:i/>
          <w:szCs w:val="24"/>
        </w:rPr>
        <w:t>x</w:t>
      </w:r>
      <w:r w:rsidRPr="008C3E81">
        <w:rPr>
          <w:rFonts w:eastAsiaTheme="minorEastAsia"/>
          <w:szCs w:val="24"/>
        </w:rPr>
        <w:t xml:space="preserve">-axis is parallel to the incoming velocity </w:t>
      </w:r>
      <w:r w:rsidRPr="008C3E81">
        <w:rPr>
          <w:rFonts w:eastAsiaTheme="minorEastAsia"/>
          <w:i/>
          <w:szCs w:val="24"/>
        </w:rPr>
        <w:t>U</w:t>
      </w:r>
      <w:r w:rsidRPr="008C3E81">
        <w:rPr>
          <w:rFonts w:eastAsiaTheme="minorEastAsia"/>
          <w:szCs w:val="24"/>
        </w:rPr>
        <w:t xml:space="preserve">. The origin (0, 0) of the coordinate system is positioned at the midpoint of the cylinder. The </w:t>
      </w:r>
      <w:r w:rsidRPr="008C3E81">
        <w:rPr>
          <w:rFonts w:eastAsiaTheme="minorEastAsia"/>
          <w:noProof/>
          <w:szCs w:val="24"/>
        </w:rPr>
        <w:t>boundaries</w:t>
      </w:r>
      <w:r w:rsidRPr="008C3E81">
        <w:rPr>
          <w:rFonts w:eastAsiaTheme="minorEastAsia"/>
          <w:szCs w:val="24"/>
        </w:rPr>
        <w:t xml:space="preserve"> ‘BC’ and ‘AD’ have zero shear stress and normal velocity. The outlet boundary ‘CD’ has a zero value of gauge pressure. The </w:t>
      </w:r>
      <w:r w:rsidRPr="008C3E81">
        <w:rPr>
          <w:rFonts w:eastAsiaTheme="minorEastAsia"/>
          <w:noProof/>
          <w:szCs w:val="24"/>
        </w:rPr>
        <w:t>no-slip</w:t>
      </w:r>
      <w:r w:rsidRPr="008C3E81">
        <w:rPr>
          <w:rFonts w:eastAsiaTheme="minorEastAsia"/>
          <w:szCs w:val="24"/>
        </w:rPr>
        <w:t xml:space="preserve"> (wall) condition is assigned on the cylinder (and plate) surface. The computational domain size is chosen as 31.5</w:t>
      </w:r>
      <w:r w:rsidRPr="0085313C">
        <w:rPr>
          <w:rFonts w:eastAsiaTheme="minorEastAsia"/>
          <w:szCs w:val="24"/>
        </w:rPr>
        <w:t>D</w:t>
      </w:r>
      <w:r w:rsidRPr="008C3E81">
        <w:rPr>
          <w:rFonts w:eastAsiaTheme="minorEastAsia"/>
          <w:szCs w:val="24"/>
        </w:rPr>
        <w:t xml:space="preserve"> × 21</w:t>
      </w:r>
      <w:r w:rsidRPr="0085313C">
        <w:rPr>
          <w:rFonts w:eastAsiaTheme="minorEastAsia"/>
          <w:szCs w:val="24"/>
        </w:rPr>
        <w:t>D</w:t>
      </w:r>
      <w:r w:rsidRPr="008C3E81">
        <w:rPr>
          <w:rFonts w:eastAsiaTheme="minorEastAsia"/>
          <w:szCs w:val="24"/>
        </w:rPr>
        <w:t xml:space="preserve"> </w:t>
      </w:r>
      <w:r w:rsidRPr="008C3E81">
        <w:rPr>
          <w:rFonts w:eastAsiaTheme="minorEastAsia"/>
          <w:szCs w:val="24"/>
        </w:rPr>
        <w:fldChar w:fldCharType="begin" w:fldLock="1"/>
      </w:r>
      <w:r w:rsidRPr="008C3E81">
        <w:rPr>
          <w:rFonts w:eastAsiaTheme="minorEastAsia"/>
          <w:szCs w:val="24"/>
        </w:rPr>
        <w:instrText>ADDIN CSL_CITATION {"citationItems":[{"id":"ITEM-1","itemData":{"DOI":"10.1016/j.ast.2016.03.007","ISSN":"12709638","abstract":"The effect of placing a wedge in the wake of a square cylinder (side length D) at a Reynolds number of 22,000 is numerically investigated. In particular, the effect of the wedge on aerodynamic noise is observed along with its effect on the flow field. Wedge base height (h) and its gap distance (G) downstream of the cylinder are systematically varied. Flow simulations are carried out using an unsteady RANS model employing the k-ω SST turbulence model, whereas the calculation of aerodynamic noise radiated from the flow is solved using Curle's equation. A special correction technique is applied to consider spanwise effects on noise production and validation is provided using new aeroacoustic data for a square cylinder in cross-flow. It is found that the flow behavior can be divided into two main regimes (regime I and regime II), with a linking transition regime. For regime I, the generated sound is lower than that of the isolated square cylinder case. The thinnest wedge produced the best sound reduction (11.79 dB) when the wedge is placed at G = 2D. For regime II, the calculated sound level is higher than the case of an isolated square cylinder. This is because the sound emitted from both bodies have about the same magnitude and are in phase. For this case, the maximum increase of sound pressure is 6.24 dB, when the medium wedge is at G = 2.5D.","author":[{"dropping-particle":"","family":"Samion","given":"Siti Ruhliah Lizarose","non-dropping-particle":"","parse-names":false,"suffix":""},{"dropping-particle":"","family":"Ali","given":"Mohamed Sukri Mat","non-dropping-particle":"","parse-names":false,"suffix":""},{"dropping-particle":"","family":"Abu","given":"Aminudin","non-dropping-particle":"","parse-names":false,"suffix":""},{"dropping-particle":"","family":"Doolan","given":"Con J.","non-dropping-particle":"","parse-names":false,"suffix":""},{"dropping-particle":"","family":"Porteous","given":"Ric Zong Yang","non-dropping-particle":"","parse-names":false,"suffix":""}],"container-title":"Aerospace Science and Technology","id":"ITEM-1","issued":{"date-parts":[["2016"]]},"page":"85-94","publisher":"Elsevier Masson SAS","title":"Aerodynamic sound from a square cylinder with a downstream wedge","type":"article-journal","volume":"53"},"uris":["http://www.mendeley.com/documents/?uuid=a9f800d7-568a-4e5f-8599-7444b3c29d76"]}],"mendeley":{"formattedCitation":"(Samion et al., 2016)","plainTextFormattedCitation":"(Samion et al., 2016)","previouslyFormattedCitation":"(Samion et al., 2016)"},"properties":{"noteIndex":0},"schema":"https://github.com/citation-style-language/schema/raw/master/csl-citation.json"}</w:instrText>
      </w:r>
      <w:r w:rsidRPr="008C3E81">
        <w:rPr>
          <w:rFonts w:eastAsiaTheme="minorEastAsia"/>
          <w:szCs w:val="24"/>
        </w:rPr>
        <w:fldChar w:fldCharType="separate"/>
      </w:r>
      <w:r w:rsidRPr="008C3E81">
        <w:rPr>
          <w:rFonts w:eastAsiaTheme="minorEastAsia"/>
          <w:noProof/>
          <w:szCs w:val="24"/>
        </w:rPr>
        <w:t>(Samion et al., 2016)</w:t>
      </w:r>
      <w:r w:rsidRPr="008C3E81">
        <w:rPr>
          <w:rFonts w:eastAsiaTheme="minorEastAsia"/>
          <w:szCs w:val="24"/>
        </w:rPr>
        <w:fldChar w:fldCharType="end"/>
      </w:r>
      <w:r w:rsidRPr="008C3E81">
        <w:rPr>
          <w:rFonts w:eastAsiaTheme="minorEastAsia"/>
          <w:szCs w:val="24"/>
        </w:rPr>
        <w:t xml:space="preserve">. </w:t>
      </w:r>
    </w:p>
    <w:p w:rsidR="00873407" w:rsidRPr="008C3E81" w:rsidRDefault="00873407" w:rsidP="00E107EC">
      <w:pPr>
        <w:rPr>
          <w:rFonts w:eastAsiaTheme="minorEastAsia"/>
          <w:szCs w:val="24"/>
        </w:rPr>
      </w:pPr>
    </w:p>
    <w:p w:rsidR="00873407" w:rsidRPr="008C3E81" w:rsidRDefault="00873407" w:rsidP="0085313C">
      <w:pPr>
        <w:ind w:firstLine="720"/>
        <w:jc w:val="center"/>
        <w:rPr>
          <w:rFonts w:eastAsiaTheme="minorEastAsia"/>
          <w:szCs w:val="24"/>
        </w:rPr>
      </w:pPr>
      <w:r w:rsidRPr="008C3E81">
        <w:rPr>
          <w:rFonts w:eastAsiaTheme="minorEastAsia"/>
          <w:noProof/>
          <w:szCs w:val="24"/>
          <w:lang w:val="en-IN" w:eastAsia="en-IN"/>
        </w:rPr>
        <w:lastRenderedPageBreak/>
        <w:drawing>
          <wp:inline distT="0" distB="0" distL="0" distR="0">
            <wp:extent cx="3456000" cy="1981437"/>
            <wp:effectExtent l="19050" t="0" r="0" b="0"/>
            <wp:docPr id="12" name="Picture 1" descr="G:\Journa Square Splitter PLate\domain\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Journa Square Splitter PLate\domain\Untitled.jpg"/>
                    <pic:cNvPicPr>
                      <a:picLocks noChangeAspect="1" noChangeArrowheads="1"/>
                    </pic:cNvPicPr>
                  </pic:nvPicPr>
                  <pic:blipFill>
                    <a:blip r:embed="rId8" cstate="print"/>
                    <a:srcRect/>
                    <a:stretch>
                      <a:fillRect/>
                    </a:stretch>
                  </pic:blipFill>
                  <pic:spPr bwMode="auto">
                    <a:xfrm>
                      <a:off x="0" y="0"/>
                      <a:ext cx="3456000" cy="1981437"/>
                    </a:xfrm>
                    <a:prstGeom prst="rect">
                      <a:avLst/>
                    </a:prstGeom>
                    <a:noFill/>
                    <a:ln w="9525">
                      <a:noFill/>
                      <a:miter lim="800000"/>
                      <a:headEnd/>
                      <a:tailEnd/>
                    </a:ln>
                  </pic:spPr>
                </pic:pic>
              </a:graphicData>
            </a:graphic>
          </wp:inline>
        </w:drawing>
      </w:r>
    </w:p>
    <w:p w:rsidR="00873407" w:rsidRPr="008C3E81" w:rsidRDefault="003B2F0A" w:rsidP="003B2F0A">
      <w:pPr>
        <w:pStyle w:val="Caption"/>
        <w:spacing w:after="0"/>
        <w:ind w:firstLine="0"/>
        <w:rPr>
          <w:i/>
          <w:szCs w:val="24"/>
        </w:rPr>
      </w:pPr>
      <w:bookmarkStart w:id="3" w:name="fig2"/>
      <w:r>
        <w:rPr>
          <w:szCs w:val="24"/>
        </w:rPr>
        <w:t>Fig.</w:t>
      </w:r>
      <w:r w:rsidR="00873407" w:rsidRPr="008C3E81">
        <w:rPr>
          <w:szCs w:val="24"/>
        </w:rPr>
        <w:t xml:space="preserve"> </w:t>
      </w:r>
      <w:r w:rsidR="00873407">
        <w:rPr>
          <w:szCs w:val="24"/>
        </w:rPr>
        <w:t>1</w:t>
      </w:r>
      <w:r w:rsidR="00873407" w:rsidRPr="008C3E81">
        <w:rPr>
          <w:szCs w:val="24"/>
        </w:rPr>
        <w:t>: Schematic diagram of the computational domain</w:t>
      </w:r>
      <w:bookmarkEnd w:id="3"/>
    </w:p>
    <w:p w:rsidR="00873407" w:rsidRPr="008C3E81" w:rsidRDefault="00873407" w:rsidP="00E107EC">
      <w:pPr>
        <w:ind w:firstLine="720"/>
        <w:rPr>
          <w:rFonts w:eastAsiaTheme="minorEastAsia"/>
          <w:szCs w:val="24"/>
        </w:rPr>
      </w:pPr>
    </w:p>
    <w:p w:rsidR="00873407" w:rsidRPr="008C3E81" w:rsidRDefault="00873407" w:rsidP="00E107EC">
      <w:pPr>
        <w:ind w:firstLine="720"/>
        <w:rPr>
          <w:rFonts w:eastAsiaTheme="minorEastAsia"/>
          <w:szCs w:val="24"/>
        </w:rPr>
      </w:pPr>
      <w:r w:rsidRPr="008C3E81">
        <w:rPr>
          <w:rFonts w:eastAsiaTheme="minorEastAsia"/>
          <w:szCs w:val="24"/>
        </w:rPr>
        <w:t xml:space="preserve">Structured O-grids with circumferential clustering in the vicinity of the </w:t>
      </w:r>
      <w:r w:rsidRPr="008C3E81">
        <w:rPr>
          <w:rFonts w:eastAsiaTheme="minorEastAsia"/>
          <w:noProof/>
          <w:szCs w:val="24"/>
        </w:rPr>
        <w:t>square</w:t>
      </w:r>
      <w:r w:rsidRPr="008C3E81">
        <w:rPr>
          <w:rFonts w:eastAsiaTheme="minorEastAsia"/>
          <w:szCs w:val="24"/>
        </w:rPr>
        <w:t xml:space="preserve"> cylinder are provided and the remaining computational domain </w:t>
      </w:r>
      <w:r w:rsidRPr="008C3E81">
        <w:rPr>
          <w:rFonts w:eastAsiaTheme="minorEastAsia"/>
          <w:noProof/>
          <w:szCs w:val="24"/>
        </w:rPr>
        <w:t>is meshed</w:t>
      </w:r>
      <w:r w:rsidRPr="008C3E81">
        <w:rPr>
          <w:rFonts w:eastAsiaTheme="minorEastAsia"/>
          <w:szCs w:val="24"/>
        </w:rPr>
        <w:t xml:space="preserve"> with fine unstructured triangular grid system</w:t>
      </w:r>
      <w:r>
        <w:rPr>
          <w:rFonts w:eastAsiaTheme="minorEastAsia"/>
          <w:szCs w:val="24"/>
        </w:rPr>
        <w:t xml:space="preserve"> (Fig. 2</w:t>
      </w:r>
      <w:r w:rsidRPr="008C3E81">
        <w:rPr>
          <w:rFonts w:eastAsiaTheme="minorEastAsia"/>
          <w:szCs w:val="24"/>
        </w:rPr>
        <w:t xml:space="preserve">). A near wall resolution of </w:t>
      </w:r>
      <w:r w:rsidRPr="008C3E81">
        <w:rPr>
          <w:rFonts w:eastAsiaTheme="minorEastAsia"/>
          <w:i/>
          <w:szCs w:val="24"/>
        </w:rPr>
        <w:t>y</w:t>
      </w:r>
      <w:r w:rsidRPr="008C3E81">
        <w:rPr>
          <w:rFonts w:eastAsiaTheme="minorEastAsia"/>
          <w:szCs w:val="24"/>
          <w:vertAlign w:val="superscript"/>
        </w:rPr>
        <w:t>+</w:t>
      </w:r>
      <w:r w:rsidRPr="008C3E81">
        <w:rPr>
          <w:rFonts w:eastAsiaTheme="minorEastAsia"/>
          <w:szCs w:val="24"/>
        </w:rPr>
        <w:t xml:space="preserve"> = 1 has been preserved near the cylinder surface for fully resolving the laminar sublayer. The number of O-grids in the radial direction is 20, and the first cell distance from the cylinder surface is 7.1 × 10</w:t>
      </w:r>
      <w:r w:rsidRPr="008C3E81">
        <w:rPr>
          <w:rFonts w:eastAsiaTheme="minorEastAsia"/>
          <w:szCs w:val="24"/>
          <w:vertAlign w:val="superscript"/>
        </w:rPr>
        <w:t>-6</w:t>
      </w:r>
      <w:r w:rsidRPr="008C3E81">
        <w:rPr>
          <w:rFonts w:eastAsiaTheme="minorEastAsia"/>
          <w:szCs w:val="24"/>
        </w:rPr>
        <w:t xml:space="preserve"> m with a growth ratio of 1.2. Along the peripheral surface of the </w:t>
      </w:r>
      <w:r w:rsidRPr="008C3E81">
        <w:rPr>
          <w:rFonts w:eastAsiaTheme="minorEastAsia"/>
          <w:noProof/>
          <w:szCs w:val="24"/>
        </w:rPr>
        <w:t>cylinder</w:t>
      </w:r>
      <w:r w:rsidRPr="008C3E81">
        <w:rPr>
          <w:rFonts w:eastAsiaTheme="minorEastAsia"/>
          <w:szCs w:val="24"/>
        </w:rPr>
        <w:t>, the cells are being spaced equally at 0.02</w:t>
      </w:r>
      <w:r w:rsidRPr="0085313C">
        <w:rPr>
          <w:rFonts w:eastAsiaTheme="minorEastAsia"/>
          <w:szCs w:val="24"/>
        </w:rPr>
        <w:t>D</w:t>
      </w:r>
      <w:r w:rsidRPr="008C3E81">
        <w:rPr>
          <w:rFonts w:eastAsiaTheme="minorEastAsia"/>
          <w:szCs w:val="24"/>
        </w:rPr>
        <w:t xml:space="preserve"> (= Δ</w:t>
      </w:r>
      <w:r w:rsidRPr="008C3E81">
        <w:rPr>
          <w:rFonts w:eastAsiaTheme="minorEastAsia"/>
          <w:i/>
          <w:szCs w:val="24"/>
        </w:rPr>
        <w:t>s</w:t>
      </w:r>
      <w:r w:rsidRPr="008C3E81">
        <w:rPr>
          <w:rFonts w:eastAsiaTheme="minorEastAsia"/>
          <w:szCs w:val="24"/>
        </w:rPr>
        <w:t xml:space="preserve">) apart. </w:t>
      </w:r>
    </w:p>
    <w:p w:rsidR="00873407" w:rsidRPr="008C3E81" w:rsidRDefault="00873407" w:rsidP="00E107EC">
      <w:pPr>
        <w:rPr>
          <w:rFonts w:eastAsiaTheme="minorEastAsia"/>
          <w:szCs w:val="24"/>
        </w:rPr>
      </w:pPr>
    </w:p>
    <w:p w:rsidR="00873407" w:rsidRPr="008C3E81" w:rsidRDefault="00873407" w:rsidP="00133706">
      <w:pPr>
        <w:jc w:val="center"/>
        <w:rPr>
          <w:szCs w:val="24"/>
        </w:rPr>
      </w:pPr>
      <w:r w:rsidRPr="008C3E81">
        <w:rPr>
          <w:noProof/>
          <w:szCs w:val="24"/>
          <w:lang w:val="en-IN" w:eastAsia="en-IN"/>
        </w:rPr>
        <w:drawing>
          <wp:inline distT="0" distB="0" distL="0" distR="0">
            <wp:extent cx="3384000" cy="2248976"/>
            <wp:effectExtent l="19050" t="0" r="6900" b="0"/>
            <wp:docPr id="1" name="Picture 7" descr="C:\Users\Karthik K\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rthik K\Downloads\2.png"/>
                    <pic:cNvPicPr>
                      <a:picLocks noChangeAspect="1" noChangeArrowheads="1"/>
                    </pic:cNvPicPr>
                  </pic:nvPicPr>
                  <pic:blipFill>
                    <a:blip r:embed="rId9" cstate="print"/>
                    <a:srcRect/>
                    <a:stretch>
                      <a:fillRect/>
                    </a:stretch>
                  </pic:blipFill>
                  <pic:spPr bwMode="auto">
                    <a:xfrm>
                      <a:off x="0" y="0"/>
                      <a:ext cx="3384000" cy="2248976"/>
                    </a:xfrm>
                    <a:prstGeom prst="rect">
                      <a:avLst/>
                    </a:prstGeom>
                    <a:noFill/>
                    <a:ln w="9525">
                      <a:noFill/>
                      <a:miter lim="800000"/>
                      <a:headEnd/>
                      <a:tailEnd/>
                    </a:ln>
                  </pic:spPr>
                </pic:pic>
              </a:graphicData>
            </a:graphic>
          </wp:inline>
        </w:drawing>
      </w:r>
      <w:r w:rsidRPr="008C3E81">
        <w:rPr>
          <w:noProof/>
          <w:szCs w:val="24"/>
          <w:lang w:val="en-IN" w:eastAsia="en-IN"/>
        </w:rPr>
        <w:drawing>
          <wp:inline distT="0" distB="0" distL="0" distR="0">
            <wp:extent cx="2041425" cy="2250000"/>
            <wp:effectExtent l="19050" t="0" r="0" b="0"/>
            <wp:docPr id="2" name="Picture 6" descr="C:\Users\Karthik K\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rthik K\Downloads\1.png"/>
                    <pic:cNvPicPr>
                      <a:picLocks noChangeAspect="1" noChangeArrowheads="1"/>
                    </pic:cNvPicPr>
                  </pic:nvPicPr>
                  <pic:blipFill>
                    <a:blip r:embed="rId10" cstate="print"/>
                    <a:srcRect/>
                    <a:stretch>
                      <a:fillRect/>
                    </a:stretch>
                  </pic:blipFill>
                  <pic:spPr bwMode="auto">
                    <a:xfrm>
                      <a:off x="0" y="0"/>
                      <a:ext cx="2041425" cy="2250000"/>
                    </a:xfrm>
                    <a:prstGeom prst="rect">
                      <a:avLst/>
                    </a:prstGeom>
                    <a:noFill/>
                    <a:ln w="9525">
                      <a:noFill/>
                      <a:miter lim="800000"/>
                      <a:headEnd/>
                      <a:tailEnd/>
                    </a:ln>
                  </pic:spPr>
                </pic:pic>
              </a:graphicData>
            </a:graphic>
          </wp:inline>
        </w:drawing>
      </w:r>
    </w:p>
    <w:p w:rsidR="00873407" w:rsidRPr="008C3E81" w:rsidRDefault="00873407" w:rsidP="00E107EC">
      <w:pPr>
        <w:ind w:firstLine="720"/>
        <w:rPr>
          <w:szCs w:val="24"/>
        </w:rPr>
      </w:pPr>
      <w:r w:rsidRPr="008C3E81">
        <w:rPr>
          <w:szCs w:val="24"/>
        </w:rPr>
        <w:t xml:space="preserve">      </w:t>
      </w:r>
      <w:r w:rsidRPr="008C3E81">
        <w:rPr>
          <w:szCs w:val="24"/>
        </w:rPr>
        <w:tab/>
      </w:r>
      <w:r w:rsidRPr="008C3E81">
        <w:rPr>
          <w:szCs w:val="24"/>
        </w:rPr>
        <w:tab/>
      </w:r>
      <w:r w:rsidRPr="008C3E81">
        <w:rPr>
          <w:szCs w:val="24"/>
        </w:rPr>
        <w:tab/>
      </w:r>
      <w:r w:rsidR="00133706">
        <w:rPr>
          <w:szCs w:val="24"/>
        </w:rPr>
        <w:tab/>
      </w:r>
      <w:r w:rsidR="00133706">
        <w:rPr>
          <w:szCs w:val="24"/>
        </w:rPr>
        <w:tab/>
        <w:t>(a)</w:t>
      </w:r>
      <w:r w:rsidR="00133706">
        <w:rPr>
          <w:szCs w:val="24"/>
        </w:rPr>
        <w:tab/>
      </w:r>
      <w:r w:rsidR="00133706">
        <w:rPr>
          <w:szCs w:val="24"/>
        </w:rPr>
        <w:tab/>
      </w:r>
      <w:r w:rsidR="00133706">
        <w:rPr>
          <w:szCs w:val="24"/>
        </w:rPr>
        <w:tab/>
      </w:r>
      <w:r w:rsidR="00133706">
        <w:rPr>
          <w:szCs w:val="24"/>
        </w:rPr>
        <w:tab/>
      </w:r>
      <w:r w:rsidR="00133706">
        <w:rPr>
          <w:szCs w:val="24"/>
        </w:rPr>
        <w:tab/>
        <w:t xml:space="preserve">   </w:t>
      </w:r>
      <w:r w:rsidR="00133706">
        <w:rPr>
          <w:szCs w:val="24"/>
        </w:rPr>
        <w:tab/>
        <w:t xml:space="preserve">   </w:t>
      </w:r>
      <w:r w:rsidR="00133706">
        <w:rPr>
          <w:szCs w:val="24"/>
        </w:rPr>
        <w:tab/>
      </w:r>
      <w:r w:rsidRPr="008C3E81">
        <w:rPr>
          <w:szCs w:val="24"/>
        </w:rPr>
        <w:t xml:space="preserve">  (b)</w:t>
      </w:r>
    </w:p>
    <w:p w:rsidR="00873407" w:rsidRPr="008C3E81" w:rsidRDefault="003B2F0A" w:rsidP="003B2F0A">
      <w:pPr>
        <w:ind w:firstLine="0"/>
        <w:jc w:val="center"/>
        <w:rPr>
          <w:szCs w:val="24"/>
        </w:rPr>
      </w:pPr>
      <w:r>
        <w:rPr>
          <w:szCs w:val="24"/>
        </w:rPr>
        <w:t>Fig.</w:t>
      </w:r>
      <w:r w:rsidR="00873407">
        <w:rPr>
          <w:szCs w:val="24"/>
        </w:rPr>
        <w:t xml:space="preserve"> 2</w:t>
      </w:r>
      <w:r w:rsidR="00873407" w:rsidRPr="008C3E81">
        <w:rPr>
          <w:szCs w:val="24"/>
        </w:rPr>
        <w:t>: Computational mesh. (a) full view (b) near view.</w:t>
      </w:r>
    </w:p>
    <w:p w:rsidR="00873407" w:rsidRPr="008C3E81" w:rsidRDefault="00873407" w:rsidP="00E107EC">
      <w:pPr>
        <w:rPr>
          <w:rFonts w:eastAsiaTheme="minorEastAsia"/>
          <w:b/>
          <w:szCs w:val="24"/>
        </w:rPr>
      </w:pPr>
    </w:p>
    <w:p w:rsidR="00873407" w:rsidRPr="004F4082" w:rsidRDefault="00873407" w:rsidP="0085313C">
      <w:pPr>
        <w:ind w:firstLine="0"/>
        <w:rPr>
          <w:rFonts w:ascii="Arial" w:eastAsiaTheme="minorEastAsia" w:hAnsi="Arial" w:cs="Arial"/>
          <w:b/>
          <w:szCs w:val="24"/>
        </w:rPr>
      </w:pPr>
      <w:r w:rsidRPr="004F4082">
        <w:rPr>
          <w:rFonts w:ascii="Arial" w:eastAsiaTheme="minorEastAsia" w:hAnsi="Arial" w:cs="Arial"/>
          <w:b/>
          <w:szCs w:val="24"/>
        </w:rPr>
        <w:t>4.2 Aerodynamic and aeroacoustic results</w:t>
      </w:r>
    </w:p>
    <w:p w:rsidR="00873407" w:rsidRDefault="00873407" w:rsidP="00E107EC">
      <w:pPr>
        <w:ind w:firstLine="720"/>
        <w:rPr>
          <w:rFonts w:eastAsiaTheme="minorEastAsia"/>
          <w:szCs w:val="24"/>
        </w:rPr>
      </w:pPr>
      <w:r w:rsidRPr="008C3E81">
        <w:rPr>
          <w:szCs w:val="24"/>
        </w:rPr>
        <w:t xml:space="preserve">For numerical </w:t>
      </w:r>
      <w:r w:rsidRPr="008C3E81">
        <w:rPr>
          <w:noProof/>
          <w:szCs w:val="24"/>
        </w:rPr>
        <w:t xml:space="preserve">calculations, </w:t>
      </w:r>
      <w:r w:rsidRPr="008C3E81">
        <w:rPr>
          <w:szCs w:val="24"/>
        </w:rPr>
        <w:t xml:space="preserve">the turbulent </w:t>
      </w:r>
      <w:r w:rsidRPr="008C3E81">
        <w:rPr>
          <w:noProof/>
          <w:szCs w:val="24"/>
        </w:rPr>
        <w:t>airflow</w:t>
      </w:r>
      <w:r w:rsidRPr="008C3E81">
        <w:rPr>
          <w:szCs w:val="24"/>
        </w:rPr>
        <w:t xml:space="preserve"> stream should attain a statistically steady state and this takes place at approximately 0.1 s. In all computations, the entire simulation time is 1.1 s and the final </w:t>
      </w:r>
      <w:r>
        <w:rPr>
          <w:szCs w:val="24"/>
        </w:rPr>
        <w:t>0.9</w:t>
      </w:r>
      <w:r w:rsidRPr="008C3E81">
        <w:rPr>
          <w:szCs w:val="24"/>
        </w:rPr>
        <w:t xml:space="preserve"> s (i.e. from 0.</w:t>
      </w:r>
      <w:r>
        <w:rPr>
          <w:szCs w:val="24"/>
        </w:rPr>
        <w:t>2</w:t>
      </w:r>
      <w:r w:rsidRPr="008C3E81">
        <w:rPr>
          <w:szCs w:val="24"/>
        </w:rPr>
        <w:t xml:space="preserve"> s to 1.1 s) of time history data </w:t>
      </w:r>
      <w:r w:rsidRPr="008C3E81">
        <w:rPr>
          <w:noProof/>
          <w:szCs w:val="24"/>
        </w:rPr>
        <w:t>is</w:t>
      </w:r>
      <w:r w:rsidRPr="008C3E81">
        <w:rPr>
          <w:szCs w:val="24"/>
        </w:rPr>
        <w:t xml:space="preserve"> used in calculating the aerodynamic and acoustic results. In other words, flow sampling occurred over a non-dimensional time of </w:t>
      </w:r>
      <w:r w:rsidRPr="008C3E81">
        <w:rPr>
          <w:i/>
          <w:szCs w:val="24"/>
        </w:rPr>
        <w:t>tU</w:t>
      </w:r>
      <w:r w:rsidRPr="008C3E81">
        <w:rPr>
          <w:szCs w:val="24"/>
        </w:rPr>
        <w:t>/</w:t>
      </w:r>
      <w:r w:rsidRPr="008C3E81">
        <w:rPr>
          <w:i/>
          <w:szCs w:val="24"/>
        </w:rPr>
        <w:t>D</w:t>
      </w:r>
      <w:r w:rsidRPr="008C3E81">
        <w:rPr>
          <w:szCs w:val="24"/>
        </w:rPr>
        <w:t xml:space="preserve"> = </w:t>
      </w:r>
      <w:r>
        <w:rPr>
          <w:szCs w:val="24"/>
        </w:rPr>
        <w:t>2812</w:t>
      </w:r>
      <w:r w:rsidRPr="008C3E81">
        <w:rPr>
          <w:szCs w:val="24"/>
        </w:rPr>
        <w:t xml:space="preserve">, which equates to approximately </w:t>
      </w:r>
      <w:r>
        <w:rPr>
          <w:szCs w:val="24"/>
        </w:rPr>
        <w:t>331</w:t>
      </w:r>
      <w:r w:rsidRPr="008C3E81">
        <w:rPr>
          <w:szCs w:val="24"/>
        </w:rPr>
        <w:t xml:space="preserve"> vortex-shedding cycles. </w:t>
      </w:r>
      <w:r w:rsidRPr="008C3E81">
        <w:rPr>
          <w:rFonts w:eastAsiaTheme="minorEastAsia"/>
          <w:szCs w:val="24"/>
        </w:rPr>
        <w:t>The precision of the SPL calculations primarily relies on the accuracy of the aerodynamic solution. To validate this solution, the mean aerodynamic drag coefficient (</w:t>
      </w:r>
      <w:r w:rsidRPr="008C3E81">
        <w:rPr>
          <w:rFonts w:eastAsiaTheme="minorEastAsia"/>
          <w:i/>
          <w:szCs w:val="24"/>
        </w:rPr>
        <w:t>C</w:t>
      </w:r>
      <w:r w:rsidRPr="008C3E81">
        <w:rPr>
          <w:rFonts w:eastAsiaTheme="minorEastAsia"/>
          <w:i/>
          <w:szCs w:val="24"/>
          <w:vertAlign w:val="subscript"/>
        </w:rPr>
        <w:t>D</w:t>
      </w:r>
      <w:r w:rsidRPr="008C3E81">
        <w:rPr>
          <w:rFonts w:eastAsiaTheme="minorEastAsia"/>
          <w:i/>
          <w:noProof/>
          <w:szCs w:val="24"/>
          <w:vertAlign w:val="subscript"/>
        </w:rPr>
        <w:t>,mean</w:t>
      </w:r>
      <w:r w:rsidRPr="008C3E81">
        <w:rPr>
          <w:rFonts w:eastAsiaTheme="minorEastAsia"/>
          <w:szCs w:val="24"/>
        </w:rPr>
        <w:t xml:space="preserve">), </w:t>
      </w:r>
      <w:r w:rsidRPr="008C3E81">
        <w:rPr>
          <w:rFonts w:eastAsiaTheme="minorEastAsia"/>
          <w:noProof/>
          <w:szCs w:val="24"/>
        </w:rPr>
        <w:t>rms</w:t>
      </w:r>
      <w:r w:rsidRPr="008C3E81">
        <w:rPr>
          <w:rFonts w:eastAsiaTheme="minorEastAsia"/>
          <w:szCs w:val="24"/>
        </w:rPr>
        <w:t xml:space="preserve"> lift coefficient (</w:t>
      </w:r>
      <w:r w:rsidRPr="008C3E81">
        <w:rPr>
          <w:rFonts w:eastAsiaTheme="minorEastAsia"/>
          <w:i/>
          <w:szCs w:val="24"/>
        </w:rPr>
        <w:t>C</w:t>
      </w:r>
      <w:r w:rsidRPr="008C3E81">
        <w:rPr>
          <w:rFonts w:eastAsiaTheme="minorEastAsia"/>
          <w:i/>
          <w:szCs w:val="24"/>
          <w:vertAlign w:val="subscript"/>
        </w:rPr>
        <w:t>L,</w:t>
      </w:r>
      <w:r w:rsidRPr="008C3E81">
        <w:rPr>
          <w:rFonts w:eastAsiaTheme="minorEastAsia"/>
          <w:i/>
          <w:noProof/>
          <w:szCs w:val="24"/>
          <w:vertAlign w:val="subscript"/>
        </w:rPr>
        <w:t>rms</w:t>
      </w:r>
      <w:r w:rsidRPr="008C3E81">
        <w:rPr>
          <w:rFonts w:eastAsiaTheme="minorEastAsia"/>
          <w:szCs w:val="24"/>
        </w:rPr>
        <w:t>) and Strouhal number (</w:t>
      </w:r>
      <w:r w:rsidRPr="008C3E81">
        <w:rPr>
          <w:rFonts w:eastAsiaTheme="minorEastAsia"/>
          <w:i/>
          <w:szCs w:val="24"/>
        </w:rPr>
        <w:t>St</w:t>
      </w:r>
      <w:r w:rsidRPr="008C3E81">
        <w:rPr>
          <w:rFonts w:eastAsiaTheme="minorEastAsia"/>
          <w:szCs w:val="24"/>
        </w:rPr>
        <w:t xml:space="preserve">) corresponding to the dominant vortex shedding frequency, computed numerically, are compared with previous studies (Table </w:t>
      </w:r>
      <w:r>
        <w:rPr>
          <w:rFonts w:eastAsiaTheme="minorEastAsia"/>
          <w:szCs w:val="24"/>
        </w:rPr>
        <w:t>1</w:t>
      </w:r>
      <w:r w:rsidRPr="008C3E81">
        <w:rPr>
          <w:rFonts w:eastAsiaTheme="minorEastAsia"/>
          <w:szCs w:val="24"/>
        </w:rPr>
        <w:t xml:space="preserve">). The aerodynamic forces on the cylinder consist of two main parts: pressure and shear force acting in directions normal and tangential to the cylinder surface, respectively. The pressure and shear forces exerting on the cylinder surface are integrated, and resolved in the </w:t>
      </w:r>
      <w:r w:rsidRPr="008C3E81">
        <w:rPr>
          <w:rFonts w:eastAsiaTheme="minorEastAsia"/>
          <w:i/>
          <w:szCs w:val="24"/>
        </w:rPr>
        <w:t>x</w:t>
      </w:r>
      <w:r w:rsidRPr="008C3E81">
        <w:rPr>
          <w:rFonts w:eastAsiaTheme="minorEastAsia"/>
          <w:szCs w:val="24"/>
        </w:rPr>
        <w:t xml:space="preserve">- </w:t>
      </w:r>
      <w:r w:rsidRPr="008C3E81">
        <w:rPr>
          <w:rFonts w:eastAsiaTheme="minorEastAsia"/>
          <w:noProof/>
          <w:szCs w:val="24"/>
        </w:rPr>
        <w:t xml:space="preserve">and </w:t>
      </w:r>
      <w:r w:rsidRPr="008C3E81">
        <w:rPr>
          <w:rFonts w:eastAsiaTheme="minorEastAsia"/>
          <w:i/>
          <w:noProof/>
          <w:szCs w:val="24"/>
        </w:rPr>
        <w:t>y</w:t>
      </w:r>
      <w:r w:rsidRPr="008C3E81">
        <w:rPr>
          <w:rFonts w:eastAsiaTheme="minorEastAsia"/>
          <w:szCs w:val="24"/>
        </w:rPr>
        <w:t xml:space="preserve">- directions to obtain the drag and lift forces, respectively. The </w:t>
      </w:r>
      <w:r w:rsidRPr="008C3E81">
        <w:rPr>
          <w:rFonts w:eastAsiaTheme="minorEastAsia"/>
          <w:i/>
          <w:szCs w:val="24"/>
        </w:rPr>
        <w:t>C</w:t>
      </w:r>
      <w:r w:rsidRPr="008C3E81">
        <w:rPr>
          <w:rFonts w:eastAsiaTheme="minorEastAsia"/>
          <w:i/>
          <w:szCs w:val="24"/>
          <w:vertAlign w:val="subscript"/>
        </w:rPr>
        <w:t>D</w:t>
      </w:r>
      <w:r w:rsidRPr="008C3E81">
        <w:rPr>
          <w:rFonts w:eastAsiaTheme="minorEastAsia"/>
          <w:i/>
          <w:noProof/>
          <w:szCs w:val="24"/>
          <w:vertAlign w:val="subscript"/>
        </w:rPr>
        <w:t>,mean</w:t>
      </w:r>
      <w:r w:rsidRPr="008C3E81">
        <w:rPr>
          <w:rFonts w:eastAsiaTheme="minorEastAsia"/>
          <w:szCs w:val="24"/>
        </w:rPr>
        <w:t xml:space="preserve">, </w:t>
      </w:r>
      <w:r w:rsidRPr="008C3E81">
        <w:rPr>
          <w:rFonts w:eastAsiaTheme="minorEastAsia"/>
          <w:i/>
          <w:szCs w:val="24"/>
        </w:rPr>
        <w:t>C</w:t>
      </w:r>
      <w:r w:rsidRPr="008C3E81">
        <w:rPr>
          <w:rFonts w:eastAsiaTheme="minorEastAsia"/>
          <w:i/>
          <w:szCs w:val="24"/>
          <w:vertAlign w:val="subscript"/>
        </w:rPr>
        <w:t>L,</w:t>
      </w:r>
      <w:r w:rsidRPr="008C3E81">
        <w:rPr>
          <w:rFonts w:eastAsiaTheme="minorEastAsia"/>
          <w:i/>
          <w:noProof/>
          <w:szCs w:val="24"/>
          <w:vertAlign w:val="subscript"/>
        </w:rPr>
        <w:t>rms</w:t>
      </w:r>
      <w:r w:rsidRPr="008C3E81">
        <w:rPr>
          <w:rFonts w:eastAsiaTheme="minorEastAsia"/>
          <w:szCs w:val="24"/>
        </w:rPr>
        <w:t xml:space="preserve"> and </w:t>
      </w:r>
      <w:r w:rsidRPr="008C3E81">
        <w:rPr>
          <w:rFonts w:eastAsiaTheme="minorEastAsia"/>
          <w:i/>
          <w:szCs w:val="24"/>
        </w:rPr>
        <w:t>St</w:t>
      </w:r>
      <w:r w:rsidRPr="008C3E81">
        <w:rPr>
          <w:rFonts w:eastAsiaTheme="minorEastAsia"/>
          <w:szCs w:val="24"/>
        </w:rPr>
        <w:t xml:space="preserve"> of the cylinder obtained from simulations are in good agreement with the previous </w:t>
      </w:r>
      <w:r w:rsidRPr="008C3E81">
        <w:rPr>
          <w:rFonts w:eastAsiaTheme="minorEastAsia"/>
          <w:szCs w:val="24"/>
        </w:rPr>
        <w:lastRenderedPageBreak/>
        <w:t xml:space="preserve">studies. The </w:t>
      </w:r>
      <w:r w:rsidRPr="008C3E81">
        <w:rPr>
          <w:rFonts w:eastAsiaTheme="minorEastAsia"/>
          <w:i/>
          <w:szCs w:val="24"/>
        </w:rPr>
        <w:t>St</w:t>
      </w:r>
      <w:r w:rsidRPr="008C3E81">
        <w:rPr>
          <w:rFonts w:eastAsiaTheme="minorEastAsia"/>
          <w:szCs w:val="24"/>
        </w:rPr>
        <w:t xml:space="preserve"> corresponding to the dominant vortex shedding frequency is computed by fast Fourier transform (FFT) of the lift force time history (Fig. </w:t>
      </w:r>
      <w:r>
        <w:rPr>
          <w:rFonts w:eastAsiaTheme="minorEastAsia"/>
          <w:szCs w:val="24"/>
        </w:rPr>
        <w:t>3</w:t>
      </w:r>
      <w:r w:rsidRPr="008C3E81">
        <w:rPr>
          <w:rFonts w:eastAsiaTheme="minorEastAsia"/>
          <w:szCs w:val="24"/>
        </w:rPr>
        <w:t>).</w:t>
      </w:r>
    </w:p>
    <w:p w:rsidR="00873407" w:rsidRPr="008C3E81" w:rsidRDefault="00873407" w:rsidP="00E107EC">
      <w:pPr>
        <w:ind w:firstLine="720"/>
        <w:rPr>
          <w:rFonts w:eastAsiaTheme="minorEastAsia"/>
          <w:szCs w:val="24"/>
        </w:rPr>
      </w:pPr>
    </w:p>
    <w:p w:rsidR="00873407" w:rsidRPr="00133706" w:rsidRDefault="00873407" w:rsidP="003B2F0A">
      <w:pPr>
        <w:pStyle w:val="NoSpacing"/>
        <w:jc w:val="center"/>
        <w:rPr>
          <w:rStyle w:val="IntenseEmphasis"/>
          <w:rFonts w:ascii="Times New Roman" w:hAnsi="Times New Roman" w:cs="Times New Roman"/>
          <w:i w:val="0"/>
          <w:color w:val="auto"/>
          <w:sz w:val="24"/>
          <w:szCs w:val="24"/>
        </w:rPr>
      </w:pPr>
      <w:r w:rsidRPr="00133706">
        <w:rPr>
          <w:rStyle w:val="IntenseEmphasis"/>
          <w:rFonts w:ascii="Times New Roman" w:hAnsi="Times New Roman" w:cs="Times New Roman"/>
          <w:i w:val="0"/>
          <w:color w:val="auto"/>
          <w:sz w:val="24"/>
          <w:szCs w:val="24"/>
        </w:rPr>
        <w:t>Table 1: Comparison of the numerical solution with literature.</w:t>
      </w:r>
    </w:p>
    <w:p w:rsidR="00873407" w:rsidRPr="008C3E81" w:rsidRDefault="00873407" w:rsidP="00E107EC">
      <w:pPr>
        <w:pStyle w:val="NoSpacing"/>
        <w:jc w:val="both"/>
        <w:rPr>
          <w:rStyle w:val="IntenseEmphasis"/>
          <w:rFonts w:ascii="Times New Roman" w:hAnsi="Times New Roman" w:cs="Times New Roman"/>
          <w:i w:val="0"/>
          <w:color w:val="auto"/>
          <w:sz w:val="24"/>
          <w:szCs w:val="24"/>
        </w:rPr>
      </w:pPr>
    </w:p>
    <w:tbl>
      <w:tblPr>
        <w:tblStyle w:val="TableGrid"/>
        <w:tblW w:w="0" w:type="auto"/>
        <w:jc w:val="center"/>
        <w:tblLook w:val="04A0"/>
      </w:tblPr>
      <w:tblGrid>
        <w:gridCol w:w="3126"/>
        <w:gridCol w:w="897"/>
        <w:gridCol w:w="763"/>
        <w:gridCol w:w="756"/>
      </w:tblGrid>
      <w:tr w:rsidR="00873407" w:rsidRPr="008C3E81" w:rsidTr="00DB3673">
        <w:trPr>
          <w:trHeight w:val="260"/>
          <w:jc w:val="center"/>
        </w:trPr>
        <w:tc>
          <w:tcPr>
            <w:tcW w:w="0" w:type="auto"/>
            <w:noWrap/>
            <w:vAlign w:val="center"/>
            <w:hideMark/>
          </w:tcPr>
          <w:p w:rsidR="00873407" w:rsidRPr="008C3E81" w:rsidRDefault="00873407" w:rsidP="00E107EC">
            <w:pPr>
              <w:pStyle w:val="NoSpacing"/>
              <w:jc w:val="center"/>
              <w:rPr>
                <w:rFonts w:ascii="Times New Roman" w:hAnsi="Times New Roman" w:cs="Times New Roman"/>
                <w:b/>
                <w:sz w:val="24"/>
                <w:szCs w:val="24"/>
              </w:rPr>
            </w:pPr>
            <w:r w:rsidRPr="008C3E81">
              <w:rPr>
                <w:rFonts w:ascii="Times New Roman" w:hAnsi="Times New Roman" w:cs="Times New Roman"/>
                <w:b/>
                <w:sz w:val="24"/>
                <w:szCs w:val="24"/>
              </w:rPr>
              <w:t>Method (Author)</w:t>
            </w:r>
          </w:p>
        </w:tc>
        <w:tc>
          <w:tcPr>
            <w:tcW w:w="0" w:type="auto"/>
            <w:noWrap/>
            <w:vAlign w:val="center"/>
            <w:hideMark/>
          </w:tcPr>
          <w:p w:rsidR="00873407" w:rsidRPr="008C3E81" w:rsidRDefault="00873407" w:rsidP="00E107EC">
            <w:pPr>
              <w:pStyle w:val="NoSpacing"/>
              <w:jc w:val="center"/>
              <w:rPr>
                <w:rFonts w:ascii="Times New Roman" w:hAnsi="Times New Roman" w:cs="Times New Roman"/>
                <w:b/>
                <w:i/>
                <w:sz w:val="24"/>
                <w:szCs w:val="24"/>
              </w:rPr>
            </w:pPr>
            <w:r w:rsidRPr="008C3E81">
              <w:rPr>
                <w:rFonts w:ascii="Times New Roman" w:hAnsi="Times New Roman" w:cs="Times New Roman"/>
                <w:b/>
                <w:i/>
                <w:sz w:val="24"/>
                <w:szCs w:val="24"/>
              </w:rPr>
              <w:t>C</w:t>
            </w:r>
            <w:r w:rsidRPr="008C3E81">
              <w:rPr>
                <w:rFonts w:ascii="Times New Roman" w:hAnsi="Times New Roman" w:cs="Times New Roman"/>
                <w:b/>
                <w:i/>
                <w:sz w:val="24"/>
                <w:szCs w:val="24"/>
                <w:vertAlign w:val="subscript"/>
              </w:rPr>
              <w:t>D,mean</w:t>
            </w:r>
          </w:p>
        </w:tc>
        <w:tc>
          <w:tcPr>
            <w:tcW w:w="0" w:type="auto"/>
            <w:vAlign w:val="center"/>
            <w:hideMark/>
          </w:tcPr>
          <w:p w:rsidR="00873407" w:rsidRPr="008C3E81" w:rsidRDefault="00873407" w:rsidP="00E107EC">
            <w:pPr>
              <w:pStyle w:val="NoSpacing"/>
              <w:jc w:val="center"/>
              <w:rPr>
                <w:rFonts w:ascii="Times New Roman" w:hAnsi="Times New Roman" w:cs="Times New Roman"/>
                <w:b/>
                <w:i/>
                <w:sz w:val="24"/>
                <w:szCs w:val="24"/>
                <w:vertAlign w:val="subscript"/>
              </w:rPr>
            </w:pPr>
            <w:r w:rsidRPr="008C3E81">
              <w:rPr>
                <w:rFonts w:ascii="Times New Roman" w:hAnsi="Times New Roman" w:cs="Times New Roman"/>
                <w:b/>
                <w:i/>
                <w:sz w:val="24"/>
                <w:szCs w:val="24"/>
              </w:rPr>
              <w:t>C</w:t>
            </w:r>
            <w:r w:rsidRPr="008C3E81">
              <w:rPr>
                <w:rFonts w:ascii="Times New Roman" w:hAnsi="Times New Roman" w:cs="Times New Roman"/>
                <w:b/>
                <w:i/>
                <w:sz w:val="24"/>
                <w:szCs w:val="24"/>
                <w:vertAlign w:val="subscript"/>
              </w:rPr>
              <w:t>L,</w:t>
            </w:r>
            <w:r w:rsidRPr="008C3E81">
              <w:rPr>
                <w:rFonts w:ascii="Times New Roman" w:hAnsi="Times New Roman" w:cs="Times New Roman"/>
                <w:b/>
                <w:i/>
                <w:noProof/>
                <w:sz w:val="24"/>
                <w:szCs w:val="24"/>
                <w:vertAlign w:val="subscript"/>
              </w:rPr>
              <w:t>rms</w:t>
            </w:r>
          </w:p>
        </w:tc>
        <w:tc>
          <w:tcPr>
            <w:tcW w:w="0" w:type="auto"/>
            <w:vAlign w:val="center"/>
            <w:hideMark/>
          </w:tcPr>
          <w:p w:rsidR="00873407" w:rsidRPr="008C3E81" w:rsidRDefault="00873407" w:rsidP="00E107EC">
            <w:pPr>
              <w:pStyle w:val="NoSpacing"/>
              <w:jc w:val="center"/>
              <w:rPr>
                <w:rFonts w:ascii="Times New Roman" w:hAnsi="Times New Roman" w:cs="Times New Roman"/>
                <w:b/>
                <w:i/>
                <w:sz w:val="24"/>
                <w:szCs w:val="24"/>
              </w:rPr>
            </w:pPr>
            <w:r w:rsidRPr="008C3E81">
              <w:rPr>
                <w:rFonts w:ascii="Times New Roman" w:hAnsi="Times New Roman" w:cs="Times New Roman"/>
                <w:b/>
                <w:i/>
                <w:sz w:val="24"/>
                <w:szCs w:val="24"/>
              </w:rPr>
              <w:t>St</w:t>
            </w:r>
          </w:p>
        </w:tc>
      </w:tr>
      <w:tr w:rsidR="00873407" w:rsidRPr="008C3E81" w:rsidTr="00DB3673">
        <w:trPr>
          <w:trHeight w:val="260"/>
          <w:jc w:val="center"/>
        </w:trPr>
        <w:tc>
          <w:tcPr>
            <w:tcW w:w="0" w:type="auto"/>
            <w:noWrap/>
            <w:vAlign w:val="center"/>
            <w:hideMark/>
          </w:tcPr>
          <w:p w:rsidR="00873407" w:rsidRPr="008C3E81" w:rsidRDefault="00873407" w:rsidP="00E107EC">
            <w:pPr>
              <w:pStyle w:val="NoSpacing"/>
              <w:rPr>
                <w:rFonts w:ascii="Times New Roman" w:hAnsi="Times New Roman" w:cs="Times New Roman"/>
                <w:sz w:val="24"/>
                <w:szCs w:val="24"/>
              </w:rPr>
            </w:pPr>
            <w:r w:rsidRPr="008C3E81">
              <w:rPr>
                <w:rFonts w:ascii="Times New Roman" w:hAnsi="Times New Roman" w:cs="Times New Roman"/>
                <w:i/>
                <w:sz w:val="24"/>
                <w:szCs w:val="24"/>
              </w:rPr>
              <w:t>k</w:t>
            </w:r>
            <w:r w:rsidRPr="008C3E81">
              <w:rPr>
                <w:rFonts w:ascii="Times New Roman" w:hAnsi="Times New Roman" w:cs="Times New Roman"/>
                <w:sz w:val="24"/>
                <w:szCs w:val="24"/>
              </w:rPr>
              <w:t>-</w:t>
            </w:r>
            <w:r w:rsidRPr="008C3E81">
              <w:rPr>
                <w:rFonts w:ascii="Times New Roman" w:hAnsi="Times New Roman" w:cs="Times New Roman"/>
                <w:i/>
                <w:sz w:val="24"/>
                <w:szCs w:val="24"/>
              </w:rPr>
              <w:t>ω</w:t>
            </w:r>
            <w:r w:rsidRPr="008C3E81">
              <w:rPr>
                <w:rFonts w:ascii="Times New Roman" w:hAnsi="Times New Roman" w:cs="Times New Roman"/>
                <w:sz w:val="24"/>
                <w:szCs w:val="24"/>
              </w:rPr>
              <w:t xml:space="preserve"> SST (</w:t>
            </w:r>
            <w:r w:rsidRPr="008C3E81">
              <w:rPr>
                <w:rFonts w:ascii="Times New Roman" w:hAnsi="Times New Roman" w:cs="Times New Roman"/>
                <w:i/>
                <w:sz w:val="24"/>
                <w:szCs w:val="24"/>
              </w:rPr>
              <w:t>Present</w:t>
            </w:r>
            <w:r w:rsidRPr="008C3E81">
              <w:rPr>
                <w:rFonts w:ascii="Times New Roman" w:hAnsi="Times New Roman" w:cs="Times New Roman"/>
                <w:sz w:val="24"/>
                <w:szCs w:val="24"/>
              </w:rPr>
              <w:t>)</w:t>
            </w:r>
          </w:p>
        </w:tc>
        <w:tc>
          <w:tcPr>
            <w:tcW w:w="0" w:type="auto"/>
            <w:noWrap/>
            <w:vAlign w:val="center"/>
            <w:hideMark/>
          </w:tcPr>
          <w:p w:rsidR="00873407" w:rsidRPr="008C3E81" w:rsidRDefault="00873407" w:rsidP="00E107EC">
            <w:pPr>
              <w:pStyle w:val="NoSpacing"/>
              <w:rPr>
                <w:rFonts w:ascii="Times New Roman" w:hAnsi="Times New Roman" w:cs="Times New Roman"/>
                <w:sz w:val="24"/>
                <w:szCs w:val="24"/>
              </w:rPr>
            </w:pPr>
            <w:r w:rsidRPr="008C3E81">
              <w:rPr>
                <w:rFonts w:ascii="Times New Roman" w:hAnsi="Times New Roman" w:cs="Times New Roman"/>
                <w:sz w:val="24"/>
                <w:szCs w:val="24"/>
              </w:rPr>
              <w:t>2.151</w:t>
            </w:r>
          </w:p>
        </w:tc>
        <w:tc>
          <w:tcPr>
            <w:tcW w:w="0" w:type="auto"/>
            <w:noWrap/>
            <w:vAlign w:val="center"/>
            <w:hideMark/>
          </w:tcPr>
          <w:p w:rsidR="00873407" w:rsidRPr="008C3E81" w:rsidRDefault="00873407" w:rsidP="00E107EC">
            <w:pPr>
              <w:pStyle w:val="NoSpacing"/>
              <w:rPr>
                <w:rFonts w:ascii="Times New Roman" w:hAnsi="Times New Roman" w:cs="Times New Roman"/>
                <w:sz w:val="24"/>
                <w:szCs w:val="24"/>
              </w:rPr>
            </w:pPr>
            <w:r w:rsidRPr="008C3E81">
              <w:rPr>
                <w:rFonts w:ascii="Times New Roman" w:hAnsi="Times New Roman" w:cs="Times New Roman"/>
                <w:sz w:val="24"/>
                <w:szCs w:val="24"/>
              </w:rPr>
              <w:t>1.446</w:t>
            </w:r>
          </w:p>
        </w:tc>
        <w:tc>
          <w:tcPr>
            <w:tcW w:w="0" w:type="auto"/>
            <w:noWrap/>
            <w:vAlign w:val="center"/>
            <w:hideMark/>
          </w:tcPr>
          <w:p w:rsidR="00873407" w:rsidRPr="008C3E81" w:rsidRDefault="00873407" w:rsidP="00E107EC">
            <w:pPr>
              <w:pStyle w:val="NoSpacing"/>
              <w:rPr>
                <w:rFonts w:ascii="Times New Roman" w:hAnsi="Times New Roman" w:cs="Times New Roman"/>
                <w:sz w:val="24"/>
                <w:szCs w:val="24"/>
              </w:rPr>
            </w:pPr>
            <w:r w:rsidRPr="008C3E81">
              <w:rPr>
                <w:rFonts w:ascii="Times New Roman" w:hAnsi="Times New Roman" w:cs="Times New Roman"/>
                <w:sz w:val="24"/>
                <w:szCs w:val="24"/>
              </w:rPr>
              <w:t>0.118</w:t>
            </w:r>
          </w:p>
        </w:tc>
      </w:tr>
      <w:tr w:rsidR="00873407" w:rsidRPr="008C3E81" w:rsidTr="00DB3673">
        <w:trPr>
          <w:trHeight w:val="270"/>
          <w:jc w:val="center"/>
        </w:trPr>
        <w:tc>
          <w:tcPr>
            <w:tcW w:w="0" w:type="auto"/>
            <w:noWrap/>
            <w:vAlign w:val="center"/>
            <w:hideMark/>
          </w:tcPr>
          <w:p w:rsidR="00873407" w:rsidRPr="008C3E81" w:rsidRDefault="00873407" w:rsidP="00E107EC">
            <w:pPr>
              <w:pStyle w:val="NoSpacing"/>
              <w:rPr>
                <w:rFonts w:ascii="Times New Roman" w:hAnsi="Times New Roman" w:cs="Times New Roman"/>
                <w:sz w:val="24"/>
                <w:szCs w:val="24"/>
              </w:rPr>
            </w:pPr>
            <w:r w:rsidRPr="008C3E81">
              <w:rPr>
                <w:rFonts w:ascii="Times New Roman" w:hAnsi="Times New Roman" w:cs="Times New Roman"/>
                <w:i/>
                <w:sz w:val="24"/>
                <w:szCs w:val="24"/>
              </w:rPr>
              <w:t>k</w:t>
            </w:r>
            <w:r w:rsidRPr="008C3E81">
              <w:rPr>
                <w:rFonts w:ascii="Times New Roman" w:hAnsi="Times New Roman" w:cs="Times New Roman"/>
                <w:sz w:val="24"/>
                <w:szCs w:val="24"/>
              </w:rPr>
              <w:t>-</w:t>
            </w:r>
            <w:r w:rsidRPr="008C3E81">
              <w:rPr>
                <w:rFonts w:ascii="Times New Roman" w:hAnsi="Times New Roman" w:cs="Times New Roman"/>
                <w:i/>
                <w:sz w:val="24"/>
                <w:szCs w:val="24"/>
              </w:rPr>
              <w:t>ω</w:t>
            </w:r>
            <w:r w:rsidRPr="008C3E81">
              <w:rPr>
                <w:rFonts w:ascii="Times New Roman" w:hAnsi="Times New Roman" w:cs="Times New Roman"/>
                <w:sz w:val="24"/>
                <w:szCs w:val="24"/>
              </w:rPr>
              <w:t xml:space="preserve"> SST </w:t>
            </w:r>
            <w:r w:rsidRPr="008C3E81">
              <w:rPr>
                <w:rFonts w:ascii="Times New Roman" w:hAnsi="Times New Roman" w:cs="Times New Roman"/>
                <w:sz w:val="24"/>
                <w:szCs w:val="24"/>
              </w:rPr>
              <w:fldChar w:fldCharType="begin" w:fldLock="1"/>
            </w:r>
            <w:r w:rsidRPr="008C3E81">
              <w:rPr>
                <w:rFonts w:ascii="Times New Roman" w:hAnsi="Times New Roman" w:cs="Times New Roman"/>
                <w:sz w:val="24"/>
                <w:szCs w:val="24"/>
              </w:rPr>
              <w:instrText>ADDIN CSL_CITATION {"citationItems":[{"id":"ITEM-1","itemData":{"DOI":"10.1016/j.ast.2016.03.007","ISSN":"12709638","abstract":"The effect of placing a wedge in the wake of a square cylinder (side length D) at a Reynolds number of 22,000 is numerically investigated. In particular, the effect of the wedge on aerodynamic noise is observed along with its effect on the flow field. Wedge base height (h) and its gap distance (G) downstream of the cylinder are systematically varied. Flow simulations are carried out using an unsteady RANS model employing the k-ω SST turbulence model, whereas the calculation of aerodynamic noise radiated from the flow is solved using Curle's equation. A special correction technique is applied to consider spanwise effects on noise production and validation is provided using new aeroacoustic data for a square cylinder in cross-flow. It is found that the flow behavior can be divided into two main regimes (regime I and regime II), with a linking transition regime. For regime I, the generated sound is lower than that of the isolated square cylinder case. The thinnest wedge produced the best sound reduction (11.79 dB) when the wedge is placed at G = 2D. For regime II, the calculated sound level is higher than the case of an isolated square cylinder. This is because the sound emitted from both bodies have about the same magnitude and are in phase. For this case, the maximum increase of sound pressure is 6.24 dB, when the medium wedge is at G = 2.5D.","author":[{"dropping-particle":"","family":"Samion","given":"Siti Ruhliah Lizarose","non-dropping-particle":"","parse-names":false,"suffix":""},{"dropping-particle":"","family":"Ali","given":"Mohamed Sukri Mat","non-dropping-particle":"","parse-names":false,"suffix":""},{"dropping-particle":"","family":"Abu","given":"Aminudin","non-dropping-particle":"","parse-names":false,"suffix":""},{"dropping-particle":"","family":"Doolan","given":"Con J.","non-dropping-particle":"","parse-names":false,"suffix":""},{"dropping-particle":"","family":"Porteous","given":"Ric Zong Yang","non-dropping-particle":"","parse-names":false,"suffix":""}],"container-title":"Aerospace Science and Technology","id":"ITEM-1","issued":{"date-parts":[["2016"]]},"page":"85-94","publisher":"Elsevier Masson SAS","title":"Aerodynamic sound from a square cylinder with a downstream wedge","type":"article-journal","volume":"53"},"uris":["http://www.mendeley.com/documents/?uuid=a9f800d7-568a-4e5f-8599-7444b3c29d76"]}],"mendeley":{"formattedCitation":"(Samion et al., 2016)","plainTextFormattedCitation":"(Samion et al., 2016)","previouslyFormattedCitation":"(Samion et al., 2016)"},"properties":{"noteIndex":0},"schema":"https://github.com/citation-style-language/schema/raw/master/csl-citation.json"}</w:instrText>
            </w:r>
            <w:r w:rsidRPr="008C3E81">
              <w:rPr>
                <w:rFonts w:ascii="Times New Roman" w:hAnsi="Times New Roman" w:cs="Times New Roman"/>
                <w:sz w:val="24"/>
                <w:szCs w:val="24"/>
              </w:rPr>
              <w:fldChar w:fldCharType="separate"/>
            </w:r>
            <w:r w:rsidRPr="008C3E81">
              <w:rPr>
                <w:rFonts w:ascii="Times New Roman" w:hAnsi="Times New Roman" w:cs="Times New Roman"/>
                <w:noProof/>
                <w:sz w:val="24"/>
                <w:szCs w:val="24"/>
              </w:rPr>
              <w:t>(Samion et al., 2016)</w:t>
            </w:r>
            <w:r w:rsidRPr="008C3E81">
              <w:rPr>
                <w:rFonts w:ascii="Times New Roman" w:hAnsi="Times New Roman" w:cs="Times New Roman"/>
                <w:sz w:val="24"/>
                <w:szCs w:val="24"/>
              </w:rPr>
              <w:fldChar w:fldCharType="end"/>
            </w:r>
          </w:p>
        </w:tc>
        <w:tc>
          <w:tcPr>
            <w:tcW w:w="0" w:type="auto"/>
            <w:noWrap/>
            <w:vAlign w:val="center"/>
            <w:hideMark/>
          </w:tcPr>
          <w:p w:rsidR="00873407" w:rsidRPr="008C3E81" w:rsidRDefault="00873407" w:rsidP="00E107EC">
            <w:pPr>
              <w:pStyle w:val="NoSpacing"/>
              <w:rPr>
                <w:rFonts w:ascii="Times New Roman" w:hAnsi="Times New Roman" w:cs="Times New Roman"/>
                <w:sz w:val="24"/>
                <w:szCs w:val="24"/>
              </w:rPr>
            </w:pPr>
            <w:r w:rsidRPr="008C3E81">
              <w:rPr>
                <w:rFonts w:ascii="Times New Roman" w:hAnsi="Times New Roman" w:cs="Times New Roman"/>
                <w:sz w:val="24"/>
                <w:szCs w:val="24"/>
              </w:rPr>
              <w:t>2.1</w:t>
            </w:r>
          </w:p>
        </w:tc>
        <w:tc>
          <w:tcPr>
            <w:tcW w:w="0" w:type="auto"/>
            <w:noWrap/>
            <w:vAlign w:val="center"/>
            <w:hideMark/>
          </w:tcPr>
          <w:p w:rsidR="00873407" w:rsidRPr="008C3E81" w:rsidRDefault="00873407" w:rsidP="00E107EC">
            <w:pPr>
              <w:pStyle w:val="NoSpacing"/>
              <w:rPr>
                <w:rFonts w:ascii="Times New Roman" w:hAnsi="Times New Roman" w:cs="Times New Roman"/>
                <w:sz w:val="24"/>
                <w:szCs w:val="24"/>
              </w:rPr>
            </w:pPr>
            <w:r w:rsidRPr="008C3E81">
              <w:rPr>
                <w:rFonts w:ascii="Times New Roman" w:hAnsi="Times New Roman" w:cs="Times New Roman"/>
                <w:sz w:val="24"/>
                <w:szCs w:val="24"/>
              </w:rPr>
              <w:t>1.43</w:t>
            </w:r>
          </w:p>
        </w:tc>
        <w:tc>
          <w:tcPr>
            <w:tcW w:w="0" w:type="auto"/>
            <w:noWrap/>
            <w:vAlign w:val="center"/>
            <w:hideMark/>
          </w:tcPr>
          <w:p w:rsidR="00873407" w:rsidRPr="008C3E81" w:rsidRDefault="00873407" w:rsidP="00E107EC">
            <w:pPr>
              <w:pStyle w:val="NoSpacing"/>
              <w:rPr>
                <w:rFonts w:ascii="Times New Roman" w:hAnsi="Times New Roman" w:cs="Times New Roman"/>
                <w:sz w:val="24"/>
                <w:szCs w:val="24"/>
              </w:rPr>
            </w:pPr>
            <w:r w:rsidRPr="008C3E81">
              <w:rPr>
                <w:rFonts w:ascii="Times New Roman" w:hAnsi="Times New Roman" w:cs="Times New Roman"/>
                <w:sz w:val="24"/>
                <w:szCs w:val="24"/>
              </w:rPr>
              <w:t>0.126</w:t>
            </w:r>
          </w:p>
        </w:tc>
      </w:tr>
    </w:tbl>
    <w:p w:rsidR="00873407" w:rsidRPr="008C3E81" w:rsidRDefault="00873407" w:rsidP="00E107EC">
      <w:pPr>
        <w:rPr>
          <w:rFonts w:eastAsiaTheme="minorEastAsia"/>
          <w:b/>
          <w:szCs w:val="24"/>
        </w:rPr>
      </w:pPr>
    </w:p>
    <w:p w:rsidR="00873407" w:rsidRPr="008C3E81" w:rsidRDefault="00873407" w:rsidP="00133706">
      <w:pPr>
        <w:jc w:val="center"/>
        <w:rPr>
          <w:rFonts w:eastAsiaTheme="minorEastAsia"/>
          <w:b/>
          <w:szCs w:val="24"/>
        </w:rPr>
      </w:pPr>
      <w:r w:rsidRPr="008C3E81">
        <w:rPr>
          <w:rFonts w:eastAsiaTheme="minorEastAsia"/>
          <w:b/>
          <w:noProof/>
          <w:szCs w:val="24"/>
          <w:lang w:val="en-IN" w:eastAsia="en-IN"/>
        </w:rPr>
        <w:drawing>
          <wp:inline distT="0" distB="0" distL="0" distR="0">
            <wp:extent cx="4680000" cy="2235271"/>
            <wp:effectExtent l="19050" t="0" r="6300" b="0"/>
            <wp:docPr id="3" name="Picture 1" descr="G:\Journal Detached Splitter Square\Post processing\strouhal numbe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Journal Detached Splitter Square\Post processing\strouhal number\untitled.jpg"/>
                    <pic:cNvPicPr>
                      <a:picLocks noChangeAspect="1" noChangeArrowheads="1"/>
                    </pic:cNvPicPr>
                  </pic:nvPicPr>
                  <pic:blipFill>
                    <a:blip r:embed="rId11" cstate="print"/>
                    <a:srcRect/>
                    <a:stretch>
                      <a:fillRect/>
                    </a:stretch>
                  </pic:blipFill>
                  <pic:spPr bwMode="auto">
                    <a:xfrm>
                      <a:off x="0" y="0"/>
                      <a:ext cx="4680000" cy="2235271"/>
                    </a:xfrm>
                    <a:prstGeom prst="rect">
                      <a:avLst/>
                    </a:prstGeom>
                    <a:noFill/>
                    <a:ln w="9525">
                      <a:noFill/>
                      <a:miter lim="800000"/>
                      <a:headEnd/>
                      <a:tailEnd/>
                    </a:ln>
                  </pic:spPr>
                </pic:pic>
              </a:graphicData>
            </a:graphic>
          </wp:inline>
        </w:drawing>
      </w:r>
    </w:p>
    <w:p w:rsidR="00873407" w:rsidRPr="008C3E81" w:rsidRDefault="003B2F0A" w:rsidP="003B2F0A">
      <w:pPr>
        <w:ind w:firstLine="0"/>
        <w:jc w:val="center"/>
        <w:rPr>
          <w:szCs w:val="24"/>
        </w:rPr>
      </w:pPr>
      <w:r>
        <w:rPr>
          <w:szCs w:val="24"/>
        </w:rPr>
        <w:t>Fig.</w:t>
      </w:r>
      <w:r w:rsidR="00873407" w:rsidRPr="008C3E81">
        <w:rPr>
          <w:szCs w:val="24"/>
        </w:rPr>
        <w:t xml:space="preserve"> </w:t>
      </w:r>
      <w:r w:rsidR="00873407">
        <w:rPr>
          <w:szCs w:val="24"/>
        </w:rPr>
        <w:t>3</w:t>
      </w:r>
      <w:r w:rsidR="00873407" w:rsidRPr="008C3E81">
        <w:rPr>
          <w:szCs w:val="24"/>
        </w:rPr>
        <w:t>: Power spectral density of the lift coefficient</w:t>
      </w:r>
    </w:p>
    <w:p w:rsidR="00873407" w:rsidRPr="008C3E81" w:rsidRDefault="00873407" w:rsidP="00E107EC">
      <w:pPr>
        <w:rPr>
          <w:szCs w:val="24"/>
        </w:rPr>
      </w:pPr>
    </w:p>
    <w:p w:rsidR="00873407" w:rsidRPr="008C3E81" w:rsidRDefault="00873407" w:rsidP="00E107EC">
      <w:pPr>
        <w:ind w:firstLine="720"/>
        <w:rPr>
          <w:szCs w:val="24"/>
        </w:rPr>
      </w:pPr>
      <w:r w:rsidRPr="008C3E81">
        <w:rPr>
          <w:szCs w:val="24"/>
        </w:rPr>
        <w:t xml:space="preserve">To evaluate the accuracy of the </w:t>
      </w:r>
      <w:r w:rsidRPr="008C3E81">
        <w:rPr>
          <w:noProof/>
          <w:szCs w:val="24"/>
        </w:rPr>
        <w:t>far-field</w:t>
      </w:r>
      <w:r w:rsidRPr="008C3E81">
        <w:rPr>
          <w:szCs w:val="24"/>
        </w:rPr>
        <w:t xml:space="preserve"> acoustic analysis, the computed </w:t>
      </w:r>
      <w:r w:rsidRPr="008C3E81">
        <w:rPr>
          <w:noProof/>
          <w:szCs w:val="24"/>
        </w:rPr>
        <w:t>flow-induced</w:t>
      </w:r>
      <w:r w:rsidRPr="008C3E81">
        <w:rPr>
          <w:szCs w:val="24"/>
        </w:rPr>
        <w:t xml:space="preserve"> sound data are validated using experimental results </w:t>
      </w:r>
      <w:r w:rsidRPr="008C3E81">
        <w:rPr>
          <w:szCs w:val="24"/>
        </w:rPr>
        <w:fldChar w:fldCharType="begin" w:fldLock="1"/>
      </w:r>
      <w:r w:rsidRPr="008C3E81">
        <w:rPr>
          <w:szCs w:val="24"/>
        </w:rPr>
        <w:instrText>ADDIN CSL_CITATION {"citationItems":[{"id":"ITEM-1","itemData":{"DOI":"10.1016/j.jsv.2015.09.044","ISSN":"10958568","abstract":"Vortex shedding from cylinders has been extensively studied due to its occurrence in many engineering fields. Many experimental studies reported in the literature focus on the aerodynamics of the vortex shedding process but the literature about the radiated noise is more scarce. The aim of the work presented here is to extend the available noise data. Aero-acoustic wind tunnel tests were carried out using cylinders with different cross-sections: circular, square, rectangular and elliptical. Flow speeds between 20 and 50 m/s were used, corresponding to Reynolds numbers in the range from 1.6×104to 1.2×105. The dependence of the noise on the yaw angle, flow speed, cross-sectional shape, angle of attack and radiation angle (directivity) is assessed. The results obtained are compared, where possible, with those found in the literature for similar cases. It is intended that the results can be used for the validation and calibration of numerical and empirical aerodynamic noise prediction models.","author":[{"dropping-particle":"","family":"Latorre Iglesias","given":"E.","non-dropping-particle":"","parse-names":false,"suffix":""},{"dropping-particle":"","family":"Thompson","given":"D. J.","non-dropping-particle":"","parse-names":false,"suffix":""},{"dropping-particle":"","family":"Smith","given":"M. G.","non-dropping-particle":"","parse-names":false,"suffix":""}],"container-title":"Journal of Sound and Vibration","id":"ITEM-1","issued":{"date-parts":[["2016"]]},"page":"108-129","publisher":"Elsevier","title":"Experimental study of the aerodynamic noise radiated by cylinders with different cross-sections and yaw angles","type":"article-journal","volume":"361"},"uris":["http://www.mendeley.com/documents/?uuid=ea1c75b7-3bee-4c54-a1d7-1bb670aa8df9"]}],"mendeley":{"formattedCitation":"(Latorre Iglesias et al., 2016)","plainTextFormattedCitation":"(Latorre Iglesias et al., 2016)","previouslyFormattedCitation":"(Latorre Iglesias et al., 2016)"},"properties":{"noteIndex":0},"schema":"https://github.com/citation-style-language/schema/raw/master/csl-citation.json"}</w:instrText>
      </w:r>
      <w:r w:rsidRPr="008C3E81">
        <w:rPr>
          <w:szCs w:val="24"/>
        </w:rPr>
        <w:fldChar w:fldCharType="separate"/>
      </w:r>
      <w:r w:rsidRPr="008C3E81">
        <w:rPr>
          <w:noProof/>
          <w:szCs w:val="24"/>
        </w:rPr>
        <w:t>(Latorre Iglesias et al., 2016)</w:t>
      </w:r>
      <w:r w:rsidRPr="008C3E81">
        <w:rPr>
          <w:szCs w:val="24"/>
        </w:rPr>
        <w:fldChar w:fldCharType="end"/>
      </w:r>
      <w:r w:rsidRPr="008C3E81">
        <w:rPr>
          <w:szCs w:val="24"/>
        </w:rPr>
        <w:t xml:space="preserve"> at </w:t>
      </w:r>
      <w:r w:rsidRPr="008C3E81">
        <w:rPr>
          <w:i/>
          <w:szCs w:val="24"/>
        </w:rPr>
        <w:t>Re</w:t>
      </w:r>
      <w:r w:rsidRPr="008C3E81">
        <w:rPr>
          <w:szCs w:val="24"/>
        </w:rPr>
        <w:t xml:space="preserve"> = 54,800. The sound measurements were conducted in an open jet anechoic wind tunnel on a square cylinder. The power spectral density (</w:t>
      </w:r>
      <w:r w:rsidRPr="008C3E81">
        <w:rPr>
          <w:i/>
          <w:szCs w:val="24"/>
        </w:rPr>
        <w:sym w:font="Symbol" w:char="F066"/>
      </w:r>
      <w:r w:rsidRPr="008C3E81">
        <w:rPr>
          <w:i/>
          <w:szCs w:val="24"/>
          <w:vertAlign w:val="subscript"/>
        </w:rPr>
        <w:t>pp</w:t>
      </w:r>
      <w:r w:rsidRPr="008C3E81">
        <w:rPr>
          <w:szCs w:val="24"/>
        </w:rPr>
        <w:t>) of the calculated sound pressure at the receiver location (0, 87.5</w:t>
      </w:r>
      <w:r w:rsidRPr="008C3E81">
        <w:rPr>
          <w:i/>
          <w:szCs w:val="24"/>
        </w:rPr>
        <w:t>D</w:t>
      </w:r>
      <w:r w:rsidRPr="008C3E81">
        <w:rPr>
          <w:szCs w:val="24"/>
        </w:rPr>
        <w:t>, 0) has been obtained using  Welch technique adopting Hann window with 50% overlap of 3 data segments. The SPL (dB) is defined as,</w:t>
      </w:r>
    </w:p>
    <w:p w:rsidR="00873407" w:rsidRPr="008C3E81" w:rsidRDefault="00873407" w:rsidP="00E107EC">
      <w:pPr>
        <w:ind w:firstLine="720"/>
        <w:rPr>
          <w:szCs w:val="24"/>
        </w:rPr>
      </w:pPr>
    </w:p>
    <w:p w:rsidR="00873407" w:rsidRPr="008C3E81" w:rsidRDefault="00873407" w:rsidP="00E107EC">
      <w:pPr>
        <w:ind w:firstLine="720"/>
        <w:rPr>
          <w:rFonts w:eastAsiaTheme="minorEastAsia"/>
          <w:szCs w:val="24"/>
        </w:rPr>
      </w:pPr>
      <m:oMath>
        <m:r>
          <m:rPr>
            <m:nor/>
          </m:rPr>
          <w:rPr>
            <w:szCs w:val="24"/>
          </w:rPr>
          <m:t>SPL</m:t>
        </m:r>
        <m:d>
          <m:dPr>
            <m:ctrlPr>
              <w:rPr>
                <w:rFonts w:ascii="Cambria Math" w:hAnsi="Cambria Math"/>
                <w:i/>
                <w:szCs w:val="24"/>
              </w:rPr>
            </m:ctrlPr>
          </m:dPr>
          <m:e>
            <m:r>
              <w:rPr>
                <w:rFonts w:ascii="Cambria Math"/>
                <w:szCs w:val="24"/>
              </w:rPr>
              <m:t>f</m:t>
            </m:r>
          </m:e>
        </m:d>
        <m:r>
          <w:rPr>
            <w:rFonts w:ascii="Cambria Math" w:hAnsi="Cambria Math"/>
            <w:szCs w:val="24"/>
          </w:rPr>
          <m:t>=</m:t>
        </m:r>
        <m:r>
          <m:rPr>
            <m:nor/>
          </m:rPr>
          <w:rPr>
            <w:szCs w:val="24"/>
          </w:rPr>
          <m:t>10</m:t>
        </m:r>
        <m:sSub>
          <m:sSubPr>
            <m:ctrlPr>
              <w:rPr>
                <w:rFonts w:ascii="Cambria Math" w:hAnsi="Cambria Math"/>
                <w:i/>
                <w:szCs w:val="24"/>
              </w:rPr>
            </m:ctrlPr>
          </m:sSubPr>
          <m:e>
            <m:r>
              <m:rPr>
                <m:sty m:val="p"/>
              </m:rPr>
              <w:rPr>
                <w:rFonts w:ascii="Cambria Math" w:hAnsi="Cambria Math"/>
                <w:szCs w:val="24"/>
              </w:rPr>
              <m:t>log</m:t>
            </m:r>
          </m:e>
          <m:sub>
            <m:r>
              <m:rPr>
                <m:nor/>
              </m:rPr>
              <w:rPr>
                <w:szCs w:val="24"/>
              </w:rPr>
              <m:t>10</m:t>
            </m:r>
          </m:sub>
        </m:sSub>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i/>
                        <w:szCs w:val="24"/>
                      </w:rPr>
                      <w:sym w:font="Symbol" w:char="F066"/>
                    </m:r>
                  </m:e>
                  <m:sub>
                    <m:r>
                      <w:rPr>
                        <w:rFonts w:ascii="Cambria Math"/>
                        <w:szCs w:val="24"/>
                      </w:rPr>
                      <m:t>pp</m:t>
                    </m:r>
                  </m:sub>
                </m:sSub>
                <m:d>
                  <m:dPr>
                    <m:ctrlPr>
                      <w:rPr>
                        <w:rFonts w:ascii="Cambria Math" w:hAnsi="Cambria Math"/>
                        <w:i/>
                        <w:szCs w:val="24"/>
                      </w:rPr>
                    </m:ctrlPr>
                  </m:dPr>
                  <m:e>
                    <m:r>
                      <w:rPr>
                        <w:rFonts w:ascii="Cambria Math"/>
                        <w:szCs w:val="24"/>
                      </w:rPr>
                      <m:t>f</m:t>
                    </m:r>
                  </m:e>
                </m:d>
              </m:num>
              <m:den>
                <m:sSubSup>
                  <m:sSubSupPr>
                    <m:ctrlPr>
                      <w:rPr>
                        <w:rFonts w:ascii="Cambria Math" w:hAnsi="Cambria Math"/>
                        <w:i/>
                        <w:szCs w:val="24"/>
                      </w:rPr>
                    </m:ctrlPr>
                  </m:sSubSupPr>
                  <m:e>
                    <m:r>
                      <w:rPr>
                        <w:rFonts w:ascii="Cambria Math"/>
                        <w:szCs w:val="24"/>
                      </w:rPr>
                      <m:t>p</m:t>
                    </m:r>
                  </m:e>
                  <m:sub>
                    <m:r>
                      <w:rPr>
                        <w:rFonts w:ascii="Cambria Math" w:hAnsi="Cambria Math"/>
                        <w:szCs w:val="24"/>
                      </w:rPr>
                      <m:t>r</m:t>
                    </m:r>
                    <m:r>
                      <w:rPr>
                        <w:rFonts w:ascii="Cambria Math"/>
                        <w:szCs w:val="24"/>
                      </w:rPr>
                      <m:t>ef</m:t>
                    </m:r>
                  </m:sub>
                  <m:sup>
                    <m:r>
                      <w:rPr>
                        <w:rFonts w:ascii="Cambria Math" w:hAnsi="Cambria Math"/>
                        <w:szCs w:val="24"/>
                      </w:rPr>
                      <m:t>2</m:t>
                    </m:r>
                  </m:sup>
                </m:sSubSup>
              </m:den>
            </m:f>
          </m:e>
        </m:d>
      </m:oMath>
      <w:r w:rsidRPr="008C3E81">
        <w:rPr>
          <w:rFonts w:eastAsiaTheme="minorEastAsia"/>
          <w:szCs w:val="24"/>
        </w:rPr>
        <w:tab/>
      </w:r>
      <w:r w:rsidRPr="008C3E81">
        <w:rPr>
          <w:rFonts w:eastAsiaTheme="minorEastAsia"/>
          <w:szCs w:val="24"/>
        </w:rPr>
        <w:tab/>
      </w:r>
      <w:r w:rsidRPr="008C3E81">
        <w:rPr>
          <w:rFonts w:eastAsiaTheme="minorEastAsia"/>
          <w:szCs w:val="24"/>
        </w:rPr>
        <w:tab/>
      </w:r>
      <w:r w:rsidRPr="008C3E81">
        <w:rPr>
          <w:rFonts w:eastAsiaTheme="minorEastAsia"/>
          <w:szCs w:val="24"/>
        </w:rPr>
        <w:tab/>
      </w:r>
      <w:r w:rsidRPr="008C3E81">
        <w:rPr>
          <w:rFonts w:eastAsiaTheme="minorEastAsia"/>
          <w:szCs w:val="24"/>
        </w:rPr>
        <w:tab/>
      </w:r>
      <w:r w:rsidRPr="008C3E81">
        <w:rPr>
          <w:rFonts w:eastAsiaTheme="minorEastAsia"/>
          <w:szCs w:val="24"/>
        </w:rPr>
        <w:tab/>
      </w:r>
      <w:r w:rsidRPr="008C3E81">
        <w:rPr>
          <w:rFonts w:eastAsiaTheme="minorEastAsia"/>
          <w:szCs w:val="24"/>
        </w:rPr>
        <w:tab/>
      </w:r>
      <w:r w:rsidRPr="008C3E81">
        <w:rPr>
          <w:rFonts w:eastAsiaTheme="minorEastAsia"/>
          <w:szCs w:val="24"/>
        </w:rPr>
        <w:tab/>
      </w:r>
      <w:r w:rsidR="00133706">
        <w:rPr>
          <w:rFonts w:eastAsiaTheme="minorEastAsia"/>
          <w:szCs w:val="24"/>
        </w:rPr>
        <w:tab/>
      </w:r>
      <w:r w:rsidR="00133706">
        <w:rPr>
          <w:rFonts w:eastAsiaTheme="minorEastAsia"/>
          <w:szCs w:val="24"/>
        </w:rPr>
        <w:tab/>
      </w:r>
      <w:r w:rsidRPr="008C3E81">
        <w:rPr>
          <w:rFonts w:eastAsiaTheme="minorEastAsia"/>
          <w:szCs w:val="24"/>
        </w:rPr>
        <w:t>(1)</w:t>
      </w:r>
    </w:p>
    <w:p w:rsidR="00873407" w:rsidRPr="008C3E81" w:rsidRDefault="00873407" w:rsidP="00E107EC">
      <w:pPr>
        <w:rPr>
          <w:oMath/>
          <w:rFonts w:ascii="Cambria Math" w:hAnsi="Cambria Math"/>
          <w:szCs w:val="24"/>
        </w:rPr>
      </w:pPr>
      <w:r w:rsidRPr="008C3E81">
        <w:rPr>
          <w:szCs w:val="24"/>
        </w:rPr>
        <w:t xml:space="preserve">where </w:t>
      </w:r>
      <w:r w:rsidRPr="008C3E81">
        <w:rPr>
          <w:i/>
          <w:szCs w:val="24"/>
        </w:rPr>
        <w:t>f</w:t>
      </w:r>
      <w:r w:rsidRPr="008C3E81">
        <w:rPr>
          <w:szCs w:val="24"/>
        </w:rPr>
        <w:t xml:space="preserve"> is the frequency in Hz and </w:t>
      </w:r>
      <w:r w:rsidRPr="008C3E81">
        <w:rPr>
          <w:i/>
          <w:noProof/>
          <w:szCs w:val="24"/>
        </w:rPr>
        <w:t>p</w:t>
      </w:r>
      <w:r w:rsidRPr="008C3E81">
        <w:rPr>
          <w:i/>
          <w:noProof/>
          <w:szCs w:val="24"/>
          <w:vertAlign w:val="subscript"/>
        </w:rPr>
        <w:t>ref</w:t>
      </w:r>
      <w:r w:rsidRPr="008C3E81">
        <w:rPr>
          <w:szCs w:val="24"/>
        </w:rPr>
        <w:t xml:space="preserve">  (= 2</w:t>
      </w:r>
      <w:r w:rsidRPr="008C3E81">
        <w:rPr>
          <w:szCs w:val="24"/>
        </w:rPr>
        <w:sym w:font="Symbol" w:char="F0B4"/>
      </w:r>
      <w:r w:rsidRPr="008C3E81">
        <w:rPr>
          <w:szCs w:val="24"/>
        </w:rPr>
        <w:t>10</w:t>
      </w:r>
      <w:r w:rsidRPr="008C3E81">
        <w:rPr>
          <w:szCs w:val="24"/>
          <w:vertAlign w:val="superscript"/>
        </w:rPr>
        <w:sym w:font="Symbol" w:char="F02D"/>
      </w:r>
      <w:r w:rsidRPr="008C3E81">
        <w:rPr>
          <w:szCs w:val="24"/>
          <w:vertAlign w:val="superscript"/>
        </w:rPr>
        <w:t>5</w:t>
      </w:r>
      <w:r w:rsidRPr="008C3E81">
        <w:rPr>
          <w:szCs w:val="24"/>
        </w:rPr>
        <w:t xml:space="preserve"> Pa) is the reference pressure. </w:t>
      </w:r>
    </w:p>
    <w:p w:rsidR="00873407" w:rsidRPr="008C3E81" w:rsidRDefault="00873407" w:rsidP="00E107EC">
      <w:pPr>
        <w:rPr>
          <w:szCs w:val="24"/>
        </w:rPr>
      </w:pPr>
      <w:r w:rsidRPr="008C3E81">
        <w:rPr>
          <w:szCs w:val="24"/>
        </w:rPr>
        <w:tab/>
      </w:r>
    </w:p>
    <w:p w:rsidR="00873407" w:rsidRPr="008C3E81" w:rsidRDefault="00873407" w:rsidP="00E107EC">
      <w:pPr>
        <w:rPr>
          <w:szCs w:val="24"/>
        </w:rPr>
      </w:pPr>
      <w:r>
        <w:rPr>
          <w:szCs w:val="24"/>
        </w:rPr>
        <w:tab/>
        <w:t>Figure 4</w:t>
      </w:r>
      <w:r w:rsidRPr="008C3E81">
        <w:rPr>
          <w:szCs w:val="24"/>
        </w:rPr>
        <w:t xml:space="preserve"> displays the comparison of the computed SPL spectrum with experimental data. </w:t>
      </w:r>
      <w:r w:rsidRPr="008C3E81">
        <w:rPr>
          <w:noProof/>
          <w:szCs w:val="24"/>
        </w:rPr>
        <w:t>The computed</w:t>
      </w:r>
      <w:r w:rsidRPr="008C3E81">
        <w:rPr>
          <w:szCs w:val="24"/>
        </w:rPr>
        <w:t xml:space="preserve"> spectrum agrees with the experimental spectrum at the principal </w:t>
      </w:r>
      <w:r w:rsidRPr="008C3E81">
        <w:rPr>
          <w:noProof/>
          <w:szCs w:val="24"/>
        </w:rPr>
        <w:t>regions</w:t>
      </w:r>
      <w:r w:rsidRPr="008C3E81">
        <w:rPr>
          <w:szCs w:val="24"/>
        </w:rPr>
        <w:t xml:space="preserve"> and shows an adequate match elsewhere. The most important characteristics of this spectrum, specifically, tonal Strouhal number (i.e. the Strouhal number associated with </w:t>
      </w:r>
      <w:r w:rsidRPr="008C3E81">
        <w:rPr>
          <w:noProof/>
          <w:szCs w:val="24"/>
        </w:rPr>
        <w:t>the peak</w:t>
      </w:r>
      <w:r w:rsidRPr="008C3E81">
        <w:rPr>
          <w:szCs w:val="24"/>
        </w:rPr>
        <w:t xml:space="preserve"> frequency of the spectrum, represented by </w:t>
      </w:r>
      <w:r w:rsidRPr="008C3E81">
        <w:rPr>
          <w:i/>
          <w:iCs/>
          <w:szCs w:val="24"/>
        </w:rPr>
        <w:t>St</w:t>
      </w:r>
      <w:r w:rsidRPr="008C3E81">
        <w:rPr>
          <w:i/>
          <w:iCs/>
          <w:szCs w:val="24"/>
          <w:vertAlign w:val="subscript"/>
        </w:rPr>
        <w:t>T</w:t>
      </w:r>
      <w:r w:rsidRPr="008C3E81">
        <w:rPr>
          <w:szCs w:val="24"/>
        </w:rPr>
        <w:t xml:space="preserve">) and the </w:t>
      </w:r>
      <w:r w:rsidRPr="008C3E81">
        <w:rPr>
          <w:noProof/>
          <w:szCs w:val="24"/>
        </w:rPr>
        <w:t xml:space="preserve">tonal </w:t>
      </w:r>
      <w:r w:rsidRPr="008C3E81">
        <w:rPr>
          <w:szCs w:val="24"/>
        </w:rPr>
        <w:t>SPL at this frequency (represented by SPL</w:t>
      </w:r>
      <w:r w:rsidRPr="008C3E81">
        <w:rPr>
          <w:szCs w:val="24"/>
          <w:vertAlign w:val="subscript"/>
        </w:rPr>
        <w:t>T</w:t>
      </w:r>
      <w:r w:rsidRPr="008C3E81">
        <w:rPr>
          <w:szCs w:val="24"/>
        </w:rPr>
        <w:t xml:space="preserve"> in dB) match precisely with experimental results</w:t>
      </w:r>
      <w:r>
        <w:rPr>
          <w:szCs w:val="24"/>
        </w:rPr>
        <w:t xml:space="preserve"> as shown in Table 2</w:t>
      </w:r>
      <w:r w:rsidRPr="008C3E81">
        <w:rPr>
          <w:szCs w:val="24"/>
        </w:rPr>
        <w:t xml:space="preserve">. This means that the URANS and FW-H method utilized in this study is capable to predict the important features of the flow induced sound, and also has the capability to present additional insight through a parametric study. To make evident the sound reduction levels at the receiver location, the OASPL, which is an estimate of the total sound energy of the </w:t>
      </w:r>
      <w:r w:rsidRPr="008C3E81">
        <w:rPr>
          <w:noProof/>
          <w:szCs w:val="24"/>
        </w:rPr>
        <w:t>SPL</w:t>
      </w:r>
      <w:r w:rsidRPr="008C3E81">
        <w:rPr>
          <w:szCs w:val="24"/>
        </w:rPr>
        <w:t xml:space="preserve"> spectrum is utilized in this paper. Based on the calculation using Eq. (2), the OASPL is found to be 96.89 dB.</w:t>
      </w:r>
    </w:p>
    <w:p w:rsidR="00873407" w:rsidRPr="008C3E81" w:rsidRDefault="00873407" w:rsidP="00E107EC">
      <w:pPr>
        <w:rPr>
          <w:rFonts w:eastAsiaTheme="minorEastAsia"/>
          <w:szCs w:val="24"/>
        </w:rPr>
      </w:pPr>
    </w:p>
    <w:p w:rsidR="00873407" w:rsidRPr="008C3E81" w:rsidRDefault="00873407" w:rsidP="00E107EC">
      <w:pPr>
        <w:rPr>
          <w:rFonts w:eastAsiaTheme="minorEastAsia"/>
          <w:szCs w:val="24"/>
        </w:rPr>
      </w:pPr>
      <m:oMath>
        <m:r>
          <m:rPr>
            <m:nor/>
          </m:rPr>
          <w:rPr>
            <w:szCs w:val="24"/>
          </w:rPr>
          <m:t>OASPL=</m:t>
        </m:r>
        <m:r>
          <m:rPr>
            <m:nor/>
          </m:rPr>
          <w:rPr>
            <w:rFonts w:eastAsiaTheme="minorEastAsia"/>
            <w:szCs w:val="24"/>
          </w:rPr>
          <m:t>10</m:t>
        </m:r>
        <m:sSub>
          <m:sSubPr>
            <m:ctrlPr>
              <w:rPr>
                <w:rFonts w:ascii="Cambria Math" w:eastAsiaTheme="minorEastAsia" w:hAnsi="Cambria Math"/>
                <w:i/>
                <w:szCs w:val="24"/>
              </w:rPr>
            </m:ctrlPr>
          </m:sSubPr>
          <m:e>
            <m:r>
              <m:rPr>
                <m:nor/>
              </m:rPr>
              <w:rPr>
                <w:rFonts w:eastAsiaTheme="minorEastAsia"/>
                <w:szCs w:val="24"/>
              </w:rPr>
              <m:t>log</m:t>
            </m:r>
          </m:e>
          <m:sub>
            <m:r>
              <m:rPr>
                <m:nor/>
              </m:rPr>
              <w:rPr>
                <w:rFonts w:eastAsiaTheme="minorEastAsia"/>
                <w:szCs w:val="24"/>
              </w:rPr>
              <m:t>10</m:t>
            </m:r>
          </m:sub>
        </m:sSub>
        <m:d>
          <m:dPr>
            <m:ctrlPr>
              <w:rPr>
                <w:rFonts w:ascii="Cambria Math" w:hAnsi="Cambria Math"/>
                <w:i/>
                <w:szCs w:val="24"/>
              </w:rPr>
            </m:ctrlPr>
          </m:dPr>
          <m:e>
            <m:nary>
              <m:naryPr>
                <m:limLoc m:val="undOvr"/>
                <m:subHide m:val="on"/>
                <m:supHide m:val="on"/>
                <m:ctrlPr>
                  <w:rPr>
                    <w:rFonts w:ascii="Cambria Math" w:hAnsi="Cambria Math"/>
                    <w:i/>
                    <w:szCs w:val="24"/>
                  </w:rPr>
                </m:ctrlPr>
              </m:naryPr>
              <m:sub/>
              <m:sup/>
              <m:e>
                <m:f>
                  <m:fPr>
                    <m:ctrlPr>
                      <w:rPr>
                        <w:rFonts w:ascii="Cambria Math" w:hAnsi="Cambria Math"/>
                        <w:i/>
                        <w:szCs w:val="24"/>
                      </w:rPr>
                    </m:ctrlPr>
                  </m:fPr>
                  <m:num>
                    <m:sSub>
                      <m:sSubPr>
                        <m:ctrlPr>
                          <w:rPr>
                            <w:rFonts w:ascii="Cambria Math" w:hAnsi="Cambria Math"/>
                            <w:i/>
                            <w:szCs w:val="24"/>
                          </w:rPr>
                        </m:ctrlPr>
                      </m:sSubPr>
                      <m:e>
                        <m:r>
                          <w:rPr>
                            <w:rFonts w:ascii="Cambria Math" w:hAnsi="Cambria Math"/>
                            <w:i/>
                            <w:szCs w:val="24"/>
                          </w:rPr>
                          <w:sym w:font="Symbol" w:char="F066"/>
                        </m:r>
                      </m:e>
                      <m:sub>
                        <m:r>
                          <w:rPr>
                            <w:rFonts w:ascii="Cambria Math"/>
                            <w:szCs w:val="24"/>
                          </w:rPr>
                          <m:t>pp</m:t>
                        </m:r>
                      </m:sub>
                    </m:sSub>
                    <m:d>
                      <m:dPr>
                        <m:ctrlPr>
                          <w:rPr>
                            <w:rFonts w:ascii="Cambria Math" w:hAnsi="Cambria Math"/>
                            <w:i/>
                            <w:szCs w:val="24"/>
                          </w:rPr>
                        </m:ctrlPr>
                      </m:dPr>
                      <m:e>
                        <m:r>
                          <w:rPr>
                            <w:rFonts w:ascii="Cambria Math"/>
                            <w:szCs w:val="24"/>
                          </w:rPr>
                          <m:t>f</m:t>
                        </m:r>
                      </m:e>
                    </m:d>
                  </m:num>
                  <m:den>
                    <m:sSubSup>
                      <m:sSubSupPr>
                        <m:ctrlPr>
                          <w:rPr>
                            <w:rFonts w:ascii="Cambria Math" w:hAnsi="Cambria Math"/>
                            <w:i/>
                            <w:szCs w:val="24"/>
                          </w:rPr>
                        </m:ctrlPr>
                      </m:sSubSupPr>
                      <m:e>
                        <m:r>
                          <w:rPr>
                            <w:rFonts w:ascii="Cambria Math"/>
                            <w:szCs w:val="24"/>
                          </w:rPr>
                          <m:t>p</m:t>
                        </m:r>
                      </m:e>
                      <m:sub>
                        <m:r>
                          <w:rPr>
                            <w:rFonts w:ascii="Cambria Math" w:hAnsi="Cambria Math"/>
                            <w:szCs w:val="24"/>
                          </w:rPr>
                          <m:t>r</m:t>
                        </m:r>
                        <m:r>
                          <w:rPr>
                            <w:rFonts w:ascii="Cambria Math"/>
                            <w:szCs w:val="24"/>
                          </w:rPr>
                          <m:t>ef</m:t>
                        </m:r>
                      </m:sub>
                      <m:sup>
                        <m:r>
                          <w:rPr>
                            <w:rFonts w:ascii="Cambria Math" w:hAnsi="Cambria Math"/>
                            <w:szCs w:val="24"/>
                          </w:rPr>
                          <m:t>2</m:t>
                        </m:r>
                      </m:sup>
                    </m:sSubSup>
                  </m:den>
                </m:f>
                <m:r>
                  <m:rPr>
                    <m:nor/>
                  </m:rPr>
                  <w:rPr>
                    <w:szCs w:val="24"/>
                  </w:rPr>
                  <m:t>d</m:t>
                </m:r>
                <m:r>
                  <w:rPr>
                    <w:rFonts w:ascii="Cambria Math"/>
                    <w:szCs w:val="24"/>
                  </w:rPr>
                  <m:t>f</m:t>
                </m:r>
              </m:e>
            </m:nary>
          </m:e>
        </m:d>
      </m:oMath>
      <w:r w:rsidRPr="008C3E81">
        <w:rPr>
          <w:rFonts w:eastAsiaTheme="minorEastAsia"/>
          <w:szCs w:val="24"/>
        </w:rPr>
        <w:tab/>
      </w:r>
      <w:r w:rsidRPr="008C3E81">
        <w:rPr>
          <w:rFonts w:eastAsiaTheme="minorEastAsia"/>
          <w:szCs w:val="24"/>
        </w:rPr>
        <w:tab/>
      </w:r>
      <w:r w:rsidRPr="008C3E81">
        <w:rPr>
          <w:rFonts w:eastAsiaTheme="minorEastAsia"/>
          <w:szCs w:val="24"/>
        </w:rPr>
        <w:tab/>
      </w:r>
      <w:r w:rsidRPr="008C3E81">
        <w:rPr>
          <w:rFonts w:eastAsiaTheme="minorEastAsia"/>
          <w:szCs w:val="24"/>
        </w:rPr>
        <w:tab/>
      </w:r>
      <w:r w:rsidRPr="008C3E81">
        <w:rPr>
          <w:rFonts w:eastAsiaTheme="minorEastAsia"/>
          <w:szCs w:val="24"/>
        </w:rPr>
        <w:tab/>
      </w:r>
      <w:r w:rsidRPr="008C3E81">
        <w:rPr>
          <w:rFonts w:eastAsiaTheme="minorEastAsia"/>
          <w:szCs w:val="24"/>
        </w:rPr>
        <w:tab/>
      </w:r>
      <w:r w:rsidRPr="008C3E81">
        <w:rPr>
          <w:rFonts w:eastAsiaTheme="minorEastAsia"/>
          <w:szCs w:val="24"/>
        </w:rPr>
        <w:tab/>
      </w:r>
      <w:r w:rsidR="00133706">
        <w:rPr>
          <w:rFonts w:eastAsiaTheme="minorEastAsia"/>
          <w:szCs w:val="24"/>
        </w:rPr>
        <w:tab/>
      </w:r>
      <w:r w:rsidR="00133706">
        <w:rPr>
          <w:rFonts w:eastAsiaTheme="minorEastAsia"/>
          <w:szCs w:val="24"/>
        </w:rPr>
        <w:tab/>
      </w:r>
      <w:r w:rsidRPr="008C3E81">
        <w:rPr>
          <w:rFonts w:eastAsiaTheme="minorEastAsia"/>
          <w:szCs w:val="24"/>
        </w:rPr>
        <w:t>(2)</w:t>
      </w:r>
    </w:p>
    <w:p w:rsidR="00873407" w:rsidRPr="008C3E81" w:rsidRDefault="00873407" w:rsidP="00E107EC">
      <w:pPr>
        <w:rPr>
          <w:rFonts w:eastAsiaTheme="minorEastAsia"/>
          <w:szCs w:val="24"/>
        </w:rPr>
      </w:pPr>
    </w:p>
    <w:p w:rsidR="00873407" w:rsidRPr="008C3E81" w:rsidRDefault="00873407" w:rsidP="00133706">
      <w:pPr>
        <w:jc w:val="center"/>
        <w:rPr>
          <w:rFonts w:eastAsiaTheme="minorEastAsia"/>
          <w:b/>
          <w:szCs w:val="24"/>
        </w:rPr>
      </w:pPr>
      <w:r w:rsidRPr="008C3E81">
        <w:rPr>
          <w:rFonts w:eastAsiaTheme="minorEastAsia"/>
          <w:b/>
          <w:noProof/>
          <w:szCs w:val="24"/>
          <w:lang w:val="en-IN" w:eastAsia="en-IN"/>
        </w:rPr>
        <w:lastRenderedPageBreak/>
        <w:drawing>
          <wp:inline distT="0" distB="0" distL="0" distR="0">
            <wp:extent cx="4680000" cy="2309362"/>
            <wp:effectExtent l="19050" t="0" r="6300" b="0"/>
            <wp:docPr id="6" name="Picture 2" descr="G:\Journal Detached Splitter Square\Post processing\spectrum\6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Journal Detached Splitter Square\Post processing\spectrum\6D\untitled.jpg"/>
                    <pic:cNvPicPr>
                      <a:picLocks noChangeAspect="1" noChangeArrowheads="1"/>
                    </pic:cNvPicPr>
                  </pic:nvPicPr>
                  <pic:blipFill>
                    <a:blip r:embed="rId12" cstate="print"/>
                    <a:srcRect/>
                    <a:stretch>
                      <a:fillRect/>
                    </a:stretch>
                  </pic:blipFill>
                  <pic:spPr bwMode="auto">
                    <a:xfrm>
                      <a:off x="0" y="0"/>
                      <a:ext cx="4680000" cy="2309362"/>
                    </a:xfrm>
                    <a:prstGeom prst="rect">
                      <a:avLst/>
                    </a:prstGeom>
                    <a:noFill/>
                    <a:ln w="9525">
                      <a:noFill/>
                      <a:miter lim="800000"/>
                      <a:headEnd/>
                      <a:tailEnd/>
                    </a:ln>
                  </pic:spPr>
                </pic:pic>
              </a:graphicData>
            </a:graphic>
          </wp:inline>
        </w:drawing>
      </w:r>
    </w:p>
    <w:p w:rsidR="00873407" w:rsidRPr="008C3E81" w:rsidRDefault="003B2F0A" w:rsidP="003B2F0A">
      <w:pPr>
        <w:ind w:firstLine="0"/>
        <w:jc w:val="center"/>
        <w:rPr>
          <w:rFonts w:eastAsiaTheme="minorEastAsia"/>
          <w:szCs w:val="24"/>
        </w:rPr>
      </w:pPr>
      <w:r>
        <w:rPr>
          <w:rFonts w:eastAsiaTheme="minorEastAsia"/>
          <w:szCs w:val="24"/>
        </w:rPr>
        <w:t>Fig.</w:t>
      </w:r>
      <w:r w:rsidR="00873407">
        <w:rPr>
          <w:rFonts w:eastAsiaTheme="minorEastAsia"/>
          <w:szCs w:val="24"/>
        </w:rPr>
        <w:t xml:space="preserve"> 4</w:t>
      </w:r>
      <w:r w:rsidR="00873407" w:rsidRPr="008C3E81">
        <w:rPr>
          <w:rFonts w:eastAsiaTheme="minorEastAsia"/>
          <w:szCs w:val="24"/>
        </w:rPr>
        <w:t>: Comparison of the numerical SPL spectrum with the experimental result.</w:t>
      </w:r>
    </w:p>
    <w:p w:rsidR="00873407" w:rsidRPr="008C3E81" w:rsidRDefault="00873407" w:rsidP="00E107EC">
      <w:pPr>
        <w:rPr>
          <w:rFonts w:eastAsiaTheme="minorEastAsia"/>
          <w:szCs w:val="24"/>
        </w:rPr>
      </w:pPr>
    </w:p>
    <w:p w:rsidR="00873407" w:rsidRDefault="00873407" w:rsidP="003B2F0A">
      <w:pPr>
        <w:ind w:firstLine="0"/>
        <w:jc w:val="center"/>
        <w:rPr>
          <w:rFonts w:eastAsiaTheme="minorEastAsia"/>
          <w:szCs w:val="24"/>
        </w:rPr>
      </w:pPr>
      <w:r>
        <w:rPr>
          <w:rFonts w:eastAsiaTheme="minorEastAsia"/>
          <w:szCs w:val="24"/>
        </w:rPr>
        <w:t>Table 2</w:t>
      </w:r>
      <w:r w:rsidRPr="008C3E81">
        <w:rPr>
          <w:rFonts w:eastAsiaTheme="minorEastAsia"/>
          <w:szCs w:val="24"/>
        </w:rPr>
        <w:t>: Comparison of the calculated sound parameters with experimental results.</w:t>
      </w:r>
    </w:p>
    <w:p w:rsidR="00E107EC" w:rsidRDefault="00E107EC" w:rsidP="00E107EC">
      <w:pPr>
        <w:rPr>
          <w:rFonts w:eastAsiaTheme="minorEastAsia"/>
          <w:szCs w:val="24"/>
        </w:rPr>
      </w:pPr>
    </w:p>
    <w:tbl>
      <w:tblPr>
        <w:tblStyle w:val="TableGrid"/>
        <w:tblW w:w="0" w:type="auto"/>
        <w:jc w:val="center"/>
        <w:tblInd w:w="-1492" w:type="dxa"/>
        <w:tblLook w:val="04A0"/>
      </w:tblPr>
      <w:tblGrid>
        <w:gridCol w:w="3539"/>
        <w:gridCol w:w="1559"/>
        <w:gridCol w:w="1367"/>
      </w:tblGrid>
      <w:tr w:rsidR="00873407" w:rsidRPr="008C3E81" w:rsidTr="0085313C">
        <w:trPr>
          <w:jc w:val="center"/>
        </w:trPr>
        <w:tc>
          <w:tcPr>
            <w:tcW w:w="3539" w:type="dxa"/>
          </w:tcPr>
          <w:p w:rsidR="00873407" w:rsidRPr="008C3E81" w:rsidRDefault="00873407" w:rsidP="0085313C">
            <w:pPr>
              <w:rPr>
                <w:szCs w:val="24"/>
              </w:rPr>
            </w:pPr>
            <w:r w:rsidRPr="008C3E81">
              <w:rPr>
                <w:szCs w:val="24"/>
              </w:rPr>
              <w:t>Acoustic</w:t>
            </w:r>
            <w:r w:rsidR="0085313C">
              <w:rPr>
                <w:szCs w:val="24"/>
              </w:rPr>
              <w:t xml:space="preserve"> </w:t>
            </w:r>
            <w:r w:rsidRPr="008C3E81">
              <w:rPr>
                <w:szCs w:val="24"/>
              </w:rPr>
              <w:t>parameters</w:t>
            </w:r>
          </w:p>
        </w:tc>
        <w:tc>
          <w:tcPr>
            <w:tcW w:w="1559" w:type="dxa"/>
          </w:tcPr>
          <w:p w:rsidR="00873407" w:rsidRPr="008C3E81" w:rsidRDefault="00873407" w:rsidP="00E107EC">
            <w:pPr>
              <w:rPr>
                <w:szCs w:val="24"/>
              </w:rPr>
            </w:pPr>
            <w:r w:rsidRPr="008C3E81">
              <w:rPr>
                <w:szCs w:val="24"/>
              </w:rPr>
              <w:t>Exp.</w:t>
            </w:r>
          </w:p>
        </w:tc>
        <w:tc>
          <w:tcPr>
            <w:tcW w:w="1367" w:type="dxa"/>
          </w:tcPr>
          <w:p w:rsidR="00873407" w:rsidRPr="008C3E81" w:rsidRDefault="00873407" w:rsidP="00E107EC">
            <w:pPr>
              <w:rPr>
                <w:szCs w:val="24"/>
              </w:rPr>
            </w:pPr>
            <w:r w:rsidRPr="008C3E81">
              <w:rPr>
                <w:szCs w:val="24"/>
              </w:rPr>
              <w:t>Num.</w:t>
            </w:r>
          </w:p>
        </w:tc>
      </w:tr>
      <w:tr w:rsidR="00873407" w:rsidRPr="008C3E81" w:rsidTr="0085313C">
        <w:trPr>
          <w:jc w:val="center"/>
        </w:trPr>
        <w:tc>
          <w:tcPr>
            <w:tcW w:w="3539" w:type="dxa"/>
          </w:tcPr>
          <w:p w:rsidR="00873407" w:rsidRPr="008C3E81" w:rsidRDefault="00873407" w:rsidP="00E107EC">
            <w:pPr>
              <w:rPr>
                <w:b/>
                <w:i/>
                <w:szCs w:val="24"/>
                <w:vertAlign w:val="subscript"/>
              </w:rPr>
            </w:pPr>
            <w:r w:rsidRPr="008C3E81">
              <w:rPr>
                <w:i/>
                <w:szCs w:val="24"/>
              </w:rPr>
              <w:t>St</w:t>
            </w:r>
            <w:r w:rsidRPr="008C3E81">
              <w:rPr>
                <w:i/>
                <w:szCs w:val="24"/>
                <w:vertAlign w:val="subscript"/>
              </w:rPr>
              <w:t>T</w:t>
            </w:r>
          </w:p>
        </w:tc>
        <w:tc>
          <w:tcPr>
            <w:tcW w:w="1559" w:type="dxa"/>
          </w:tcPr>
          <w:p w:rsidR="00873407" w:rsidRPr="008C3E81" w:rsidRDefault="00873407" w:rsidP="00E107EC">
            <w:pPr>
              <w:rPr>
                <w:szCs w:val="24"/>
              </w:rPr>
            </w:pPr>
            <w:r w:rsidRPr="008C3E81">
              <w:rPr>
                <w:szCs w:val="24"/>
              </w:rPr>
              <w:t>0.122</w:t>
            </w:r>
          </w:p>
        </w:tc>
        <w:tc>
          <w:tcPr>
            <w:tcW w:w="1367" w:type="dxa"/>
          </w:tcPr>
          <w:p w:rsidR="00873407" w:rsidRPr="008C3E81" w:rsidRDefault="00873407" w:rsidP="00E107EC">
            <w:pPr>
              <w:rPr>
                <w:szCs w:val="24"/>
              </w:rPr>
            </w:pPr>
            <w:r w:rsidRPr="008C3E81">
              <w:rPr>
                <w:szCs w:val="24"/>
              </w:rPr>
              <w:t>0.118</w:t>
            </w:r>
          </w:p>
        </w:tc>
      </w:tr>
      <w:tr w:rsidR="00873407" w:rsidRPr="008C3E81" w:rsidTr="0085313C">
        <w:trPr>
          <w:jc w:val="center"/>
        </w:trPr>
        <w:tc>
          <w:tcPr>
            <w:tcW w:w="3539" w:type="dxa"/>
          </w:tcPr>
          <w:p w:rsidR="00873407" w:rsidRPr="008C3E81" w:rsidRDefault="00873407" w:rsidP="00E107EC">
            <w:pPr>
              <w:rPr>
                <w:b/>
                <w:szCs w:val="24"/>
              </w:rPr>
            </w:pPr>
            <w:r w:rsidRPr="008C3E81">
              <w:rPr>
                <w:szCs w:val="24"/>
              </w:rPr>
              <w:t>SPL</w:t>
            </w:r>
            <w:r w:rsidRPr="008C3E81">
              <w:rPr>
                <w:szCs w:val="24"/>
                <w:vertAlign w:val="subscript"/>
              </w:rPr>
              <w:t>T</w:t>
            </w:r>
            <w:r w:rsidRPr="008C3E81">
              <w:rPr>
                <w:szCs w:val="24"/>
              </w:rPr>
              <w:t xml:space="preserve"> (dB)</w:t>
            </w:r>
          </w:p>
        </w:tc>
        <w:tc>
          <w:tcPr>
            <w:tcW w:w="1559" w:type="dxa"/>
          </w:tcPr>
          <w:p w:rsidR="00873407" w:rsidRPr="008C3E81" w:rsidRDefault="00873407" w:rsidP="00E107EC">
            <w:pPr>
              <w:rPr>
                <w:szCs w:val="24"/>
              </w:rPr>
            </w:pPr>
            <w:r w:rsidRPr="008C3E81">
              <w:rPr>
                <w:szCs w:val="24"/>
              </w:rPr>
              <w:t>83.48</w:t>
            </w:r>
          </w:p>
        </w:tc>
        <w:tc>
          <w:tcPr>
            <w:tcW w:w="1367" w:type="dxa"/>
          </w:tcPr>
          <w:p w:rsidR="00873407" w:rsidRPr="008C3E81" w:rsidRDefault="00873407" w:rsidP="00E107EC">
            <w:pPr>
              <w:rPr>
                <w:szCs w:val="24"/>
              </w:rPr>
            </w:pPr>
            <w:r w:rsidRPr="008C3E81">
              <w:rPr>
                <w:szCs w:val="24"/>
              </w:rPr>
              <w:t>83.06</w:t>
            </w:r>
          </w:p>
        </w:tc>
      </w:tr>
    </w:tbl>
    <w:p w:rsidR="00873407" w:rsidRPr="008C3E81" w:rsidRDefault="00873407" w:rsidP="00E107EC">
      <w:pPr>
        <w:rPr>
          <w:oMath/>
          <w:rFonts w:ascii="Cambria Math" w:hAnsi="Cambria Math"/>
          <w:szCs w:val="24"/>
        </w:rPr>
      </w:pPr>
    </w:p>
    <w:p w:rsidR="00873407" w:rsidRDefault="00873407" w:rsidP="00E107EC">
      <w:pPr>
        <w:ind w:firstLine="720"/>
        <w:rPr>
          <w:rFonts w:eastAsiaTheme="minorEastAsia"/>
          <w:szCs w:val="24"/>
        </w:rPr>
      </w:pPr>
      <w:r w:rsidRPr="008C3E81">
        <w:rPr>
          <w:szCs w:val="24"/>
        </w:rPr>
        <w:t xml:space="preserve">Comparing the </w:t>
      </w:r>
      <w:r w:rsidRPr="008C3E81">
        <w:rPr>
          <w:i/>
          <w:szCs w:val="24"/>
        </w:rPr>
        <w:t>St</w:t>
      </w:r>
      <w:r w:rsidRPr="008C3E81">
        <w:rPr>
          <w:i/>
          <w:szCs w:val="24"/>
          <w:vertAlign w:val="subscript"/>
        </w:rPr>
        <w:t>T</w:t>
      </w:r>
      <w:r w:rsidRPr="008C3E81">
        <w:rPr>
          <w:szCs w:val="24"/>
        </w:rPr>
        <w:t xml:space="preserve"> </w:t>
      </w:r>
      <w:r>
        <w:rPr>
          <w:szCs w:val="24"/>
        </w:rPr>
        <w:t>(see Table 2</w:t>
      </w:r>
      <w:r w:rsidRPr="008C3E81">
        <w:rPr>
          <w:szCs w:val="24"/>
        </w:rPr>
        <w:t xml:space="preserve">) with the </w:t>
      </w:r>
      <w:r w:rsidRPr="008C3E81">
        <w:rPr>
          <w:i/>
          <w:szCs w:val="24"/>
        </w:rPr>
        <w:t>St</w:t>
      </w:r>
      <w:r w:rsidRPr="008C3E81">
        <w:rPr>
          <w:noProof/>
          <w:szCs w:val="24"/>
        </w:rPr>
        <w:t xml:space="preserve"> (see </w:t>
      </w:r>
      <w:r>
        <w:rPr>
          <w:iCs/>
          <w:szCs w:val="24"/>
        </w:rPr>
        <w:t>Table 1</w:t>
      </w:r>
      <w:r w:rsidRPr="008C3E81">
        <w:rPr>
          <w:iCs/>
          <w:szCs w:val="24"/>
        </w:rPr>
        <w:t>)</w:t>
      </w:r>
      <w:r w:rsidRPr="008C3E81">
        <w:rPr>
          <w:szCs w:val="24"/>
        </w:rPr>
        <w:t xml:space="preserve">, it is clear that the peak sound frequency </w:t>
      </w:r>
      <w:r w:rsidRPr="008C3E81">
        <w:rPr>
          <w:noProof/>
          <w:szCs w:val="24"/>
        </w:rPr>
        <w:t>takes</w:t>
      </w:r>
      <w:r w:rsidRPr="008C3E81">
        <w:rPr>
          <w:szCs w:val="24"/>
        </w:rPr>
        <w:t xml:space="preserve"> place at around the dominant vortex shedding frequency, which means the dominant role of vortex shedding on aeroacoustic sound generation. </w:t>
      </w:r>
    </w:p>
    <w:p w:rsidR="00873407" w:rsidRDefault="00873407" w:rsidP="00E107EC">
      <w:pPr>
        <w:rPr>
          <w:rFonts w:eastAsiaTheme="minorEastAsia"/>
          <w:b/>
          <w:szCs w:val="24"/>
        </w:rPr>
      </w:pPr>
    </w:p>
    <w:p w:rsidR="00873407" w:rsidRPr="0085313C" w:rsidRDefault="00873407" w:rsidP="0085313C">
      <w:pPr>
        <w:ind w:firstLine="0"/>
        <w:rPr>
          <w:rFonts w:ascii="Arial" w:eastAsiaTheme="minorEastAsia" w:hAnsi="Arial" w:cs="Arial"/>
          <w:b/>
          <w:szCs w:val="24"/>
        </w:rPr>
      </w:pPr>
      <w:r w:rsidRPr="0085313C">
        <w:rPr>
          <w:rFonts w:ascii="Arial" w:eastAsiaTheme="minorEastAsia" w:hAnsi="Arial" w:cs="Arial"/>
          <w:b/>
          <w:szCs w:val="24"/>
        </w:rPr>
        <w:t>5. C</w:t>
      </w:r>
      <w:r w:rsidR="0085313C" w:rsidRPr="0085313C">
        <w:rPr>
          <w:rFonts w:ascii="Arial" w:eastAsiaTheme="minorEastAsia" w:hAnsi="Arial" w:cs="Arial"/>
          <w:b/>
          <w:szCs w:val="24"/>
        </w:rPr>
        <w:t>onclusion</w:t>
      </w:r>
    </w:p>
    <w:p w:rsidR="00873407" w:rsidRPr="008C3E81" w:rsidRDefault="00873407" w:rsidP="00E107EC">
      <w:pPr>
        <w:rPr>
          <w:szCs w:val="24"/>
        </w:rPr>
      </w:pPr>
      <w:r w:rsidRPr="00D56E52">
        <w:rPr>
          <w:szCs w:val="24"/>
        </w:rPr>
        <w:t xml:space="preserve">A generalized CFD approach is attempted to capture the far-field sound emitted from </w:t>
      </w:r>
      <w:r>
        <w:rPr>
          <w:szCs w:val="24"/>
        </w:rPr>
        <w:t xml:space="preserve">square </w:t>
      </w:r>
      <w:r w:rsidRPr="00D56E52">
        <w:rPr>
          <w:szCs w:val="24"/>
        </w:rPr>
        <w:t xml:space="preserve">cylinders. </w:t>
      </w:r>
      <w:r>
        <w:rPr>
          <w:szCs w:val="24"/>
        </w:rPr>
        <w:t xml:space="preserve">The </w:t>
      </w:r>
      <w:r w:rsidRPr="008C3E81">
        <w:rPr>
          <w:szCs w:val="24"/>
        </w:rPr>
        <w:t xml:space="preserve">incoming flow field </w:t>
      </w:r>
      <w:r>
        <w:rPr>
          <w:szCs w:val="24"/>
        </w:rPr>
        <w:t xml:space="preserve">has a </w:t>
      </w:r>
      <w:r w:rsidRPr="008C3E81">
        <w:rPr>
          <w:i/>
          <w:szCs w:val="24"/>
        </w:rPr>
        <w:t>Re</w:t>
      </w:r>
      <w:r w:rsidRPr="008C3E81">
        <w:rPr>
          <w:szCs w:val="24"/>
        </w:rPr>
        <w:t xml:space="preserve"> = 54</w:t>
      </w:r>
      <w:r>
        <w:rPr>
          <w:szCs w:val="24"/>
        </w:rPr>
        <w:t>,</w:t>
      </w:r>
      <w:r w:rsidRPr="008C3E81">
        <w:rPr>
          <w:szCs w:val="24"/>
        </w:rPr>
        <w:t xml:space="preserve">800 </w:t>
      </w:r>
      <w:r>
        <w:rPr>
          <w:szCs w:val="24"/>
        </w:rPr>
        <w:t xml:space="preserve">and the flow field </w:t>
      </w:r>
      <w:r w:rsidRPr="008C3E81">
        <w:rPr>
          <w:szCs w:val="24"/>
        </w:rPr>
        <w:t xml:space="preserve">has been resolved using the URANS technique, and the far-field acoustic results are computed by means of the FW-H acoustic analogy. The considered </w:t>
      </w:r>
      <w:r>
        <w:rPr>
          <w:szCs w:val="24"/>
        </w:rPr>
        <w:t xml:space="preserve">method shows promising results in predicting the concerned properties. </w:t>
      </w:r>
      <w:r w:rsidRPr="008C3E81">
        <w:rPr>
          <w:szCs w:val="24"/>
        </w:rPr>
        <w:t xml:space="preserve"> Future work should address the </w:t>
      </w:r>
      <w:r w:rsidRPr="008C3E81">
        <w:rPr>
          <w:noProof/>
          <w:szCs w:val="24"/>
        </w:rPr>
        <w:t>behaviour</w:t>
      </w:r>
      <w:r w:rsidRPr="008C3E81">
        <w:rPr>
          <w:szCs w:val="24"/>
        </w:rPr>
        <w:t xml:space="preserve"> of cylinders of various </w:t>
      </w:r>
      <w:r w:rsidRPr="008C3E81">
        <w:rPr>
          <w:noProof/>
          <w:szCs w:val="24"/>
        </w:rPr>
        <w:t>cross-sections</w:t>
      </w:r>
      <w:r w:rsidRPr="008C3E81">
        <w:rPr>
          <w:szCs w:val="24"/>
        </w:rPr>
        <w:t xml:space="preserve">, with the </w:t>
      </w:r>
      <w:r w:rsidRPr="008C3E81">
        <w:rPr>
          <w:noProof/>
          <w:szCs w:val="24"/>
        </w:rPr>
        <w:t>active</w:t>
      </w:r>
      <w:r w:rsidRPr="008C3E81">
        <w:rPr>
          <w:szCs w:val="24"/>
        </w:rPr>
        <w:t xml:space="preserve"> flow and noise control.</w:t>
      </w:r>
    </w:p>
    <w:p w:rsidR="00873407" w:rsidRPr="008C3E81" w:rsidRDefault="00873407" w:rsidP="00E107EC">
      <w:pPr>
        <w:rPr>
          <w:b/>
          <w:szCs w:val="24"/>
        </w:rPr>
      </w:pPr>
    </w:p>
    <w:p w:rsidR="00873407" w:rsidRPr="0085313C" w:rsidRDefault="0085313C" w:rsidP="0085313C">
      <w:pPr>
        <w:ind w:firstLine="0"/>
        <w:rPr>
          <w:rFonts w:ascii="Arial" w:hAnsi="Arial" w:cs="Arial"/>
          <w:szCs w:val="24"/>
        </w:rPr>
      </w:pPr>
      <w:r w:rsidRPr="0085313C">
        <w:rPr>
          <w:rFonts w:ascii="Arial" w:hAnsi="Arial" w:cs="Arial"/>
          <w:b/>
          <w:szCs w:val="24"/>
        </w:rPr>
        <w:t>References</w:t>
      </w:r>
    </w:p>
    <w:p w:rsidR="00873407" w:rsidRPr="008C3E81" w:rsidRDefault="00873407" w:rsidP="00E107EC">
      <w:pPr>
        <w:widowControl w:val="0"/>
        <w:autoSpaceDE w:val="0"/>
        <w:autoSpaceDN w:val="0"/>
        <w:adjustRightInd w:val="0"/>
        <w:ind w:left="480" w:hanging="480"/>
        <w:rPr>
          <w:noProof/>
          <w:szCs w:val="24"/>
        </w:rPr>
      </w:pPr>
      <w:r w:rsidRPr="008C3E81">
        <w:rPr>
          <w:szCs w:val="24"/>
        </w:rPr>
        <w:fldChar w:fldCharType="begin" w:fldLock="1"/>
      </w:r>
      <w:r w:rsidRPr="008C3E81">
        <w:rPr>
          <w:szCs w:val="24"/>
        </w:rPr>
        <w:instrText xml:space="preserve">ADDIN Mendeley Bibliography CSL_BIBLIOGRAPHY </w:instrText>
      </w:r>
      <w:r w:rsidRPr="008C3E81">
        <w:rPr>
          <w:szCs w:val="24"/>
        </w:rPr>
        <w:fldChar w:fldCharType="separate"/>
      </w:r>
    </w:p>
    <w:p w:rsidR="00873407" w:rsidRPr="008C3E81" w:rsidRDefault="00873407" w:rsidP="00E107EC">
      <w:pPr>
        <w:widowControl w:val="0"/>
        <w:autoSpaceDE w:val="0"/>
        <w:autoSpaceDN w:val="0"/>
        <w:adjustRightInd w:val="0"/>
        <w:ind w:left="480" w:hanging="480"/>
        <w:rPr>
          <w:noProof/>
          <w:szCs w:val="24"/>
        </w:rPr>
      </w:pPr>
      <w:r w:rsidRPr="008C3E81">
        <w:rPr>
          <w:noProof/>
          <w:szCs w:val="24"/>
        </w:rPr>
        <w:t>Latorre Iglesias, E., Thompson, D.J., Smith, M.G., 2016. Experimental study of the aerodynamic noise radiated by cylinders with different cross-sections and yaw angles. J. Sound Vib. 361, 108–129. https://doi.org/10.1016/j.jsv.2015.09.044</w:t>
      </w:r>
    </w:p>
    <w:p w:rsidR="00873407" w:rsidRPr="008C3E81" w:rsidRDefault="00873407" w:rsidP="00E107EC">
      <w:pPr>
        <w:widowControl w:val="0"/>
        <w:autoSpaceDE w:val="0"/>
        <w:autoSpaceDN w:val="0"/>
        <w:adjustRightInd w:val="0"/>
        <w:ind w:left="480" w:hanging="480"/>
        <w:rPr>
          <w:noProof/>
          <w:szCs w:val="24"/>
        </w:rPr>
      </w:pPr>
      <w:r w:rsidRPr="008C3E81">
        <w:rPr>
          <w:noProof/>
          <w:szCs w:val="24"/>
        </w:rPr>
        <w:t>Samion, S.R.L., Ali, M.S.M., Abu, A., Doolan, C.J., Porteous, R.Z.Y., 2016. Aerodynamic sound from a square cylinder with a downstream wedge. Aerosp. Sci. Technol. 53, 85–94. https://doi.org/10.1016/j.ast.2016.03.007</w:t>
      </w:r>
    </w:p>
    <w:p w:rsidR="00BF7AE8" w:rsidRPr="00942EA6" w:rsidRDefault="00873407" w:rsidP="0085313C">
      <w:pPr>
        <w:widowControl w:val="0"/>
        <w:autoSpaceDE w:val="0"/>
        <w:autoSpaceDN w:val="0"/>
        <w:adjustRightInd w:val="0"/>
        <w:ind w:left="480" w:hanging="480"/>
        <w:rPr>
          <w:sz w:val="22"/>
          <w:szCs w:val="22"/>
        </w:rPr>
      </w:pPr>
      <w:r w:rsidRPr="008C3E81">
        <w:rPr>
          <w:noProof/>
          <w:szCs w:val="24"/>
        </w:rPr>
        <w:t>Williams, J.E.F., Hawkings, D.L., 1969. Sound Generation by Turbulence and Surfaces in Arbitrary Motion. Philos. Trans. R. Soc. A Math. Phys. Eng. Sci. https://doi.org/10.1098/rsta.1969.0031</w:t>
      </w:r>
      <w:r w:rsidRPr="008C3E81">
        <w:rPr>
          <w:szCs w:val="24"/>
        </w:rPr>
        <w:fldChar w:fldCharType="end"/>
      </w:r>
    </w:p>
    <w:sectPr w:rsidR="00BF7AE8" w:rsidRPr="00942EA6" w:rsidSect="00C0795D">
      <w:footerReference w:type="default" r:id="rId13"/>
      <w:headerReference w:type="first" r:id="rId14"/>
      <w:footerReference w:type="first" r:id="rId15"/>
      <w:pgSz w:w="11907" w:h="16839" w:code="9"/>
      <w:pgMar w:top="990" w:right="1151" w:bottom="720" w:left="1151"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333A" w:rsidRDefault="0062333A">
      <w:r>
        <w:separator/>
      </w:r>
    </w:p>
  </w:endnote>
  <w:endnote w:type="continuationSeparator" w:id="1">
    <w:p w:rsidR="0062333A" w:rsidRDefault="006233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FKai-SB">
    <w:altName w:val="Microsoft JhengHei Light"/>
    <w:charset w:val="88"/>
    <w:family w:val="script"/>
    <w:pitch w:val="fixed"/>
    <w:sig w:usb0="00000000" w:usb1="080E0000" w:usb2="00000016" w:usb3="00000000" w:csb0="0010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A47C1A">
    <w:pPr>
      <w:pStyle w:val="Footer"/>
      <w:jc w:val="center"/>
    </w:pPr>
  </w:p>
  <w:p w:rsidR="00B11368" w:rsidRDefault="00B11368">
    <w:pPr>
      <w:pStyle w:val="Footer"/>
      <w:jc w:val="center"/>
    </w:pPr>
  </w:p>
  <w:p w:rsidR="00A47C1A" w:rsidRDefault="0025551B">
    <w:pPr>
      <w:pStyle w:val="Footer"/>
      <w:jc w:val="center"/>
    </w:pPr>
    <w:r>
      <w:fldChar w:fldCharType="begin"/>
    </w:r>
    <w:r w:rsidR="00036E07">
      <w:instrText xml:space="preserve"> PAGE </w:instrText>
    </w:r>
    <w:r>
      <w:fldChar w:fldCharType="separate"/>
    </w:r>
    <w:r w:rsidR="00252051">
      <w:rPr>
        <w:noProof/>
      </w:rPr>
      <w:t>2</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25551B">
    <w:pPr>
      <w:pStyle w:val="Footer"/>
      <w:jc w:val="center"/>
      <w:rPr>
        <w:lang w:val="sl-SI"/>
      </w:rPr>
    </w:pPr>
    <w:r>
      <w:rPr>
        <w:rStyle w:val="PageNumber"/>
      </w:rPr>
      <w:fldChar w:fldCharType="begin"/>
    </w:r>
    <w:r w:rsidR="00A47C1A">
      <w:rPr>
        <w:rStyle w:val="PageNumber"/>
      </w:rPr>
      <w:instrText xml:space="preserve"> PAGE </w:instrText>
    </w:r>
    <w:r>
      <w:rPr>
        <w:rStyle w:val="PageNumber"/>
      </w:rPr>
      <w:fldChar w:fldCharType="separate"/>
    </w:r>
    <w:r w:rsidR="001778A2">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333A" w:rsidRDefault="0062333A">
      <w:r>
        <w:separator/>
      </w:r>
    </w:p>
  </w:footnote>
  <w:footnote w:type="continuationSeparator" w:id="1">
    <w:p w:rsidR="0062333A" w:rsidRDefault="006233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76D" w:rsidRDefault="0017676D" w:rsidP="00765DC7">
    <w:pPr>
      <w:pStyle w:val="Footer"/>
      <w:ind w:firstLine="0"/>
      <w:jc w:val="left"/>
      <w:rPr>
        <w:i/>
        <w:lang w:val="en-CA"/>
      </w:rPr>
    </w:pPr>
    <w:r w:rsidRPr="004E477E">
      <w:rPr>
        <w:i/>
        <w:lang w:val="en-CA"/>
      </w:rPr>
      <w:t xml:space="preserve">Proceedings of the </w:t>
    </w:r>
    <w:r w:rsidR="00765DC7">
      <w:rPr>
        <w:i/>
        <w:lang w:val="en-CA"/>
      </w:rPr>
      <w:t xml:space="preserve">International </w:t>
    </w:r>
    <w:r w:rsidR="00F755D8">
      <w:rPr>
        <w:i/>
        <w:lang w:val="en-CA"/>
      </w:rPr>
      <w:t xml:space="preserve"> </w:t>
    </w:r>
    <w:r w:rsidR="004957D6">
      <w:rPr>
        <w:i/>
        <w:lang w:val="en-CA"/>
      </w:rPr>
      <w:t xml:space="preserve">Conference </w:t>
    </w:r>
    <w:r w:rsidR="00F755D8">
      <w:rPr>
        <w:i/>
        <w:lang w:val="en-CA"/>
      </w:rPr>
      <w:t xml:space="preserve">on </w:t>
    </w:r>
    <w:r w:rsidR="00765DC7" w:rsidRPr="00765DC7">
      <w:rPr>
        <w:i/>
        <w:lang w:val="en-CA"/>
      </w:rPr>
      <w:t>Applied Mechanical Engineering Research</w:t>
    </w:r>
    <w:r w:rsidR="00765DC7">
      <w:rPr>
        <w:i/>
        <w:lang w:val="en-CA"/>
      </w:rPr>
      <w:t xml:space="preserve"> </w:t>
    </w:r>
    <w:r w:rsidR="00765DC7" w:rsidRPr="00765DC7">
      <w:rPr>
        <w:i/>
        <w:lang w:val="en-CA"/>
      </w:rPr>
      <w:t>(IC-AMER2019)</w:t>
    </w:r>
  </w:p>
  <w:p w:rsidR="00A47C1A" w:rsidRDefault="00F755D8" w:rsidP="00540715">
    <w:pPr>
      <w:pStyle w:val="Footer"/>
      <w:tabs>
        <w:tab w:val="left" w:pos="720"/>
      </w:tabs>
      <w:ind w:firstLine="0"/>
      <w:jc w:val="left"/>
      <w:rPr>
        <w:i/>
        <w:lang w:val="en-CA"/>
      </w:rPr>
    </w:pPr>
    <w:r>
      <w:rPr>
        <w:i/>
        <w:lang w:val="en-CA"/>
      </w:rPr>
      <w:t xml:space="preserve">NIT Warangal, India – </w:t>
    </w:r>
    <w:r w:rsidR="00765DC7">
      <w:rPr>
        <w:i/>
        <w:lang w:val="en-CA"/>
      </w:rPr>
      <w:t>May 02</w:t>
    </w:r>
    <w:r>
      <w:rPr>
        <w:i/>
        <w:lang w:val="en-CA"/>
      </w:rPr>
      <w:t>-</w:t>
    </w:r>
    <w:r w:rsidR="00765DC7">
      <w:rPr>
        <w:i/>
        <w:lang w:val="en-CA"/>
      </w:rPr>
      <w:t>05</w:t>
    </w:r>
    <w:r w:rsidR="003F2D85">
      <w:rPr>
        <w:i/>
        <w:lang w:val="en-CA"/>
      </w:rPr>
      <w:t xml:space="preserve">, </w:t>
    </w:r>
    <w:r>
      <w:rPr>
        <w:i/>
        <w:lang w:val="en-CA"/>
      </w:rPr>
      <w:t>2019</w:t>
    </w:r>
  </w:p>
  <w:p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hybridMultilevel"/>
    <w:tmpl w:val="EE34EB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07E5302"/>
    <w:multiLevelType w:val="singleLevel"/>
    <w:tmpl w:val="DCF677BC"/>
    <w:lvl w:ilvl="0">
      <w:start w:val="1"/>
      <w:numFmt w:val="decimal"/>
      <w:lvlText w:val="[%1]"/>
      <w:lvlJc w:val="left"/>
      <w:pPr>
        <w:tabs>
          <w:tab w:val="num" w:pos="360"/>
        </w:tabs>
        <w:ind w:left="360" w:hanging="360"/>
      </w:pPr>
    </w:lvl>
  </w:abstractNum>
  <w:num w:numId="1">
    <w:abstractNumId w:val="12"/>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2"/>
  </w:num>
  <w:num w:numId="16">
    <w:abstractNumId w:val="5"/>
  </w:num>
  <w:num w:numId="17">
    <w:abstractNumId w:val="13"/>
  </w:num>
  <w:num w:numId="18">
    <w:abstractNumId w:val="10"/>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26626"/>
  </w:hdrShapeDefaults>
  <w:footnotePr>
    <w:footnote w:id="0"/>
    <w:footnote w:id="1"/>
  </w:footnotePr>
  <w:endnotePr>
    <w:endnote w:id="0"/>
    <w:endnote w:id="1"/>
  </w:endnotePr>
  <w:compat/>
  <w:rsids>
    <w:rsidRoot w:val="008D4882"/>
    <w:rsid w:val="000078A6"/>
    <w:rsid w:val="00021A6C"/>
    <w:rsid w:val="00026BC3"/>
    <w:rsid w:val="00026D13"/>
    <w:rsid w:val="00036E07"/>
    <w:rsid w:val="00054FA2"/>
    <w:rsid w:val="00095DE1"/>
    <w:rsid w:val="000C411C"/>
    <w:rsid w:val="000C7419"/>
    <w:rsid w:val="000F268D"/>
    <w:rsid w:val="0011741F"/>
    <w:rsid w:val="00122886"/>
    <w:rsid w:val="00125A5C"/>
    <w:rsid w:val="00133706"/>
    <w:rsid w:val="0016494C"/>
    <w:rsid w:val="001726F9"/>
    <w:rsid w:val="0017676D"/>
    <w:rsid w:val="001778A2"/>
    <w:rsid w:val="00186CD1"/>
    <w:rsid w:val="001A06FD"/>
    <w:rsid w:val="001E4452"/>
    <w:rsid w:val="001F0C01"/>
    <w:rsid w:val="001F4C3D"/>
    <w:rsid w:val="001F57B9"/>
    <w:rsid w:val="00205179"/>
    <w:rsid w:val="00220866"/>
    <w:rsid w:val="00220E8C"/>
    <w:rsid w:val="00243A47"/>
    <w:rsid w:val="0024718D"/>
    <w:rsid w:val="00252051"/>
    <w:rsid w:val="0025551B"/>
    <w:rsid w:val="00295E6C"/>
    <w:rsid w:val="002B13D9"/>
    <w:rsid w:val="002C5633"/>
    <w:rsid w:val="002E19E8"/>
    <w:rsid w:val="002E3A2D"/>
    <w:rsid w:val="002E457C"/>
    <w:rsid w:val="002F788F"/>
    <w:rsid w:val="0030251D"/>
    <w:rsid w:val="00322C87"/>
    <w:rsid w:val="003263B6"/>
    <w:rsid w:val="003571F4"/>
    <w:rsid w:val="00374491"/>
    <w:rsid w:val="00375B18"/>
    <w:rsid w:val="00390BBA"/>
    <w:rsid w:val="00393AC9"/>
    <w:rsid w:val="00393D37"/>
    <w:rsid w:val="003A0B06"/>
    <w:rsid w:val="003A7E1C"/>
    <w:rsid w:val="003B23F8"/>
    <w:rsid w:val="003B2F0A"/>
    <w:rsid w:val="003D5FF1"/>
    <w:rsid w:val="003F1115"/>
    <w:rsid w:val="003F2D85"/>
    <w:rsid w:val="00407D83"/>
    <w:rsid w:val="004124A1"/>
    <w:rsid w:val="00425E7C"/>
    <w:rsid w:val="00431704"/>
    <w:rsid w:val="004334AC"/>
    <w:rsid w:val="004449FC"/>
    <w:rsid w:val="00447273"/>
    <w:rsid w:val="00447433"/>
    <w:rsid w:val="0046374D"/>
    <w:rsid w:val="00474D36"/>
    <w:rsid w:val="0047581A"/>
    <w:rsid w:val="004762B3"/>
    <w:rsid w:val="0048312F"/>
    <w:rsid w:val="004957D6"/>
    <w:rsid w:val="004A0EEA"/>
    <w:rsid w:val="004B0034"/>
    <w:rsid w:val="004C62C9"/>
    <w:rsid w:val="004D1709"/>
    <w:rsid w:val="004E42AE"/>
    <w:rsid w:val="004E477E"/>
    <w:rsid w:val="004E519A"/>
    <w:rsid w:val="004E5A3D"/>
    <w:rsid w:val="004F4082"/>
    <w:rsid w:val="005016D5"/>
    <w:rsid w:val="005037DF"/>
    <w:rsid w:val="00511ABA"/>
    <w:rsid w:val="00511DC4"/>
    <w:rsid w:val="00512D48"/>
    <w:rsid w:val="00530065"/>
    <w:rsid w:val="00540715"/>
    <w:rsid w:val="00543723"/>
    <w:rsid w:val="005538EF"/>
    <w:rsid w:val="00574CF7"/>
    <w:rsid w:val="005774AE"/>
    <w:rsid w:val="0058158D"/>
    <w:rsid w:val="005B32C5"/>
    <w:rsid w:val="005B64A9"/>
    <w:rsid w:val="005D6F99"/>
    <w:rsid w:val="005F4E84"/>
    <w:rsid w:val="005F5165"/>
    <w:rsid w:val="006044B0"/>
    <w:rsid w:val="0062333A"/>
    <w:rsid w:val="00643C4C"/>
    <w:rsid w:val="0067379C"/>
    <w:rsid w:val="006807CF"/>
    <w:rsid w:val="006E5B59"/>
    <w:rsid w:val="006F1FB8"/>
    <w:rsid w:val="006F504F"/>
    <w:rsid w:val="00712C0A"/>
    <w:rsid w:val="00716DC7"/>
    <w:rsid w:val="00760288"/>
    <w:rsid w:val="00765DC7"/>
    <w:rsid w:val="007C10EF"/>
    <w:rsid w:val="007C635C"/>
    <w:rsid w:val="0084627A"/>
    <w:rsid w:val="0085313C"/>
    <w:rsid w:val="00873352"/>
    <w:rsid w:val="00873407"/>
    <w:rsid w:val="008841D0"/>
    <w:rsid w:val="008A1024"/>
    <w:rsid w:val="008C2A95"/>
    <w:rsid w:val="008D00BA"/>
    <w:rsid w:val="008D04CE"/>
    <w:rsid w:val="008D4882"/>
    <w:rsid w:val="008F2FF4"/>
    <w:rsid w:val="008F40A6"/>
    <w:rsid w:val="009129F6"/>
    <w:rsid w:val="00915D10"/>
    <w:rsid w:val="00922520"/>
    <w:rsid w:val="00942400"/>
    <w:rsid w:val="009427CA"/>
    <w:rsid w:val="00942EA6"/>
    <w:rsid w:val="00993D26"/>
    <w:rsid w:val="00993FB2"/>
    <w:rsid w:val="009A41C9"/>
    <w:rsid w:val="009B340B"/>
    <w:rsid w:val="009B7E3A"/>
    <w:rsid w:val="009D778B"/>
    <w:rsid w:val="00A00164"/>
    <w:rsid w:val="00A03035"/>
    <w:rsid w:val="00A16191"/>
    <w:rsid w:val="00A2032C"/>
    <w:rsid w:val="00A315C5"/>
    <w:rsid w:val="00A3284C"/>
    <w:rsid w:val="00A47C1A"/>
    <w:rsid w:val="00A561CE"/>
    <w:rsid w:val="00A66AED"/>
    <w:rsid w:val="00A759DB"/>
    <w:rsid w:val="00A76109"/>
    <w:rsid w:val="00A77868"/>
    <w:rsid w:val="00A8009E"/>
    <w:rsid w:val="00A93879"/>
    <w:rsid w:val="00AA07A1"/>
    <w:rsid w:val="00AB3114"/>
    <w:rsid w:val="00AB4995"/>
    <w:rsid w:val="00AC166E"/>
    <w:rsid w:val="00B00D37"/>
    <w:rsid w:val="00B062FA"/>
    <w:rsid w:val="00B10CD7"/>
    <w:rsid w:val="00B11368"/>
    <w:rsid w:val="00B211B9"/>
    <w:rsid w:val="00B477B1"/>
    <w:rsid w:val="00B47C3D"/>
    <w:rsid w:val="00B84EE8"/>
    <w:rsid w:val="00BA503C"/>
    <w:rsid w:val="00BC1842"/>
    <w:rsid w:val="00BE7DDB"/>
    <w:rsid w:val="00BF7AE8"/>
    <w:rsid w:val="00C0387D"/>
    <w:rsid w:val="00C06A9A"/>
    <w:rsid w:val="00C0795D"/>
    <w:rsid w:val="00C10B67"/>
    <w:rsid w:val="00C1489B"/>
    <w:rsid w:val="00C22C0E"/>
    <w:rsid w:val="00C23DFD"/>
    <w:rsid w:val="00C37406"/>
    <w:rsid w:val="00C50A4E"/>
    <w:rsid w:val="00C5255E"/>
    <w:rsid w:val="00C53F2D"/>
    <w:rsid w:val="00C95558"/>
    <w:rsid w:val="00CB0BF7"/>
    <w:rsid w:val="00CC10BF"/>
    <w:rsid w:val="00CD521C"/>
    <w:rsid w:val="00CD71FD"/>
    <w:rsid w:val="00CF000A"/>
    <w:rsid w:val="00D149AD"/>
    <w:rsid w:val="00D152E4"/>
    <w:rsid w:val="00D236A8"/>
    <w:rsid w:val="00D27C05"/>
    <w:rsid w:val="00D350F3"/>
    <w:rsid w:val="00D47D12"/>
    <w:rsid w:val="00D52F58"/>
    <w:rsid w:val="00D60208"/>
    <w:rsid w:val="00DA463A"/>
    <w:rsid w:val="00DB26C8"/>
    <w:rsid w:val="00DB27E6"/>
    <w:rsid w:val="00DB410A"/>
    <w:rsid w:val="00DB691F"/>
    <w:rsid w:val="00DC1135"/>
    <w:rsid w:val="00E075AB"/>
    <w:rsid w:val="00E107EC"/>
    <w:rsid w:val="00E33E6A"/>
    <w:rsid w:val="00E5318A"/>
    <w:rsid w:val="00E627A7"/>
    <w:rsid w:val="00E62A40"/>
    <w:rsid w:val="00E64969"/>
    <w:rsid w:val="00E74541"/>
    <w:rsid w:val="00E81348"/>
    <w:rsid w:val="00E846AE"/>
    <w:rsid w:val="00EC6D83"/>
    <w:rsid w:val="00EC70DC"/>
    <w:rsid w:val="00EE1FF7"/>
    <w:rsid w:val="00F03062"/>
    <w:rsid w:val="00F07773"/>
    <w:rsid w:val="00F23EE7"/>
    <w:rsid w:val="00F444C9"/>
    <w:rsid w:val="00F509F7"/>
    <w:rsid w:val="00F53D55"/>
    <w:rsid w:val="00F755D8"/>
    <w:rsid w:val="00F80AE9"/>
    <w:rsid w:val="00F81F64"/>
    <w:rsid w:val="00FA6AC1"/>
    <w:rsid w:val="00FD47C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uiPriority w:val="35"/>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uiPriority w:val="59"/>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paragraph" w:styleId="NoSpacing">
    <w:name w:val="No Spacing"/>
    <w:uiPriority w:val="1"/>
    <w:qFormat/>
    <w:rsid w:val="00873407"/>
    <w:rPr>
      <w:rFonts w:asciiTheme="minorHAnsi" w:eastAsiaTheme="minorHAnsi" w:hAnsiTheme="minorHAnsi" w:cstheme="minorBidi"/>
      <w:sz w:val="22"/>
      <w:szCs w:val="22"/>
      <w:lang w:val="en-US" w:eastAsia="en-US"/>
    </w:rPr>
  </w:style>
  <w:style w:type="character" w:styleId="IntenseEmphasis">
    <w:name w:val="Intense Emphasis"/>
    <w:basedOn w:val="DefaultParagraphFont"/>
    <w:uiPriority w:val="21"/>
    <w:qFormat/>
    <w:rsid w:val="00873407"/>
    <w:rPr>
      <w:i/>
      <w:iCs/>
      <w:color w:val="4F81BD" w:themeColor="accent1"/>
    </w:rPr>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A829C-97F1-40BC-87EE-1D7B49663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0.dot</Template>
  <TotalTime>62</TotalTime>
  <Pages>5</Pages>
  <Words>3122</Words>
  <Characters>17801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20882</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Karthik K</cp:lastModifiedBy>
  <cp:revision>15</cp:revision>
  <cp:lastPrinted>2012-10-24T18:06:00Z</cp:lastPrinted>
  <dcterms:created xsi:type="dcterms:W3CDTF">2018-12-14T19:52:00Z</dcterms:created>
  <dcterms:modified xsi:type="dcterms:W3CDTF">2019-01-25T06:49:00Z</dcterms:modified>
</cp:coreProperties>
</file>